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00240" cy="468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4680585"/>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280" w:space="440"/>
            <w:col w:w="836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Fisher Andrew</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07/07/2025</w:t>
      </w:r>
    </w:p>
    <w:p>
      <w:pPr>
        <w:spacing w:after="0" w:line="20" w:lineRule="exact"/>
        <w:rPr>
          <w:sz w:val="24"/>
          <w:szCs w:val="24"/>
          <w:color w:val="auto"/>
        </w:rPr>
      </w:pPr>
      <w:r>
        <w:rPr>
          <w:sz w:val="24"/>
          <w:szCs w:val="24"/>
          <w:color w:val="auto"/>
        </w:rPr>
        <w:br w:type="column"/>
      </w:r>
    </w:p>
    <w:p>
      <w:pPr>
        <w:ind w:left="-1" w:right="780" w:firstLine="1"/>
        <w:spacing w:after="0" w:line="26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1059"/>
        <w:spacing w:after="0"/>
        <w:rPr>
          <w:sz w:val="20"/>
          <w:szCs w:val="20"/>
          <w:color w:val="auto"/>
        </w:rPr>
      </w:pPr>
      <w:r>
        <w:rPr>
          <w:rFonts w:ascii="Times New Roman" w:cs="Times New Roman" w:eastAsia="Times New Roman" w:hAnsi="Times New Roman"/>
          <w:sz w:val="16"/>
          <w:szCs w:val="16"/>
          <w:color w:val="0000FF"/>
        </w:rPr>
        <w:t>General Counsel</w:t>
      </w:r>
    </w:p>
    <w:p>
      <w:pPr>
        <w:spacing w:after="0" w:line="322" w:lineRule="exact"/>
        <w:rPr>
          <w:sz w:val="24"/>
          <w:szCs w:val="24"/>
          <w:color w:val="auto"/>
        </w:rPr>
      </w:pPr>
    </w:p>
    <w:p>
      <w:pPr>
        <w:sectPr>
          <w:pgSz w:w="11900" w:h="16838" w:orient="portrait"/>
          <w:cols w:equalWidth="0" w:num="3">
            <w:col w:w="3180" w:space="720"/>
            <w:col w:w="3101" w:space="720"/>
            <w:col w:w="3359"/>
          </w:cols>
          <w:pgMar w:left="460" w:top="212" w:right="359" w:bottom="1440"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Borders>
              <w:top w:val="single" w:sz="8" w:color="2C2C2C"/>
            </w:tcBorders>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20" w:type="dxa"/>
            <w:vAlign w:val="bottom"/>
            <w:tcBorders>
              <w:top w:val="single" w:sz="8" w:color="2C2C2C"/>
            </w:tcBorders>
          </w:tcPr>
          <w:p>
            <w:pPr>
              <w:spacing w:after="0"/>
              <w:rPr>
                <w:sz w:val="15"/>
                <w:szCs w:val="15"/>
                <w:color w:val="auto"/>
              </w:rPr>
            </w:pPr>
          </w:p>
        </w:tc>
        <w:tc>
          <w:tcPr>
            <w:tcW w:w="3420" w:type="dxa"/>
            <w:vAlign w:val="bottom"/>
            <w:tcBorders>
              <w:top w:val="single" w:sz="8" w:color="2C2C2C"/>
            </w:tcBorders>
            <w:gridSpan w:val="7"/>
            <w:vMerge w:val="restart"/>
          </w:tcPr>
          <w:p>
            <w:pPr>
              <w:ind w:left="18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SE1 2RE</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80" w:type="dxa"/>
            <w:vAlign w:val="bottom"/>
            <w:gridSpan w:val="9"/>
            <w:vMerge w:val="continue"/>
          </w:tcPr>
          <w:p>
            <w:pPr>
              <w:spacing w:after="0"/>
              <w:rPr>
                <w:sz w:val="3"/>
                <w:szCs w:val="3"/>
                <w:color w:val="auto"/>
              </w:rPr>
            </w:pPr>
          </w:p>
        </w:tc>
        <w:tc>
          <w:tcPr>
            <w:tcW w:w="220" w:type="dxa"/>
            <w:vAlign w:val="bottom"/>
          </w:tcPr>
          <w:p>
            <w:pPr>
              <w:spacing w:after="0"/>
              <w:rPr>
                <w:sz w:val="3"/>
                <w:szCs w:val="3"/>
                <w:color w:val="auto"/>
              </w:rPr>
            </w:pPr>
          </w:p>
        </w:tc>
        <w:tc>
          <w:tcPr>
            <w:tcW w:w="3420" w:type="dxa"/>
            <w:vAlign w:val="bottom"/>
            <w:gridSpan w:val="7"/>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2"/>
            <w:vMerge w:val="restart"/>
          </w:tcPr>
          <w:p>
            <w:pPr>
              <w:ind w:left="1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7"/>
          </w:tcPr>
          <w:p>
            <w:pPr>
              <w:jc w:val="center"/>
              <w:ind w:right="181"/>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58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0" w:type="dxa"/>
            <w:vAlign w:val="bottom"/>
            <w:gridSpan w:val="5"/>
          </w:tcPr>
          <w:p>
            <w:pPr>
              <w:ind w:left="840"/>
              <w:spacing w:after="0" w:line="123"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6"/>
                <w:szCs w:val="16"/>
                <w:color w:val="0000FF"/>
              </w:rPr>
              <w:t>07/07/2025</w:t>
            </w:r>
          </w:p>
        </w:tc>
        <w:tc>
          <w:tcPr>
            <w:tcW w:w="4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25"/>
              <w:spacing w:after="0"/>
              <w:rPr>
                <w:sz w:val="20"/>
                <w:szCs w:val="20"/>
                <w:color w:val="auto"/>
              </w:rPr>
            </w:pPr>
            <w:r>
              <w:rPr>
                <w:rFonts w:ascii="Times New Roman" w:cs="Times New Roman" w:eastAsia="Times New Roman" w:hAnsi="Times New Roman"/>
                <w:sz w:val="12"/>
                <w:szCs w:val="12"/>
                <w:color w:val="0000FF"/>
                <w:w w:val="93"/>
              </w:rPr>
              <w:t>M</w:t>
            </w:r>
          </w:p>
        </w:tc>
        <w:tc>
          <w:tcPr>
            <w:tcW w:w="860" w:type="dxa"/>
            <w:vAlign w:val="bottom"/>
            <w:tcBorders>
              <w:bottom w:val="single" w:sz="8" w:color="2C2C2C"/>
            </w:tcBorders>
          </w:tcPr>
          <w:p>
            <w:pPr>
              <w:jc w:val="right"/>
              <w:ind w:right="180"/>
              <w:spacing w:after="0"/>
              <w:rPr>
                <w:sz w:val="20"/>
                <w:szCs w:val="20"/>
                <w:color w:val="auto"/>
              </w:rPr>
            </w:pPr>
            <w:r>
              <w:rPr>
                <w:rFonts w:ascii="Times New Roman" w:cs="Times New Roman" w:eastAsia="Times New Roman" w:hAnsi="Times New Roman"/>
                <w:sz w:val="16"/>
                <w:szCs w:val="16"/>
                <w:color w:val="0000FF"/>
              </w:rPr>
              <w:t>86,064</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1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446,063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6"/>
                <w:szCs w:val="16"/>
                <w:color w:val="0000FF"/>
              </w:rPr>
              <w:t>07/08/2025</w:t>
            </w:r>
          </w:p>
        </w:tc>
        <w:tc>
          <w:tcPr>
            <w:tcW w:w="4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30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860" w:type="dxa"/>
            <w:vAlign w:val="bottom"/>
            <w:tcBorders>
              <w:bottom w:val="single" w:sz="8" w:color="2C2C2C"/>
            </w:tcBorders>
          </w:tcPr>
          <w:p>
            <w:pPr>
              <w:jc w:val="right"/>
              <w:ind w:right="180"/>
              <w:spacing w:after="0"/>
              <w:rPr>
                <w:sz w:val="20"/>
                <w:szCs w:val="20"/>
                <w:color w:val="auto"/>
              </w:rPr>
            </w:pPr>
            <w:r>
              <w:rPr>
                <w:rFonts w:ascii="Times New Roman" w:cs="Times New Roman" w:eastAsia="Times New Roman" w:hAnsi="Times New Roman"/>
                <w:sz w:val="16"/>
                <w:szCs w:val="16"/>
                <w:color w:val="0000FF"/>
              </w:rPr>
              <w:t>39,464</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11.4413</w:t>
            </w:r>
            <w:r>
              <w:rPr>
                <w:rFonts w:ascii="Times New Roman" w:cs="Times New Roman" w:eastAsia="Times New Roman" w:hAnsi="Times New Roman"/>
                <w:sz w:val="20"/>
                <w:szCs w:val="20"/>
                <w:color w:val="008000"/>
                <w:w w:val="96"/>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406,599</w:t>
            </w:r>
            <w:r>
              <w:rPr>
                <w:rFonts w:ascii="Times New Roman" w:cs="Times New Roman" w:eastAsia="Times New Roman" w:hAnsi="Times New Roman"/>
                <w:sz w:val="20"/>
                <w:szCs w:val="20"/>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7"/>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40" w:type="dxa"/>
            <w:vAlign w:val="bottom"/>
            <w:gridSpan w:val="16"/>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Derivative Securities</w:t>
            </w:r>
          </w:p>
        </w:tc>
        <w:tc>
          <w:tcPr>
            <w:tcW w:w="14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8"/>
              <w:spacing w:after="0" w:line="123"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14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w w:val="97"/>
              </w:rPr>
              <w:t>Underlying</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(Instr. 3, 4 and 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vMerge w:val="restart"/>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4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07/07/2025</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480" w:type="dxa"/>
            <w:vAlign w:val="bottom"/>
          </w:tcPr>
          <w:p>
            <w:pPr>
              <w:spacing w:after="0"/>
              <w:rPr>
                <w:sz w:val="16"/>
                <w:szCs w:val="16"/>
                <w:color w:val="auto"/>
              </w:rPr>
            </w:pPr>
          </w:p>
        </w:tc>
        <w:tc>
          <w:tcPr>
            <w:tcW w:w="240" w:type="dxa"/>
            <w:vAlign w:val="bottom"/>
            <w:vMerge w:val="restart"/>
          </w:tcPr>
          <w:p>
            <w:pPr>
              <w:jc w:val="right"/>
              <w:ind w:right="69"/>
              <w:spacing w:after="0"/>
              <w:rPr>
                <w:sz w:val="20"/>
                <w:szCs w:val="20"/>
                <w:color w:val="auto"/>
              </w:rPr>
            </w:pPr>
            <w:r>
              <w:rPr>
                <w:rFonts w:ascii="Times New Roman" w:cs="Times New Roman" w:eastAsia="Times New Roman" w:hAnsi="Times New Roman"/>
                <w:sz w:val="10"/>
                <w:szCs w:val="10"/>
                <w:color w:val="008000"/>
                <w:w w:val="85"/>
              </w:rPr>
              <w:t>(5)</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6"/>
              </w:rPr>
              <w:t>253,120</w:t>
            </w:r>
          </w:p>
        </w:tc>
        <w:tc>
          <w:tcPr>
            <w:tcW w:w="40" w:type="dxa"/>
            <w:vAlign w:val="bottom"/>
          </w:tcPr>
          <w:p>
            <w:pPr>
              <w:spacing w:after="0"/>
              <w:rPr>
                <w:sz w:val="16"/>
                <w:szCs w:val="16"/>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253,120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80" w:type="dxa"/>
            <w:vAlign w:val="bottom"/>
            <w:vMerge w:val="restart"/>
          </w:tcPr>
          <w:p>
            <w:pPr>
              <w:ind w:left="80"/>
              <w:spacing w:after="0" w:line="63" w:lineRule="exact"/>
              <w:rPr>
                <w:sz w:val="20"/>
                <w:szCs w:val="20"/>
                <w:color w:val="auto"/>
              </w:rPr>
            </w:pPr>
            <w:r>
              <w:rPr>
                <w:rFonts w:ascii="Times New Roman" w:cs="Times New Roman" w:eastAsia="Times New Roman" w:hAnsi="Times New Roman"/>
                <w:sz w:val="7"/>
                <w:szCs w:val="7"/>
                <w:color w:val="0000FF"/>
              </w:rPr>
              <w:t>253,120</w:t>
            </w:r>
          </w:p>
        </w:tc>
        <w:tc>
          <w:tcPr>
            <w:tcW w:w="2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80" w:type="dxa"/>
            <w:vAlign w:val="bottom"/>
            <w:gridSpan w:val="2"/>
          </w:tcPr>
          <w:p>
            <w:pPr>
              <w:ind w:left="10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07/07/2025</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(5)</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86,064</w:t>
            </w:r>
          </w:p>
        </w:tc>
        <w:tc>
          <w:tcPr>
            <w:tcW w:w="40" w:type="dxa"/>
            <w:vAlign w:val="bottom"/>
          </w:tcPr>
          <w:p>
            <w:pPr>
              <w:spacing w:after="0"/>
              <w:rPr>
                <w:sz w:val="16"/>
                <w:szCs w:val="16"/>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167,056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gridSpan w:val="2"/>
            <w:vMerge w:val="restart"/>
          </w:tcPr>
          <w:p>
            <w:pPr>
              <w:ind w:left="20"/>
              <w:spacing w:after="0" w:line="63" w:lineRule="exact"/>
              <w:rPr>
                <w:sz w:val="20"/>
                <w:szCs w:val="20"/>
                <w:color w:val="auto"/>
              </w:rPr>
            </w:pPr>
            <w:r>
              <w:rPr>
                <w:rFonts w:ascii="Times New Roman" w:cs="Times New Roman" w:eastAsia="Times New Roman" w:hAnsi="Times New Roman"/>
                <w:sz w:val="7"/>
                <w:szCs w:val="7"/>
                <w:color w:val="0000FF"/>
              </w:rPr>
              <w:t>86,064</w:t>
            </w:r>
          </w:p>
        </w:tc>
        <w:tc>
          <w:tcPr>
            <w:tcW w:w="1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80" w:type="dxa"/>
            <w:vAlign w:val="bottom"/>
            <w:gridSpan w:val="2"/>
          </w:tcPr>
          <w:p>
            <w:pPr>
              <w:ind w:left="10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-1887855</wp:posOffset>
            </wp:positionV>
            <wp:extent cx="28575" cy="1893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9357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Ordinary Shares withheld to satisfy the tax withholding obligation in connection with the vesting of certain previously reported Restricted Share Units.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closing price of the Issuer's ADSs on the Nasdaq Stock Market LLC on July 3, 2025 divided by eight (8).</w:t>
      </w:r>
    </w:p>
    <w:p>
      <w:pPr>
        <w:spacing w:after="0" w:line="45" w:lineRule="exact"/>
        <w:rPr>
          <w:rFonts w:ascii="Times New Roman" w:cs="Times New Roman" w:eastAsia="Times New Roman" w:hAnsi="Times New Roman"/>
          <w:sz w:val="12"/>
          <w:szCs w:val="12"/>
          <w:color w:val="008000"/>
        </w:rPr>
      </w:pPr>
    </w:p>
    <w:p>
      <w:pPr>
        <w:ind w:left="40" w:right="540" w:hanging="5"/>
        <w:spacing w:after="0" w:line="271"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300,000 Ordinary Shares underlying Restricted Share Units, each of which represents a contingent right to receive one (1) Ordinary Share of the Issuer (which are represented by 37,500 ADSs), (ii) 106,592 Ordinary Shares underlying 13,324 ADSs, and (iii) 7 Ordinary Shares.</w:t>
      </w:r>
    </w:p>
    <w:p>
      <w:pPr>
        <w:spacing w:after="0" w:line="7" w:lineRule="exact"/>
        <w:rPr>
          <w:rFonts w:ascii="Times New Roman" w:cs="Times New Roman" w:eastAsia="Times New Roman" w:hAnsi="Times New Roman"/>
          <w:sz w:val="12"/>
          <w:szCs w:val="12"/>
          <w:color w:val="008000"/>
        </w:rPr>
      </w:pPr>
    </w:p>
    <w:p>
      <w:pPr>
        <w:ind w:left="40" w:right="520" w:hanging="5"/>
        <w:spacing w:after="0" w:line="271"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7" w:lineRule="exact"/>
        <w:rPr>
          <w:rFonts w:ascii="Times New Roman" w:cs="Times New Roman" w:eastAsia="Times New Roman" w:hAnsi="Times New Roman"/>
          <w:sz w:val="12"/>
          <w:szCs w:val="12"/>
          <w:color w:val="008000"/>
        </w:rPr>
      </w:pPr>
    </w:p>
    <w:p>
      <w:pPr>
        <w:ind w:left="40" w:right="16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Q2 2025 had been achieved. The RSUs vested as to 34% of the total shares on the Determination Date, and vest as to the remainder of the shares in equal quarterly installments over a two year period on each of November 1, February 1, May 1 and August 1, subject to the Reporting Person's continued service to the Issuer on each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Andrew Fisher</w:t>
            </w:r>
          </w:p>
        </w:tc>
        <w:tc>
          <w:tcPr>
            <w:tcW w:w="84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07/09/2025</w:t>
            </w:r>
          </w:p>
        </w:tc>
      </w:tr>
      <w:tr>
        <w:trPr>
          <w:trHeight w:val="20"/>
        </w:trPr>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80" w:hanging="5"/>
        <w:spacing w:after="0" w:line="319"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30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2025-07-09T17:39:25Z</dcterms:created>
  <dcterms:modified xsi:type="dcterms:W3CDTF">2025-07-09T17:39:25Z</dcterms:modified>
</cp:coreProperties>
</file>