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05/01/2023</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05/01/2023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77,424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2.5759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2,999,888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05/03/2023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28,752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2.6517</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2,971,136</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instruction entered into on May 14, 2021 solely with the intent to cover taxes in connection with the vesting of certainly previously reported Restricted Share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adopted by the Reporting Person on February 24, 2023.</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sale price of the ADSs divided by eight (8). These shares were sold in multiple transactions at prices ranging from $2.6138 to $2.6763,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1,743,488 Ordinary Shares underlying RSUs (which are represented by 217,936 ADSs); and (ii) 1,227,648 Ordinary Shares underlying 153,456 ADSs.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80" w:type="dxa"/>
            <w:vAlign w:val="bottom"/>
            <w:gridSpan w:val="2"/>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05/03/2023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Kathleen A. Rickard</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2023-05-03T18:50:43Z</dcterms:created>
  <dcterms:modified xsi:type="dcterms:W3CDTF">2023-05-03T18:50:43Z</dcterms:modified>
</cp:coreProperties>
</file>