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060"/>
        <w:spacing w:after="0"/>
        <w:rPr>
          <w:sz w:val="20"/>
          <w:szCs w:val="20"/>
          <w:color w:val="auto"/>
        </w:rPr>
      </w:pPr>
      <w:r>
        <w:rPr>
          <w:rFonts w:ascii="Arial" w:cs="Arial" w:eastAsia="Arial" w:hAnsi="Arial"/>
          <w:sz w:val="18"/>
          <w:szCs w:val="18"/>
          <w:color w:val="auto"/>
        </w:rPr>
        <w:t>53rd at Third</w:t>
      </w:r>
    </w:p>
    <w:p>
      <w:pPr>
        <w:spacing w:after="0" w:line="23" w:lineRule="exact"/>
        <w:rPr>
          <w:sz w:val="24"/>
          <w:szCs w:val="24"/>
          <w:color w:val="auto"/>
        </w:rPr>
      </w:pPr>
    </w:p>
    <w:p>
      <w:pPr>
        <w:ind w:left="7060"/>
        <w:spacing w:after="0"/>
        <w:rPr>
          <w:sz w:val="20"/>
          <w:szCs w:val="20"/>
          <w:color w:val="auto"/>
        </w:rPr>
      </w:pPr>
      <w:r>
        <w:rPr>
          <w:rFonts w:ascii="Arial" w:cs="Arial" w:eastAsia="Arial" w:hAnsi="Arial"/>
          <w:sz w:val="18"/>
          <w:szCs w:val="18"/>
          <w:color w:val="auto"/>
        </w:rPr>
        <w:t>885 Third Avenue</w:t>
      </w:r>
    </w:p>
    <w:p>
      <w:pPr>
        <w:spacing w:after="0" w:line="9" w:lineRule="exact"/>
        <w:rPr>
          <w:sz w:val="24"/>
          <w:szCs w:val="24"/>
          <w:color w:val="auto"/>
        </w:rPr>
      </w:pPr>
    </w:p>
    <w:p>
      <w:pPr>
        <w:ind w:left="7060"/>
        <w:spacing w:after="0"/>
        <w:rPr>
          <w:sz w:val="20"/>
          <w:szCs w:val="20"/>
          <w:color w:val="auto"/>
        </w:rPr>
      </w:pPr>
      <w:r>
        <w:rPr>
          <w:rFonts w:ascii="Arial" w:cs="Arial" w:eastAsia="Arial" w:hAnsi="Arial"/>
          <w:sz w:val="18"/>
          <w:szCs w:val="18"/>
          <w:color w:val="auto"/>
        </w:rPr>
        <w:t>New York, New York 10022-4834</w:t>
      </w:r>
    </w:p>
    <w:p>
      <w:pPr>
        <w:spacing w:after="0" w:line="9" w:lineRule="exact"/>
        <w:rPr>
          <w:sz w:val="24"/>
          <w:szCs w:val="24"/>
          <w:color w:val="auto"/>
        </w:rPr>
      </w:pPr>
    </w:p>
    <w:p>
      <w:pPr>
        <w:ind w:left="7060"/>
        <w:spacing w:after="0"/>
        <w:rPr>
          <w:sz w:val="20"/>
          <w:szCs w:val="20"/>
          <w:color w:val="auto"/>
        </w:rPr>
      </w:pPr>
      <w:r>
        <w:rPr>
          <w:rFonts w:ascii="Arial" w:cs="Arial" w:eastAsia="Arial" w:hAnsi="Arial"/>
          <w:sz w:val="18"/>
          <w:szCs w:val="18"/>
          <w:color w:val="auto"/>
        </w:rPr>
        <w:t>Tel: +1.212.906.1200 Fax: +1.212.751.4864</w:t>
      </w:r>
    </w:p>
    <w:p>
      <w:pPr>
        <w:spacing w:after="0" w:line="9" w:lineRule="exact"/>
        <w:rPr>
          <w:sz w:val="24"/>
          <w:szCs w:val="24"/>
          <w:color w:val="auto"/>
        </w:rPr>
      </w:pPr>
    </w:p>
    <w:p>
      <w:pPr>
        <w:ind w:left="7060"/>
        <w:spacing w:after="0"/>
        <w:rPr>
          <w:sz w:val="20"/>
          <w:szCs w:val="20"/>
          <w:color w:val="auto"/>
        </w:rPr>
      </w:pPr>
      <w:r>
        <w:rPr>
          <w:rFonts w:ascii="Arial" w:cs="Arial" w:eastAsia="Arial" w:hAnsi="Arial"/>
          <w:sz w:val="18"/>
          <w:szCs w:val="18"/>
          <w:color w:val="auto"/>
        </w:rPr>
        <w:t>www.lw.com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032635"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137160"/>
                    </a:xfrm>
                    <a:prstGeom prst="rect">
                      <a:avLst/>
                    </a:prstGeom>
                    <a:noFill/>
                  </pic:spPr>
                </pic:pic>
              </a:graphicData>
            </a:graphic>
          </wp:anchor>
        </w:drawing>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6080" w:type="dxa"/>
            <w:vAlign w:val="bottom"/>
            <w:gridSpan w:val="2"/>
          </w:tcPr>
          <w:p>
            <w:pPr>
              <w:ind w:left="3000"/>
              <w:spacing w:after="0"/>
              <w:rPr>
                <w:sz w:val="20"/>
                <w:szCs w:val="20"/>
                <w:color w:val="auto"/>
              </w:rPr>
            </w:pPr>
            <w:r>
              <w:rPr>
                <w:rFonts w:ascii="Arial" w:cs="Arial" w:eastAsia="Arial" w:hAnsi="Arial"/>
                <w:sz w:val="18"/>
                <w:szCs w:val="18"/>
                <w:color w:val="auto"/>
              </w:rPr>
              <w:t>FIRM / AFFILIATE OFFICES</w:t>
            </w:r>
          </w:p>
        </w:tc>
      </w:tr>
      <w:tr>
        <w:trPr>
          <w:trHeight w:val="216"/>
        </w:trPr>
        <w:tc>
          <w:tcPr>
            <w:tcW w:w="4060" w:type="dxa"/>
            <w:vAlign w:val="bottom"/>
          </w:tcPr>
          <w:p>
            <w:pPr>
              <w:spacing w:after="0"/>
              <w:rPr>
                <w:sz w:val="18"/>
                <w:szCs w:val="18"/>
                <w:color w:val="auto"/>
              </w:rPr>
            </w:pPr>
          </w:p>
        </w:tc>
        <w:tc>
          <w:tcPr>
            <w:tcW w:w="4360" w:type="dxa"/>
            <w:vAlign w:val="bottom"/>
          </w:tcPr>
          <w:p>
            <w:pPr>
              <w:ind w:left="3000"/>
              <w:spacing w:after="0"/>
              <w:rPr>
                <w:sz w:val="20"/>
                <w:szCs w:val="20"/>
                <w:color w:val="auto"/>
              </w:rPr>
            </w:pPr>
            <w:r>
              <w:rPr>
                <w:rFonts w:ascii="Arial" w:cs="Arial" w:eastAsia="Arial" w:hAnsi="Arial"/>
                <w:sz w:val="18"/>
                <w:szCs w:val="18"/>
                <w:color w:val="auto"/>
              </w:rPr>
              <w:t>Barcelona</w:t>
            </w:r>
          </w:p>
        </w:tc>
        <w:tc>
          <w:tcPr>
            <w:tcW w:w="1720" w:type="dxa"/>
            <w:vAlign w:val="bottom"/>
          </w:tcPr>
          <w:p>
            <w:pPr>
              <w:ind w:left="440"/>
              <w:spacing w:after="0"/>
              <w:rPr>
                <w:sz w:val="20"/>
                <w:szCs w:val="20"/>
                <w:color w:val="auto"/>
              </w:rPr>
            </w:pPr>
            <w:r>
              <w:rPr>
                <w:rFonts w:ascii="Arial" w:cs="Arial" w:eastAsia="Arial" w:hAnsi="Arial"/>
                <w:sz w:val="18"/>
                <w:szCs w:val="18"/>
                <w:color w:val="auto"/>
              </w:rPr>
              <w:t>Moscow</w:t>
            </w:r>
          </w:p>
        </w:tc>
      </w:tr>
      <w:tr>
        <w:trPr>
          <w:trHeight w:val="216"/>
        </w:trPr>
        <w:tc>
          <w:tcPr>
            <w:tcW w:w="4060" w:type="dxa"/>
            <w:vAlign w:val="bottom"/>
          </w:tcPr>
          <w:p>
            <w:pPr>
              <w:spacing w:after="0"/>
              <w:rPr>
                <w:sz w:val="18"/>
                <w:szCs w:val="18"/>
                <w:color w:val="auto"/>
              </w:rPr>
            </w:pPr>
          </w:p>
        </w:tc>
        <w:tc>
          <w:tcPr>
            <w:tcW w:w="4360" w:type="dxa"/>
            <w:vAlign w:val="bottom"/>
          </w:tcPr>
          <w:p>
            <w:pPr>
              <w:ind w:left="3000"/>
              <w:spacing w:after="0"/>
              <w:rPr>
                <w:sz w:val="20"/>
                <w:szCs w:val="20"/>
                <w:color w:val="auto"/>
              </w:rPr>
            </w:pPr>
            <w:r>
              <w:rPr>
                <w:rFonts w:ascii="Arial" w:cs="Arial" w:eastAsia="Arial" w:hAnsi="Arial"/>
                <w:sz w:val="18"/>
                <w:szCs w:val="18"/>
                <w:color w:val="auto"/>
              </w:rPr>
              <w:t>Beijing</w:t>
            </w:r>
          </w:p>
        </w:tc>
        <w:tc>
          <w:tcPr>
            <w:tcW w:w="1720" w:type="dxa"/>
            <w:vAlign w:val="bottom"/>
          </w:tcPr>
          <w:p>
            <w:pPr>
              <w:ind w:left="440"/>
              <w:spacing w:after="0"/>
              <w:rPr>
                <w:sz w:val="20"/>
                <w:szCs w:val="20"/>
                <w:color w:val="auto"/>
              </w:rPr>
            </w:pPr>
            <w:r>
              <w:rPr>
                <w:rFonts w:ascii="Arial" w:cs="Arial" w:eastAsia="Arial" w:hAnsi="Arial"/>
                <w:sz w:val="18"/>
                <w:szCs w:val="18"/>
                <w:color w:val="auto"/>
              </w:rPr>
              <w:t>Munich</w:t>
            </w:r>
          </w:p>
        </w:tc>
      </w:tr>
      <w:tr>
        <w:trPr>
          <w:trHeight w:val="216"/>
        </w:trPr>
        <w:tc>
          <w:tcPr>
            <w:tcW w:w="4060" w:type="dxa"/>
            <w:vAlign w:val="bottom"/>
          </w:tcPr>
          <w:p>
            <w:pPr>
              <w:spacing w:after="0"/>
              <w:rPr>
                <w:sz w:val="18"/>
                <w:szCs w:val="18"/>
                <w:color w:val="auto"/>
              </w:rPr>
            </w:pPr>
          </w:p>
        </w:tc>
        <w:tc>
          <w:tcPr>
            <w:tcW w:w="4360" w:type="dxa"/>
            <w:vAlign w:val="bottom"/>
          </w:tcPr>
          <w:p>
            <w:pPr>
              <w:ind w:left="3000"/>
              <w:spacing w:after="0"/>
              <w:rPr>
                <w:sz w:val="20"/>
                <w:szCs w:val="20"/>
                <w:color w:val="auto"/>
              </w:rPr>
            </w:pPr>
            <w:r>
              <w:rPr>
                <w:rFonts w:ascii="Arial" w:cs="Arial" w:eastAsia="Arial" w:hAnsi="Arial"/>
                <w:sz w:val="18"/>
                <w:szCs w:val="18"/>
                <w:color w:val="auto"/>
              </w:rPr>
              <w:t>Boston</w:t>
            </w:r>
          </w:p>
        </w:tc>
        <w:tc>
          <w:tcPr>
            <w:tcW w:w="1720" w:type="dxa"/>
            <w:vAlign w:val="bottom"/>
          </w:tcPr>
          <w:p>
            <w:pPr>
              <w:ind w:left="440"/>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tcPr>
          <w:p>
            <w:pPr>
              <w:spacing w:after="0"/>
              <w:rPr>
                <w:sz w:val="18"/>
                <w:szCs w:val="18"/>
                <w:color w:val="auto"/>
              </w:rPr>
            </w:pPr>
          </w:p>
        </w:tc>
        <w:tc>
          <w:tcPr>
            <w:tcW w:w="4360" w:type="dxa"/>
            <w:vAlign w:val="bottom"/>
          </w:tcPr>
          <w:p>
            <w:pPr>
              <w:ind w:left="3000"/>
              <w:spacing w:after="0"/>
              <w:rPr>
                <w:sz w:val="20"/>
                <w:szCs w:val="20"/>
                <w:color w:val="auto"/>
              </w:rPr>
            </w:pPr>
            <w:r>
              <w:rPr>
                <w:rFonts w:ascii="Arial" w:cs="Arial" w:eastAsia="Arial" w:hAnsi="Arial"/>
                <w:sz w:val="18"/>
                <w:szCs w:val="18"/>
                <w:color w:val="auto"/>
              </w:rPr>
              <w:t>Brussels</w:t>
            </w:r>
          </w:p>
        </w:tc>
        <w:tc>
          <w:tcPr>
            <w:tcW w:w="1720" w:type="dxa"/>
            <w:vAlign w:val="bottom"/>
          </w:tcPr>
          <w:p>
            <w:pPr>
              <w:ind w:left="440"/>
              <w:spacing w:after="0"/>
              <w:rPr>
                <w:sz w:val="20"/>
                <w:szCs w:val="20"/>
                <w:color w:val="auto"/>
              </w:rPr>
            </w:pPr>
            <w:r>
              <w:rPr>
                <w:rFonts w:ascii="Arial" w:cs="Arial" w:eastAsia="Arial" w:hAnsi="Arial"/>
                <w:sz w:val="18"/>
                <w:szCs w:val="18"/>
                <w:color w:val="auto"/>
              </w:rPr>
              <w:t>Orange County</w:t>
            </w:r>
          </w:p>
        </w:tc>
      </w:tr>
      <w:tr>
        <w:trPr>
          <w:trHeight w:val="216"/>
        </w:trPr>
        <w:tc>
          <w:tcPr>
            <w:tcW w:w="4060" w:type="dxa"/>
            <w:vAlign w:val="bottom"/>
          </w:tcPr>
          <w:p>
            <w:pPr>
              <w:spacing w:after="0"/>
              <w:rPr>
                <w:sz w:val="18"/>
                <w:szCs w:val="18"/>
                <w:color w:val="auto"/>
              </w:rPr>
            </w:pPr>
          </w:p>
        </w:tc>
        <w:tc>
          <w:tcPr>
            <w:tcW w:w="4360" w:type="dxa"/>
            <w:vAlign w:val="bottom"/>
          </w:tcPr>
          <w:p>
            <w:pPr>
              <w:ind w:left="3000"/>
              <w:spacing w:after="0"/>
              <w:rPr>
                <w:sz w:val="20"/>
                <w:szCs w:val="20"/>
                <w:color w:val="auto"/>
              </w:rPr>
            </w:pPr>
            <w:r>
              <w:rPr>
                <w:rFonts w:ascii="Arial" w:cs="Arial" w:eastAsia="Arial" w:hAnsi="Arial"/>
                <w:sz w:val="18"/>
                <w:szCs w:val="18"/>
                <w:color w:val="auto"/>
              </w:rPr>
              <w:t>Century City</w:t>
            </w:r>
          </w:p>
        </w:tc>
        <w:tc>
          <w:tcPr>
            <w:tcW w:w="1720" w:type="dxa"/>
            <w:vAlign w:val="bottom"/>
          </w:tcPr>
          <w:p>
            <w:pPr>
              <w:ind w:left="440"/>
              <w:spacing w:after="0"/>
              <w:rPr>
                <w:sz w:val="20"/>
                <w:szCs w:val="20"/>
                <w:color w:val="auto"/>
              </w:rPr>
            </w:pPr>
            <w:r>
              <w:rPr>
                <w:rFonts w:ascii="Arial" w:cs="Arial" w:eastAsia="Arial" w:hAnsi="Arial"/>
                <w:sz w:val="18"/>
                <w:szCs w:val="18"/>
                <w:color w:val="auto"/>
              </w:rPr>
              <w:t>Paris</w:t>
            </w:r>
          </w:p>
        </w:tc>
      </w:tr>
      <w:tr>
        <w:trPr>
          <w:trHeight w:val="216"/>
        </w:trPr>
        <w:tc>
          <w:tcPr>
            <w:tcW w:w="4060" w:type="dxa"/>
            <w:vAlign w:val="bottom"/>
          </w:tcPr>
          <w:p>
            <w:pPr>
              <w:spacing w:after="0"/>
              <w:rPr>
                <w:sz w:val="18"/>
                <w:szCs w:val="18"/>
                <w:color w:val="auto"/>
              </w:rPr>
            </w:pPr>
          </w:p>
        </w:tc>
        <w:tc>
          <w:tcPr>
            <w:tcW w:w="4360" w:type="dxa"/>
            <w:vAlign w:val="bottom"/>
          </w:tcPr>
          <w:p>
            <w:pPr>
              <w:ind w:left="3000"/>
              <w:spacing w:after="0"/>
              <w:rPr>
                <w:sz w:val="20"/>
                <w:szCs w:val="20"/>
                <w:color w:val="auto"/>
              </w:rPr>
            </w:pPr>
            <w:r>
              <w:rPr>
                <w:rFonts w:ascii="Arial" w:cs="Arial" w:eastAsia="Arial" w:hAnsi="Arial"/>
                <w:sz w:val="18"/>
                <w:szCs w:val="18"/>
                <w:color w:val="auto"/>
              </w:rPr>
              <w:t>Chicago</w:t>
            </w:r>
          </w:p>
        </w:tc>
        <w:tc>
          <w:tcPr>
            <w:tcW w:w="1720" w:type="dxa"/>
            <w:vAlign w:val="bottom"/>
          </w:tcPr>
          <w:p>
            <w:pPr>
              <w:ind w:left="440"/>
              <w:spacing w:after="0"/>
              <w:rPr>
                <w:sz w:val="20"/>
                <w:szCs w:val="20"/>
                <w:color w:val="auto"/>
              </w:rPr>
            </w:pPr>
            <w:r>
              <w:rPr>
                <w:rFonts w:ascii="Arial" w:cs="Arial" w:eastAsia="Arial" w:hAnsi="Arial"/>
                <w:sz w:val="18"/>
                <w:szCs w:val="18"/>
                <w:color w:val="auto"/>
              </w:rPr>
              <w:t>Riyadh</w:t>
            </w:r>
          </w:p>
        </w:tc>
      </w:tr>
      <w:tr>
        <w:trPr>
          <w:trHeight w:val="216"/>
        </w:trPr>
        <w:tc>
          <w:tcPr>
            <w:tcW w:w="4060" w:type="dxa"/>
            <w:vAlign w:val="bottom"/>
          </w:tcPr>
          <w:p>
            <w:pPr>
              <w:spacing w:after="0"/>
              <w:rPr>
                <w:sz w:val="18"/>
                <w:szCs w:val="18"/>
                <w:color w:val="auto"/>
              </w:rPr>
            </w:pPr>
          </w:p>
        </w:tc>
        <w:tc>
          <w:tcPr>
            <w:tcW w:w="4360" w:type="dxa"/>
            <w:vAlign w:val="bottom"/>
          </w:tcPr>
          <w:p>
            <w:pPr>
              <w:ind w:left="3000"/>
              <w:spacing w:after="0"/>
              <w:rPr>
                <w:sz w:val="20"/>
                <w:szCs w:val="20"/>
                <w:color w:val="auto"/>
              </w:rPr>
            </w:pPr>
            <w:r>
              <w:rPr>
                <w:rFonts w:ascii="Arial" w:cs="Arial" w:eastAsia="Arial" w:hAnsi="Arial"/>
                <w:sz w:val="18"/>
                <w:szCs w:val="18"/>
                <w:color w:val="auto"/>
              </w:rPr>
              <w:t>Dubai</w:t>
            </w:r>
          </w:p>
        </w:tc>
        <w:tc>
          <w:tcPr>
            <w:tcW w:w="1720" w:type="dxa"/>
            <w:vAlign w:val="bottom"/>
          </w:tcPr>
          <w:p>
            <w:pPr>
              <w:ind w:left="440"/>
              <w:spacing w:after="0"/>
              <w:rPr>
                <w:sz w:val="20"/>
                <w:szCs w:val="20"/>
                <w:color w:val="auto"/>
              </w:rPr>
            </w:pPr>
            <w:r>
              <w:rPr>
                <w:rFonts w:ascii="Arial" w:cs="Arial" w:eastAsia="Arial" w:hAnsi="Arial"/>
                <w:sz w:val="18"/>
                <w:szCs w:val="18"/>
                <w:color w:val="auto"/>
              </w:rPr>
              <w:t>Rome</w:t>
            </w:r>
          </w:p>
        </w:tc>
      </w:tr>
      <w:tr>
        <w:trPr>
          <w:trHeight w:val="216"/>
        </w:trPr>
        <w:tc>
          <w:tcPr>
            <w:tcW w:w="4060" w:type="dxa"/>
            <w:vAlign w:val="bottom"/>
          </w:tcPr>
          <w:p>
            <w:pPr>
              <w:spacing w:after="0"/>
              <w:rPr>
                <w:sz w:val="18"/>
                <w:szCs w:val="18"/>
                <w:color w:val="auto"/>
              </w:rPr>
            </w:pPr>
          </w:p>
        </w:tc>
        <w:tc>
          <w:tcPr>
            <w:tcW w:w="4360" w:type="dxa"/>
            <w:vAlign w:val="bottom"/>
          </w:tcPr>
          <w:p>
            <w:pPr>
              <w:ind w:left="3000"/>
              <w:spacing w:after="0"/>
              <w:rPr>
                <w:sz w:val="20"/>
                <w:szCs w:val="20"/>
                <w:color w:val="auto"/>
              </w:rPr>
            </w:pPr>
            <w:r>
              <w:rPr>
                <w:rFonts w:ascii="Arial" w:cs="Arial" w:eastAsia="Arial" w:hAnsi="Arial"/>
                <w:sz w:val="18"/>
                <w:szCs w:val="18"/>
                <w:color w:val="auto"/>
              </w:rPr>
              <w:t>Düsseldorf</w:t>
            </w:r>
          </w:p>
        </w:tc>
        <w:tc>
          <w:tcPr>
            <w:tcW w:w="1720" w:type="dxa"/>
            <w:vAlign w:val="bottom"/>
          </w:tcPr>
          <w:p>
            <w:pPr>
              <w:ind w:left="440"/>
              <w:spacing w:after="0"/>
              <w:rPr>
                <w:sz w:val="20"/>
                <w:szCs w:val="20"/>
                <w:color w:val="auto"/>
              </w:rPr>
            </w:pPr>
            <w:r>
              <w:rPr>
                <w:rFonts w:ascii="Arial" w:cs="Arial" w:eastAsia="Arial" w:hAnsi="Arial"/>
                <w:sz w:val="18"/>
                <w:szCs w:val="18"/>
                <w:color w:val="auto"/>
              </w:rPr>
              <w:t>San Diego</w:t>
            </w:r>
          </w:p>
        </w:tc>
      </w:tr>
      <w:tr>
        <w:trPr>
          <w:trHeight w:val="216"/>
        </w:trPr>
        <w:tc>
          <w:tcPr>
            <w:tcW w:w="4060" w:type="dxa"/>
            <w:vAlign w:val="bottom"/>
          </w:tcPr>
          <w:p>
            <w:pPr>
              <w:spacing w:after="0"/>
              <w:rPr>
                <w:sz w:val="18"/>
                <w:szCs w:val="18"/>
                <w:color w:val="auto"/>
              </w:rPr>
            </w:pPr>
          </w:p>
        </w:tc>
        <w:tc>
          <w:tcPr>
            <w:tcW w:w="4360" w:type="dxa"/>
            <w:vAlign w:val="bottom"/>
          </w:tcPr>
          <w:p>
            <w:pPr>
              <w:ind w:left="3000"/>
              <w:spacing w:after="0"/>
              <w:rPr>
                <w:sz w:val="20"/>
                <w:szCs w:val="20"/>
                <w:color w:val="auto"/>
              </w:rPr>
            </w:pPr>
            <w:r>
              <w:rPr>
                <w:rFonts w:ascii="Arial" w:cs="Arial" w:eastAsia="Arial" w:hAnsi="Arial"/>
                <w:sz w:val="18"/>
                <w:szCs w:val="18"/>
                <w:color w:val="auto"/>
              </w:rPr>
              <w:t>Frankfurt</w:t>
            </w:r>
          </w:p>
        </w:tc>
        <w:tc>
          <w:tcPr>
            <w:tcW w:w="1720" w:type="dxa"/>
            <w:vAlign w:val="bottom"/>
          </w:tcPr>
          <w:p>
            <w:pPr>
              <w:ind w:left="440"/>
              <w:spacing w:after="0"/>
              <w:rPr>
                <w:sz w:val="20"/>
                <w:szCs w:val="20"/>
                <w:color w:val="auto"/>
              </w:rPr>
            </w:pPr>
            <w:r>
              <w:rPr>
                <w:rFonts w:ascii="Arial" w:cs="Arial" w:eastAsia="Arial" w:hAnsi="Arial"/>
                <w:sz w:val="18"/>
                <w:szCs w:val="18"/>
                <w:color w:val="auto"/>
              </w:rPr>
              <w:t>San Francisco</w:t>
            </w:r>
          </w:p>
        </w:tc>
      </w:tr>
      <w:tr>
        <w:trPr>
          <w:trHeight w:val="216"/>
        </w:trPr>
        <w:tc>
          <w:tcPr>
            <w:tcW w:w="4060" w:type="dxa"/>
            <w:vAlign w:val="bottom"/>
          </w:tcPr>
          <w:p>
            <w:pPr>
              <w:spacing w:after="0"/>
              <w:rPr>
                <w:sz w:val="18"/>
                <w:szCs w:val="18"/>
                <w:color w:val="auto"/>
              </w:rPr>
            </w:pPr>
          </w:p>
        </w:tc>
        <w:tc>
          <w:tcPr>
            <w:tcW w:w="4360" w:type="dxa"/>
            <w:vAlign w:val="bottom"/>
          </w:tcPr>
          <w:p>
            <w:pPr>
              <w:ind w:left="3000"/>
              <w:spacing w:after="0"/>
              <w:rPr>
                <w:sz w:val="20"/>
                <w:szCs w:val="20"/>
                <w:color w:val="auto"/>
              </w:rPr>
            </w:pPr>
            <w:r>
              <w:rPr>
                <w:rFonts w:ascii="Arial" w:cs="Arial" w:eastAsia="Arial" w:hAnsi="Arial"/>
                <w:sz w:val="18"/>
                <w:szCs w:val="18"/>
                <w:color w:val="auto"/>
              </w:rPr>
              <w:t>Hamburg</w:t>
            </w:r>
          </w:p>
        </w:tc>
        <w:tc>
          <w:tcPr>
            <w:tcW w:w="1720" w:type="dxa"/>
            <w:vAlign w:val="bottom"/>
          </w:tcPr>
          <w:p>
            <w:pPr>
              <w:ind w:left="440"/>
              <w:spacing w:after="0"/>
              <w:rPr>
                <w:sz w:val="20"/>
                <w:szCs w:val="20"/>
                <w:color w:val="auto"/>
              </w:rPr>
            </w:pPr>
            <w:r>
              <w:rPr>
                <w:rFonts w:ascii="Arial" w:cs="Arial" w:eastAsia="Arial" w:hAnsi="Arial"/>
                <w:sz w:val="18"/>
                <w:szCs w:val="18"/>
                <w:color w:val="auto"/>
              </w:rPr>
              <w:t>Seoul</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April 18, 2017</w:t>
            </w:r>
          </w:p>
        </w:tc>
        <w:tc>
          <w:tcPr>
            <w:tcW w:w="4360" w:type="dxa"/>
            <w:vAlign w:val="bottom"/>
          </w:tcPr>
          <w:p>
            <w:pPr>
              <w:ind w:left="3000"/>
              <w:spacing w:after="0"/>
              <w:rPr>
                <w:sz w:val="20"/>
                <w:szCs w:val="20"/>
                <w:color w:val="auto"/>
              </w:rPr>
            </w:pPr>
            <w:r>
              <w:rPr>
                <w:rFonts w:ascii="Arial" w:cs="Arial" w:eastAsia="Arial" w:hAnsi="Arial"/>
                <w:sz w:val="18"/>
                <w:szCs w:val="18"/>
                <w:color w:val="auto"/>
              </w:rPr>
              <w:t>Hong Kong</w:t>
            </w:r>
          </w:p>
        </w:tc>
        <w:tc>
          <w:tcPr>
            <w:tcW w:w="1720" w:type="dxa"/>
            <w:vAlign w:val="bottom"/>
          </w:tcPr>
          <w:p>
            <w:pPr>
              <w:ind w:left="440"/>
              <w:spacing w:after="0"/>
              <w:rPr>
                <w:sz w:val="20"/>
                <w:szCs w:val="20"/>
                <w:color w:val="auto"/>
              </w:rPr>
            </w:pPr>
            <w:r>
              <w:rPr>
                <w:rFonts w:ascii="Arial" w:cs="Arial" w:eastAsia="Arial" w:hAnsi="Arial"/>
                <w:sz w:val="18"/>
                <w:szCs w:val="18"/>
                <w:color w:val="auto"/>
              </w:rPr>
              <w:t>Shanghai</w:t>
            </w:r>
          </w:p>
        </w:tc>
      </w:tr>
      <w:tr>
        <w:trPr>
          <w:trHeight w:val="216"/>
        </w:trPr>
        <w:tc>
          <w:tcPr>
            <w:tcW w:w="4060" w:type="dxa"/>
            <w:vAlign w:val="bottom"/>
          </w:tcPr>
          <w:p>
            <w:pPr>
              <w:spacing w:after="0"/>
              <w:rPr>
                <w:sz w:val="18"/>
                <w:szCs w:val="18"/>
                <w:color w:val="auto"/>
              </w:rPr>
            </w:pPr>
          </w:p>
        </w:tc>
        <w:tc>
          <w:tcPr>
            <w:tcW w:w="4360" w:type="dxa"/>
            <w:vAlign w:val="bottom"/>
          </w:tcPr>
          <w:p>
            <w:pPr>
              <w:ind w:left="3000"/>
              <w:spacing w:after="0"/>
              <w:rPr>
                <w:sz w:val="20"/>
                <w:szCs w:val="20"/>
                <w:color w:val="auto"/>
              </w:rPr>
            </w:pPr>
            <w:r>
              <w:rPr>
                <w:rFonts w:ascii="Arial" w:cs="Arial" w:eastAsia="Arial" w:hAnsi="Arial"/>
                <w:sz w:val="18"/>
                <w:szCs w:val="18"/>
                <w:color w:val="auto"/>
              </w:rPr>
              <w:t>Houston</w:t>
            </w:r>
          </w:p>
        </w:tc>
        <w:tc>
          <w:tcPr>
            <w:tcW w:w="1720" w:type="dxa"/>
            <w:vAlign w:val="bottom"/>
          </w:tcPr>
          <w:p>
            <w:pPr>
              <w:ind w:left="440"/>
              <w:spacing w:after="0"/>
              <w:rPr>
                <w:sz w:val="20"/>
                <w:szCs w:val="20"/>
                <w:color w:val="auto"/>
              </w:rPr>
            </w:pPr>
            <w:r>
              <w:rPr>
                <w:rFonts w:ascii="Arial" w:cs="Arial" w:eastAsia="Arial" w:hAnsi="Arial"/>
                <w:sz w:val="18"/>
                <w:szCs w:val="18"/>
                <w:color w:val="auto"/>
              </w:rPr>
              <w:t>Silicon Valley</w:t>
            </w:r>
          </w:p>
        </w:tc>
      </w:tr>
      <w:tr>
        <w:trPr>
          <w:trHeight w:val="216"/>
        </w:trPr>
        <w:tc>
          <w:tcPr>
            <w:tcW w:w="4060" w:type="dxa"/>
            <w:vAlign w:val="bottom"/>
          </w:tcPr>
          <w:p>
            <w:pPr>
              <w:spacing w:after="0"/>
              <w:rPr>
                <w:sz w:val="18"/>
                <w:szCs w:val="18"/>
                <w:color w:val="auto"/>
              </w:rPr>
            </w:pPr>
          </w:p>
        </w:tc>
        <w:tc>
          <w:tcPr>
            <w:tcW w:w="4360" w:type="dxa"/>
            <w:vAlign w:val="bottom"/>
          </w:tcPr>
          <w:p>
            <w:pPr>
              <w:ind w:left="3000"/>
              <w:spacing w:after="0"/>
              <w:rPr>
                <w:sz w:val="20"/>
                <w:szCs w:val="20"/>
                <w:color w:val="auto"/>
              </w:rPr>
            </w:pPr>
            <w:r>
              <w:rPr>
                <w:rFonts w:ascii="Arial" w:cs="Arial" w:eastAsia="Arial" w:hAnsi="Arial"/>
                <w:sz w:val="18"/>
                <w:szCs w:val="18"/>
                <w:color w:val="auto"/>
              </w:rPr>
              <w:t>London</w:t>
            </w:r>
          </w:p>
        </w:tc>
        <w:tc>
          <w:tcPr>
            <w:tcW w:w="1720" w:type="dxa"/>
            <w:vAlign w:val="bottom"/>
          </w:tcPr>
          <w:p>
            <w:pPr>
              <w:ind w:left="440"/>
              <w:spacing w:after="0"/>
              <w:rPr>
                <w:sz w:val="20"/>
                <w:szCs w:val="20"/>
                <w:color w:val="auto"/>
              </w:rPr>
            </w:pPr>
            <w:r>
              <w:rPr>
                <w:rFonts w:ascii="Arial" w:cs="Arial" w:eastAsia="Arial" w:hAnsi="Arial"/>
                <w:sz w:val="18"/>
                <w:szCs w:val="18"/>
                <w:color w:val="auto"/>
              </w:rPr>
              <w:t>Singapore</w:t>
            </w:r>
          </w:p>
        </w:tc>
      </w:tr>
      <w:tr>
        <w:trPr>
          <w:trHeight w:val="216"/>
        </w:trPr>
        <w:tc>
          <w:tcPr>
            <w:tcW w:w="4060" w:type="dxa"/>
            <w:vAlign w:val="bottom"/>
          </w:tcPr>
          <w:p>
            <w:pPr>
              <w:spacing w:after="0"/>
              <w:rPr>
                <w:sz w:val="18"/>
                <w:szCs w:val="18"/>
                <w:color w:val="auto"/>
              </w:rPr>
            </w:pPr>
          </w:p>
        </w:tc>
        <w:tc>
          <w:tcPr>
            <w:tcW w:w="4360" w:type="dxa"/>
            <w:vAlign w:val="bottom"/>
          </w:tcPr>
          <w:p>
            <w:pPr>
              <w:ind w:left="3000"/>
              <w:spacing w:after="0"/>
              <w:rPr>
                <w:sz w:val="20"/>
                <w:szCs w:val="20"/>
                <w:color w:val="auto"/>
              </w:rPr>
            </w:pPr>
            <w:r>
              <w:rPr>
                <w:rFonts w:ascii="Arial" w:cs="Arial" w:eastAsia="Arial" w:hAnsi="Arial"/>
                <w:sz w:val="18"/>
                <w:szCs w:val="18"/>
                <w:color w:val="auto"/>
              </w:rPr>
              <w:t>Los Angeles</w:t>
            </w:r>
          </w:p>
        </w:tc>
        <w:tc>
          <w:tcPr>
            <w:tcW w:w="1720" w:type="dxa"/>
            <w:vAlign w:val="bottom"/>
          </w:tcPr>
          <w:p>
            <w:pPr>
              <w:ind w:left="440"/>
              <w:spacing w:after="0"/>
              <w:rPr>
                <w:sz w:val="20"/>
                <w:szCs w:val="20"/>
                <w:color w:val="auto"/>
              </w:rPr>
            </w:pPr>
            <w:r>
              <w:rPr>
                <w:rFonts w:ascii="Arial" w:cs="Arial" w:eastAsia="Arial" w:hAnsi="Arial"/>
                <w:sz w:val="18"/>
                <w:szCs w:val="18"/>
                <w:color w:val="auto"/>
              </w:rPr>
              <w:t>Tokyo</w:t>
            </w:r>
          </w:p>
        </w:tc>
      </w:tr>
      <w:tr>
        <w:trPr>
          <w:trHeight w:val="216"/>
        </w:trPr>
        <w:tc>
          <w:tcPr>
            <w:tcW w:w="4060" w:type="dxa"/>
            <w:vAlign w:val="bottom"/>
          </w:tcPr>
          <w:p>
            <w:pPr>
              <w:spacing w:after="0"/>
              <w:rPr>
                <w:sz w:val="18"/>
                <w:szCs w:val="18"/>
                <w:color w:val="auto"/>
              </w:rPr>
            </w:pPr>
          </w:p>
        </w:tc>
        <w:tc>
          <w:tcPr>
            <w:tcW w:w="4360" w:type="dxa"/>
            <w:vAlign w:val="bottom"/>
          </w:tcPr>
          <w:p>
            <w:pPr>
              <w:ind w:left="3000"/>
              <w:spacing w:after="0"/>
              <w:rPr>
                <w:sz w:val="20"/>
                <w:szCs w:val="20"/>
                <w:color w:val="auto"/>
              </w:rPr>
            </w:pPr>
            <w:r>
              <w:rPr>
                <w:rFonts w:ascii="Arial" w:cs="Arial" w:eastAsia="Arial" w:hAnsi="Arial"/>
                <w:sz w:val="18"/>
                <w:szCs w:val="18"/>
                <w:color w:val="auto"/>
              </w:rPr>
              <w:t>Madrid</w:t>
            </w:r>
          </w:p>
        </w:tc>
        <w:tc>
          <w:tcPr>
            <w:tcW w:w="1720" w:type="dxa"/>
            <w:vAlign w:val="bottom"/>
          </w:tcPr>
          <w:p>
            <w:pPr>
              <w:ind w:left="440"/>
              <w:spacing w:after="0"/>
              <w:rPr>
                <w:sz w:val="20"/>
                <w:szCs w:val="20"/>
                <w:color w:val="auto"/>
              </w:rPr>
            </w:pPr>
            <w:r>
              <w:rPr>
                <w:rFonts w:ascii="Arial" w:cs="Arial" w:eastAsia="Arial" w:hAnsi="Arial"/>
                <w:sz w:val="18"/>
                <w:szCs w:val="18"/>
                <w:color w:val="auto"/>
                <w:w w:val="89"/>
              </w:rPr>
              <w:t>Washington, D.C.</w:t>
            </w:r>
          </w:p>
        </w:tc>
      </w:tr>
      <w:tr>
        <w:trPr>
          <w:trHeight w:val="230"/>
        </w:trPr>
        <w:tc>
          <w:tcPr>
            <w:tcW w:w="4060" w:type="dxa"/>
            <w:vAlign w:val="bottom"/>
          </w:tcPr>
          <w:p>
            <w:pPr>
              <w:spacing w:after="0"/>
              <w:rPr>
                <w:sz w:val="20"/>
                <w:szCs w:val="20"/>
                <w:color w:val="auto"/>
              </w:rPr>
            </w:pPr>
          </w:p>
        </w:tc>
        <w:tc>
          <w:tcPr>
            <w:tcW w:w="4360" w:type="dxa"/>
            <w:vAlign w:val="bottom"/>
          </w:tcPr>
          <w:p>
            <w:pPr>
              <w:ind w:left="3000"/>
              <w:spacing w:after="0"/>
              <w:rPr>
                <w:sz w:val="20"/>
                <w:szCs w:val="20"/>
                <w:color w:val="auto"/>
              </w:rPr>
            </w:pPr>
            <w:r>
              <w:rPr>
                <w:rFonts w:ascii="Arial" w:cs="Arial" w:eastAsia="Arial" w:hAnsi="Arial"/>
                <w:sz w:val="18"/>
                <w:szCs w:val="18"/>
                <w:color w:val="auto"/>
              </w:rPr>
              <w:t>Milan</w:t>
            </w:r>
          </w:p>
        </w:tc>
        <w:tc>
          <w:tcPr>
            <w:tcW w:w="1720" w:type="dxa"/>
            <w:vAlign w:val="bottom"/>
          </w:tcPr>
          <w:p>
            <w:pPr>
              <w:spacing w:after="0"/>
              <w:rPr>
                <w:sz w:val="20"/>
                <w:szCs w:val="20"/>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HAND DELIVERY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Suzanne Hayes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4565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rPr>
              <w:t>Re:</w:t>
            </w:r>
          </w:p>
        </w:tc>
        <w:tc>
          <w:tcPr>
            <w:tcW w:w="4280" w:type="dxa"/>
            <w:vAlign w:val="bottom"/>
            <w:gridSpan w:val="2"/>
          </w:tcPr>
          <w:p>
            <w:pPr>
              <w:spacing w:after="0"/>
              <w:rPr>
                <w:sz w:val="20"/>
                <w:szCs w:val="20"/>
                <w:color w:val="auto"/>
              </w:rPr>
            </w:pPr>
            <w:r>
              <w:rPr>
                <w:rFonts w:ascii="Arial" w:cs="Arial" w:eastAsia="Arial" w:hAnsi="Arial"/>
                <w:sz w:val="18"/>
                <w:szCs w:val="18"/>
                <w:color w:val="auto"/>
              </w:rPr>
              <w:t>Verona Pharma plc</w:t>
            </w:r>
          </w:p>
        </w:tc>
      </w:tr>
      <w:tr>
        <w:trPr>
          <w:trHeight w:val="20"/>
        </w:trPr>
        <w:tc>
          <w:tcPr>
            <w:tcW w:w="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42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Registration Statement on Form F-1 (File No. 333-217124)</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ind w:firstLine="648"/>
        <w:spacing w:after="0" w:line="293" w:lineRule="auto"/>
        <w:rPr>
          <w:sz w:val="20"/>
          <w:szCs w:val="20"/>
          <w:color w:val="auto"/>
        </w:rPr>
      </w:pPr>
      <w:r>
        <w:rPr>
          <w:rFonts w:ascii="Arial" w:cs="Arial" w:eastAsia="Arial" w:hAnsi="Arial"/>
          <w:sz w:val="16"/>
          <w:szCs w:val="16"/>
          <w:color w:val="auto"/>
        </w:rPr>
        <w:t>On behalf of Verona Pharma plc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transmitting this letter in response to comments received from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by letter dated April 14, 2017 with respect to the Company’s Registration Statement on Form F-1, which was filed on EDGAR on April 3, 2017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This letter is being submitted to you with a copy of Amendment No. 1 to the Registration Statement (“</w:t>
      </w:r>
      <w:r>
        <w:rPr>
          <w:rFonts w:ascii="Arial" w:cs="Arial" w:eastAsia="Arial" w:hAnsi="Arial"/>
          <w:sz w:val="16"/>
          <w:szCs w:val="16"/>
          <w:b w:val="1"/>
          <w:bCs w:val="1"/>
          <w:i w:val="1"/>
          <w:iCs w:val="1"/>
          <w:color w:val="auto"/>
        </w:rPr>
        <w:t>Amendment No. 1</w:t>
      </w:r>
      <w:r>
        <w:rPr>
          <w:rFonts w:ascii="Arial" w:cs="Arial" w:eastAsia="Arial" w:hAnsi="Arial"/>
          <w:sz w:val="16"/>
          <w:szCs w:val="16"/>
          <w:color w:val="auto"/>
        </w:rPr>
        <w:t>”). The bold and numbered paragraphs below correspond to the numbered paragraphs in the Staff’s letter and are followed by the Company’s responses. For the Staff’s convenience, we are also sending, by courier, copies of this letter, copies of Amendment No. 1, and copies of Exhibit 5.1 to Amendment No. 1 (“</w:t>
      </w:r>
      <w:r>
        <w:rPr>
          <w:rFonts w:ascii="Arial" w:cs="Arial" w:eastAsia="Arial" w:hAnsi="Arial"/>
          <w:sz w:val="16"/>
          <w:szCs w:val="16"/>
          <w:b w:val="1"/>
          <w:bCs w:val="1"/>
          <w:i w:val="1"/>
          <w:iCs w:val="1"/>
          <w:color w:val="auto"/>
        </w:rPr>
        <w:t>Exhibit 5.1</w:t>
      </w:r>
      <w:r>
        <w:rPr>
          <w:rFonts w:ascii="Arial" w:cs="Arial" w:eastAsia="Arial" w:hAnsi="Arial"/>
          <w:sz w:val="16"/>
          <w:szCs w:val="16"/>
          <w:color w:val="auto"/>
        </w:rPr>
        <w:t>”) that reflect changes made from Exhibit 5.1 filed with the Registration Statement.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Exhibit 5.1 Legal Opinion</w:t>
      </w:r>
    </w:p>
    <w:p>
      <w:pPr>
        <w:spacing w:after="0" w:line="212" w:lineRule="exact"/>
        <w:rPr>
          <w:sz w:val="24"/>
          <w:szCs w:val="24"/>
          <w:color w:val="auto"/>
        </w:rPr>
      </w:pPr>
    </w:p>
    <w:p>
      <w:pPr>
        <w:jc w:val="both"/>
        <w:ind w:left="660" w:right="140" w:hanging="652"/>
        <w:spacing w:after="0" w:line="26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Paragraph 1.3 includes an inappropriate limitation on the documents reviewed and review conducted. You may indicate that the identified items were the only items you reviewed if you also state that you determined that the identified documents included all documents that you deemed relevant to rendering an</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60" w:right="2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opinion. Please revise to remove the language indicating that your review was limited to the identified inquiries and searches or revise the opinion to also specifically state that you determined the identified documents and searches were the only ones relevant to rendering an opinion.</w:t>
      </w:r>
    </w:p>
    <w:p>
      <w:pPr>
        <w:spacing w:after="0" w:line="18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revised paragraph 1.3 of Exhibit 5.1.</w:t>
      </w:r>
    </w:p>
    <w:p>
      <w:pPr>
        <w:spacing w:after="0" w:line="221" w:lineRule="exact"/>
        <w:rPr>
          <w:rFonts w:ascii="Arial" w:cs="Arial" w:eastAsia="Arial" w:hAnsi="Arial"/>
          <w:sz w:val="18"/>
          <w:szCs w:val="18"/>
          <w:b w:val="1"/>
          <w:bCs w:val="1"/>
          <w:color w:val="auto"/>
        </w:rPr>
      </w:pPr>
    </w:p>
    <w:p>
      <w:pPr>
        <w:ind w:left="660" w:right="160" w:hanging="652"/>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It is inappropriate to include assumptions that are too broad or assume material facts underlying the opinion. Paragraph 2(c) appears to assume material facts related to the issue of whether the shares will be legally issued. Please revise your opinion to remove paragraph 2(c), refile the legal opinion following the directors’ resolution to allot and issue the shares or provide us with an explanation as to why this assumption is necessary and appropriate.</w:t>
      </w:r>
    </w:p>
    <w:p>
      <w:pPr>
        <w:spacing w:after="0" w:line="18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revised paragraph 2(c) of Exhibit 5.1.</w:t>
      </w:r>
    </w:p>
    <w:p>
      <w:pPr>
        <w:spacing w:after="0" w:line="221" w:lineRule="exact"/>
        <w:rPr>
          <w:rFonts w:ascii="Arial" w:cs="Arial" w:eastAsia="Arial" w:hAnsi="Arial"/>
          <w:sz w:val="18"/>
          <w:szCs w:val="18"/>
          <w:b w:val="1"/>
          <w:bCs w:val="1"/>
          <w:color w:val="auto"/>
        </w:rPr>
      </w:pPr>
    </w:p>
    <w:p>
      <w:pPr>
        <w:ind w:left="660" w:right="120" w:hanging="652"/>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Similarly, it is not appropriate to assume facts that are readily ascertainable. Please remove your assumptions relating to Company actions from paragraph (i) from Schedule 1 Assumptions. Additionally, with respect to your reservation in paragraph (a) of Schedule 2 Reservations, tell us why your searches are not capable of revealing the material facts. To the extent possible, draft your assumptions more narrowly.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-2731135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49" w:right="259" w:bottom="167" w:gutter="0" w:footer="0" w:header="0"/>
        </w:sectPr>
      </w:pPr>
    </w:p>
    <w:bookmarkStart w:id="1" w:name="page2"/>
    <w:bookmarkEnd w:id="1"/>
    <w:p>
      <w:pPr>
        <w:ind w:left="660" w:right="200"/>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removed paragraph (i) from Schedule 1 Assumptions of Exhibit 5.1. The Company respectfully advises the Staff that paragraph (a) of Schedule 2 Reservations is a standard reservation in Latham &amp; Watkins’ English law opinions which is included for the reasons set out below.</w:t>
      </w:r>
    </w:p>
    <w:p>
      <w:pPr>
        <w:spacing w:after="0" w:line="181"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The records of Companies House and the Central Index of Winding-Up Petitions may not be complete or up-to-date. In particular, the Central Index of Winding-Up Petitions may not contain details of administration applications filed, or appointments recorded in or orders made by, district registries and county courts outside of London. Searches at Companies House and at the Central Index of Winding-Up Petitions are not capable of revealing whether or not a winding-up petition or a petition for the making of an administration order has been presented and, further, notice of a winding-up order or resolution, notice of an administration order and notice of the appointment of a receiver may not be filed at Companies House immediately and there may be a delay in the relevant notice appearing on the file of the company concerned.</w:t>
      </w:r>
    </w:p>
    <w:p>
      <w:pPr>
        <w:spacing w:after="0" w:line="174" w:lineRule="exact"/>
        <w:rPr>
          <w:sz w:val="20"/>
          <w:szCs w:val="20"/>
          <w:color w:val="auto"/>
        </w:rPr>
      </w:pPr>
    </w:p>
    <w:p>
      <w:pPr>
        <w:ind w:left="660" w:right="120" w:hanging="652"/>
        <w:spacing w:after="0" w:line="266"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assumption that “no shares in the capital of the company other than the Shares have been or will be allotted pursuant to resolutions 2 and 3 passed at the General Meeting.” Without knowing the nature of resolutions 2 and 3, it is not possible to understand the effect of this assumption.</w:t>
      </w:r>
    </w:p>
    <w:p>
      <w:pPr>
        <w:spacing w:after="0" w:line="18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acknowledges the Staff’s comment and has removed paragraph (g) of Schedule 1 Assumptions in Exhibit 5.1.</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have any questions regarding the foregoing response or the enclosed Registration Statement, please do not hesitate to contact me by telephone at (212) 906-2916.</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Nathan Ajiashvili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Nathan Ajiashvili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 LATHAM &amp; WATKINS LLP</w:t>
      </w:r>
    </w:p>
    <w:p>
      <w:pPr>
        <w:spacing w:after="0" w:line="211" w:lineRule="exact"/>
        <w:rPr>
          <w:sz w:val="20"/>
          <w:szCs w:val="20"/>
          <w:color w:val="auto"/>
        </w:rPr>
      </w:pPr>
    </w:p>
    <w:p>
      <w:pPr>
        <w:ind w:left="440" w:right="7460" w:hanging="432"/>
        <w:spacing w:after="0" w:line="342" w:lineRule="auto"/>
        <w:tabs>
          <w:tab w:leader="none" w:pos="434" w:val="left"/>
        </w:tabs>
        <w:numPr>
          <w:ilvl w:val="0"/>
          <w:numId w:val="3"/>
        </w:numPr>
        <w:rPr>
          <w:rFonts w:ascii="Arial" w:cs="Arial" w:eastAsia="Arial" w:hAnsi="Arial"/>
          <w:sz w:val="16"/>
          <w:szCs w:val="16"/>
          <w:color w:val="auto"/>
        </w:rPr>
      </w:pPr>
      <w:r>
        <w:rPr>
          <w:rFonts w:ascii="Arial" w:cs="Arial" w:eastAsia="Arial" w:hAnsi="Arial"/>
          <w:sz w:val="16"/>
          <w:szCs w:val="16"/>
          <w:color w:val="auto"/>
        </w:rPr>
        <w:t>Jan-Anders Karlsson, Ph.D., Verona Pharma plc Peter N. Handrinos, Latham &amp; Watkins LLP</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2019-12-08T03:48:05Z</dcterms:created>
  <dcterms:modified xsi:type="dcterms:W3CDTF">2019-12-08T03:48:05Z</dcterms:modified>
</cp:coreProperties>
</file>