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Verona Pharma plc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Ordinary Shares, nominal value £0.05 per share</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American Depositary Shares, each representing eight Ordinary Shares</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925050106</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7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Peter Haahr</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Novo Holdings A/S</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Tuborg Havnevej 19</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Hellerup, Denmark DK-2900</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+45 3527 6592</w:t>
      </w:r>
    </w:p>
    <w:p>
      <w:pPr>
        <w:spacing w:after="0" w:line="234"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Copy to:</w:t>
      </w:r>
    </w:p>
    <w:p>
      <w:pPr>
        <w:spacing w:after="0" w:line="25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B. Shayne Kennedy, Esq.</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Latham &amp; Watkins LLP</w:t>
      </w:r>
    </w:p>
    <w:p>
      <w:pPr>
        <w:spacing w:after="0" w:line="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650 Town Center Drive, 20</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Costa Mesa, CA 92626</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Telephone: (714) 540-1235</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1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September 30, 2020</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80" w:firstLine="4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subject of this Schedule 13D, and is filing this statement because of Rule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7" w:lineRule="exact"/>
        <w:rPr>
          <w:sz w:val="24"/>
          <w:szCs w:val="24"/>
          <w:color w:val="auto"/>
        </w:rPr>
      </w:pPr>
    </w:p>
    <w:p>
      <w:pPr>
        <w:ind w:left="4" w:right="60" w:firstLine="440"/>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13d-7(b)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6"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925050106</w:t>
      </w:r>
    </w:p>
    <w:p>
      <w:pPr>
        <w:spacing w:after="0" w:line="144" w:lineRule="exact"/>
        <w:rPr>
          <w:sz w:val="20"/>
          <w:szCs w:val="20"/>
          <w:color w:val="auto"/>
        </w:rPr>
      </w:pPr>
    </w:p>
    <w:p>
      <w:pPr>
        <w:ind w:left="244"/>
        <w:spacing w:after="0"/>
        <w:tabs>
          <w:tab w:leader="none" w:pos="504"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6334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6334760"/>
                    </a:xfrm>
                    <a:prstGeom prst="rect">
                      <a:avLst/>
                    </a:prstGeom>
                    <a:noFill/>
                  </pic:spPr>
                </pic:pic>
              </a:graphicData>
            </a:graphic>
          </wp:anchor>
        </w:drawing>
      </w:r>
    </w:p>
    <w:p>
      <w:pPr>
        <w:spacing w:after="0" w:line="22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Novo Holdings A/S</w:t>
      </w:r>
    </w:p>
    <w:p>
      <w:pPr>
        <w:spacing w:after="0" w:line="21" w:lineRule="exact"/>
        <w:rPr>
          <w:sz w:val="20"/>
          <w:szCs w:val="20"/>
          <w:color w:val="auto"/>
        </w:rPr>
      </w:pPr>
    </w:p>
    <w:p>
      <w:pPr>
        <w:ind w:left="524" w:hanging="277"/>
        <w:spacing w:after="0"/>
        <w:tabs>
          <w:tab w:leader="none" w:pos="524"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Group (See Instructions):</w:t>
      </w:r>
    </w:p>
    <w:p>
      <w:pPr>
        <w:spacing w:after="0" w:line="21"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524" w:hanging="277"/>
        <w:spacing w:after="0"/>
        <w:tabs>
          <w:tab w:leader="none" w:pos="524"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79" w:lineRule="exact"/>
        <w:rPr>
          <w:rFonts w:ascii="Arial" w:cs="Arial" w:eastAsia="Arial" w:hAnsi="Arial"/>
          <w:sz w:val="18"/>
          <w:szCs w:val="18"/>
          <w:color w:val="auto"/>
        </w:rPr>
      </w:pPr>
    </w:p>
    <w:p>
      <w:pPr>
        <w:ind w:left="524" w:hanging="277"/>
        <w:spacing w:after="0"/>
        <w:tabs>
          <w:tab w:leader="none" w:pos="524"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Source of Funds:</w:t>
      </w:r>
    </w:p>
    <w:p>
      <w:pPr>
        <w:spacing w:after="0" w:line="249" w:lineRule="exact"/>
        <w:rPr>
          <w:sz w:val="20"/>
          <w:szCs w:val="20"/>
          <w:color w:val="auto"/>
        </w:rPr>
      </w:pPr>
    </w:p>
    <w:p>
      <w:pPr>
        <w:ind w:left="524"/>
        <w:spacing w:after="0"/>
        <w:rPr>
          <w:sz w:val="20"/>
          <w:szCs w:val="20"/>
          <w:color w:val="auto"/>
        </w:rPr>
      </w:pPr>
      <w:r>
        <w:rPr>
          <w:rFonts w:ascii="Arial" w:cs="Arial" w:eastAsia="Arial" w:hAnsi="Arial"/>
          <w:sz w:val="22"/>
          <w:szCs w:val="22"/>
          <w:color w:val="auto"/>
        </w:rPr>
        <w:t>WC</w:t>
      </w:r>
    </w:p>
    <w:p>
      <w:pPr>
        <w:spacing w:after="0" w:line="21" w:lineRule="exact"/>
        <w:rPr>
          <w:sz w:val="20"/>
          <w:szCs w:val="20"/>
          <w:color w:val="auto"/>
        </w:rPr>
      </w:pPr>
    </w:p>
    <w:p>
      <w:pPr>
        <w:ind w:left="524" w:hanging="277"/>
        <w:spacing w:after="0"/>
        <w:tabs>
          <w:tab w:leader="none" w:pos="524"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Check if Disclosure of Legal Proceedings is Required Pursuant to </w:t>
      </w:r>
      <w:r>
        <w:rPr>
          <w:rFonts w:ascii="Arial" w:cs="Arial" w:eastAsia="Arial" w:hAnsi="Arial"/>
          <w:sz w:val="16"/>
          <w:szCs w:val="16"/>
          <w:b w:val="1"/>
          <w:bCs w:val="1"/>
          <w:u w:val="single" w:color="auto"/>
          <w:color w:val="auto"/>
        </w:rPr>
        <w:t>Items 2(d)</w:t>
      </w:r>
      <w:r>
        <w:rPr>
          <w:rFonts w:ascii="Arial" w:cs="Arial" w:eastAsia="Arial" w:hAnsi="Arial"/>
          <w:sz w:val="16"/>
          <w:szCs w:val="16"/>
          <w:b w:val="1"/>
          <w:bCs w:val="1"/>
          <w:color w:val="auto"/>
        </w:rPr>
        <w:t xml:space="preserve"> or </w:t>
      </w:r>
      <w:r>
        <w:rPr>
          <w:rFonts w:ascii="Arial" w:cs="Arial" w:eastAsia="Arial" w:hAnsi="Arial"/>
          <w:sz w:val="16"/>
          <w:szCs w:val="16"/>
          <w:b w:val="1"/>
          <w:bCs w:val="1"/>
          <w:u w:val="single" w:color="auto"/>
          <w:color w:val="auto"/>
        </w:rPr>
        <w:t>2(e):</w:t>
      </w:r>
    </w:p>
    <w:p>
      <w:pPr>
        <w:spacing w:after="0" w:line="244" w:lineRule="exact"/>
        <w:rPr>
          <w:sz w:val="20"/>
          <w:szCs w:val="20"/>
          <w:color w:val="auto"/>
        </w:rPr>
      </w:pPr>
    </w:p>
    <w:p>
      <w:pPr>
        <w:ind w:left="524"/>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524" w:hanging="277"/>
        <w:spacing w:after="0"/>
        <w:tabs>
          <w:tab w:leader="none" w:pos="52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524"/>
        <w:spacing w:after="0"/>
        <w:rPr>
          <w:sz w:val="20"/>
          <w:szCs w:val="20"/>
          <w:color w:val="auto"/>
        </w:rPr>
      </w:pPr>
      <w:r>
        <w:rPr>
          <w:rFonts w:ascii="Arial" w:cs="Arial" w:eastAsia="Arial" w:hAnsi="Arial"/>
          <w:sz w:val="22"/>
          <w:szCs w:val="22"/>
          <w:color w:val="auto"/>
        </w:rPr>
        <w:t>Denmark</w:t>
      </w:r>
    </w:p>
    <w:p>
      <w:pPr>
        <w:sectPr>
          <w:pgSz w:w="11900" w:h="16838" w:orient="portrait"/>
          <w:cols w:equalWidth="0" w:num="1">
            <w:col w:w="10764"/>
          </w:cols>
          <w:pgMar w:left="436" w:top="395" w:right="69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left="22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2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24"/>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2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2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2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2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2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448" w:hanging="358"/>
        <w:spacing w:after="0"/>
        <w:tabs>
          <w:tab w:leader="none" w:pos="44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48" w:lineRule="exact"/>
        <w:rPr>
          <w:sz w:val="20"/>
          <w:szCs w:val="20"/>
          <w:color w:val="auto"/>
        </w:rPr>
      </w:pPr>
    </w:p>
    <w:p>
      <w:pPr>
        <w:ind w:left="448"/>
        <w:spacing w:after="0"/>
        <w:rPr>
          <w:sz w:val="20"/>
          <w:szCs w:val="20"/>
          <w:color w:val="auto"/>
        </w:rPr>
      </w:pPr>
      <w:r>
        <w:rPr>
          <w:rFonts w:ascii="Arial" w:cs="Arial" w:eastAsia="Arial" w:hAnsi="Arial"/>
          <w:sz w:val="22"/>
          <w:szCs w:val="22"/>
          <w:color w:val="auto"/>
        </w:rPr>
        <w:t>22,639,667</w:t>
      </w:r>
      <w:r>
        <w:rPr>
          <w:rFonts w:ascii="Arial" w:cs="Arial" w:eastAsia="Arial" w:hAnsi="Arial"/>
          <w:sz w:val="18"/>
          <w:szCs w:val="18"/>
          <w:color w:val="auto"/>
        </w:rPr>
        <w:t>(1)</w:t>
      </w:r>
    </w:p>
    <w:p>
      <w:pPr>
        <w:spacing w:after="0" w:line="21" w:lineRule="exact"/>
        <w:rPr>
          <w:sz w:val="20"/>
          <w:szCs w:val="20"/>
          <w:color w:val="auto"/>
        </w:rPr>
      </w:pPr>
    </w:p>
    <w:p>
      <w:pPr>
        <w:ind w:left="448" w:hanging="358"/>
        <w:spacing w:after="0"/>
        <w:tabs>
          <w:tab w:leader="none" w:pos="44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Shared Voting Power:</w:t>
      </w:r>
    </w:p>
    <w:p>
      <w:pPr>
        <w:spacing w:after="0" w:line="248" w:lineRule="exact"/>
        <w:rPr>
          <w:sz w:val="20"/>
          <w:szCs w:val="20"/>
          <w:color w:val="auto"/>
        </w:rPr>
      </w:pPr>
    </w:p>
    <w:p>
      <w:pPr>
        <w:ind w:left="448"/>
        <w:spacing w:after="0"/>
        <w:rPr>
          <w:sz w:val="20"/>
          <w:szCs w:val="20"/>
          <w:color w:val="auto"/>
        </w:rPr>
      </w:pPr>
      <w:r>
        <w:rPr>
          <w:rFonts w:ascii="Arial" w:cs="Arial" w:eastAsia="Arial" w:hAnsi="Arial"/>
          <w:sz w:val="22"/>
          <w:szCs w:val="22"/>
          <w:color w:val="auto"/>
        </w:rPr>
        <w:t>0</w:t>
      </w:r>
    </w:p>
    <w:p>
      <w:pPr>
        <w:spacing w:after="0" w:line="21" w:lineRule="exact"/>
        <w:rPr>
          <w:sz w:val="20"/>
          <w:szCs w:val="20"/>
          <w:color w:val="auto"/>
        </w:rPr>
      </w:pPr>
    </w:p>
    <w:p>
      <w:pPr>
        <w:ind w:left="448" w:hanging="358"/>
        <w:spacing w:after="0"/>
        <w:tabs>
          <w:tab w:leader="none" w:pos="448"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Sole Dispositive Power:</w:t>
      </w:r>
    </w:p>
    <w:p>
      <w:pPr>
        <w:spacing w:after="0" w:line="259" w:lineRule="exact"/>
        <w:rPr>
          <w:sz w:val="20"/>
          <w:szCs w:val="20"/>
          <w:color w:val="auto"/>
        </w:rPr>
      </w:pPr>
    </w:p>
    <w:p>
      <w:pPr>
        <w:ind w:left="448"/>
        <w:spacing w:after="0"/>
        <w:rPr>
          <w:sz w:val="20"/>
          <w:szCs w:val="20"/>
          <w:color w:val="auto"/>
        </w:rPr>
      </w:pPr>
      <w:r>
        <w:rPr>
          <w:rFonts w:ascii="Arial" w:cs="Arial" w:eastAsia="Arial" w:hAnsi="Arial"/>
          <w:sz w:val="22"/>
          <w:szCs w:val="22"/>
          <w:color w:val="auto"/>
        </w:rPr>
        <w:t>22,639,667</w:t>
      </w:r>
      <w:r>
        <w:rPr>
          <w:rFonts w:ascii="Arial" w:cs="Arial" w:eastAsia="Arial" w:hAnsi="Arial"/>
          <w:sz w:val="18"/>
          <w:szCs w:val="18"/>
          <w:color w:val="auto"/>
        </w:rPr>
        <w:t>(1)</w:t>
      </w:r>
    </w:p>
    <w:p>
      <w:pPr>
        <w:spacing w:after="0" w:line="21" w:lineRule="exact"/>
        <w:rPr>
          <w:sz w:val="20"/>
          <w:szCs w:val="20"/>
          <w:color w:val="auto"/>
        </w:rPr>
      </w:pPr>
    </w:p>
    <w:p>
      <w:pPr>
        <w:ind w:left="448" w:hanging="448"/>
        <w:spacing w:after="0"/>
        <w:tabs>
          <w:tab w:leader="none" w:pos="448"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Shared Dispositive Power:</w:t>
      </w:r>
    </w:p>
    <w:p>
      <w:pPr>
        <w:spacing w:after="0" w:line="271" w:lineRule="exact"/>
        <w:rPr>
          <w:sz w:val="20"/>
          <w:szCs w:val="20"/>
          <w:color w:val="auto"/>
        </w:rPr>
      </w:pPr>
    </w:p>
    <w:p>
      <w:pPr>
        <w:ind w:left="448"/>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ectPr>
          <w:pgSz w:w="11900" w:h="16838" w:orient="portrait"/>
          <w:cols w:equalWidth="0" w:num="2">
            <w:col w:w="1104" w:space="192"/>
            <w:col w:w="9468"/>
          </w:cols>
          <w:pgMar w:left="436" w:top="395" w:right="699" w:bottom="1440" w:gutter="0" w:footer="0" w:header="0"/>
          <w:type w:val="continuous"/>
        </w:sectPr>
      </w:pPr>
    </w:p>
    <w:p>
      <w:pPr>
        <w:ind w:left="164"/>
        <w:spacing w:after="0"/>
        <w:tabs>
          <w:tab w:leader="none" w:pos="5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Aggregate Amount Beneficially Owned by Each Reporting Person: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22,639,667</w:t>
      </w:r>
      <w:r>
        <w:rPr>
          <w:rFonts w:ascii="Arial" w:cs="Arial" w:eastAsia="Arial" w:hAnsi="Arial"/>
          <w:sz w:val="18"/>
          <w:szCs w:val="18"/>
          <w:color w:val="auto"/>
        </w:rPr>
        <w:t>(1)</w:t>
      </w:r>
    </w:p>
    <w:p>
      <w:pPr>
        <w:spacing w:after="0" w:line="24"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Check if the Aggregate Amount in Row (11) Excludes Certain Shares:</w:t>
      </w:r>
    </w:p>
    <w:p>
      <w:pPr>
        <w:spacing w:after="0" w:line="218" w:lineRule="exact"/>
        <w:rPr>
          <w:sz w:val="20"/>
          <w:szCs w:val="20"/>
          <w:color w:val="auto"/>
        </w:rPr>
      </w:pPr>
    </w:p>
    <w:p>
      <w:pPr>
        <w:ind w:left="524"/>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Percent of Class Represented By Amount In Row (11):</w:t>
      </w:r>
    </w:p>
    <w:p>
      <w:pPr>
        <w:spacing w:after="0" w:line="229" w:lineRule="exact"/>
        <w:rPr>
          <w:sz w:val="20"/>
          <w:szCs w:val="20"/>
          <w:color w:val="auto"/>
        </w:rPr>
      </w:pPr>
    </w:p>
    <w:p>
      <w:pPr>
        <w:ind w:left="524"/>
        <w:spacing w:after="0"/>
        <w:rPr>
          <w:sz w:val="20"/>
          <w:szCs w:val="20"/>
          <w:color w:val="auto"/>
        </w:rPr>
      </w:pPr>
      <w:r>
        <w:rPr>
          <w:rFonts w:ascii="Arial" w:cs="Arial" w:eastAsia="Arial" w:hAnsi="Arial"/>
          <w:sz w:val="22"/>
          <w:szCs w:val="22"/>
          <w:color w:val="auto"/>
        </w:rPr>
        <w:t>5.4%</w:t>
      </w:r>
      <w:r>
        <w:rPr>
          <w:rFonts w:ascii="Arial" w:cs="Arial" w:eastAsia="Arial" w:hAnsi="Arial"/>
          <w:sz w:val="18"/>
          <w:szCs w:val="18"/>
          <w:color w:val="auto"/>
        </w:rPr>
        <w:t>(2)</w:t>
      </w:r>
    </w:p>
    <w:p>
      <w:pPr>
        <w:spacing w:after="0" w:line="24"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CO</w:t>
      </w:r>
    </w:p>
    <w:p>
      <w:pPr>
        <w:spacing w:after="0" w:line="267" w:lineRule="exact"/>
        <w:rPr>
          <w:sz w:val="20"/>
          <w:szCs w:val="20"/>
          <w:color w:val="auto"/>
        </w:rPr>
      </w:pPr>
    </w:p>
    <w:p>
      <w:pPr>
        <w:ind w:left="424" w:right="20" w:hanging="424"/>
        <w:spacing w:after="0" w:line="255"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(a) 6,464,065 ordinary shares, (b) 1,800,747 American Depository Shares (“</w:t>
      </w:r>
      <w:r>
        <w:rPr>
          <w:rFonts w:ascii="Arial" w:cs="Arial" w:eastAsia="Arial" w:hAnsi="Arial"/>
          <w:sz w:val="18"/>
          <w:szCs w:val="18"/>
          <w:u w:val="single" w:color="auto"/>
          <w:color w:val="auto"/>
        </w:rPr>
        <w:t>ADSs</w:t>
      </w:r>
      <w:r>
        <w:rPr>
          <w:rFonts w:ascii="Arial" w:cs="Arial" w:eastAsia="Arial" w:hAnsi="Arial"/>
          <w:sz w:val="18"/>
          <w:szCs w:val="18"/>
          <w:color w:val="auto"/>
        </w:rPr>
        <w:t>”) that each represent 8 ordinary shares, totaling 14,405,976 ordinary shares, and (c) vested warrants to purchase 1,769,626 ordinary shares (or 221,203 ADSs, at the election of Novo Holdings A/S).</w:t>
      </w:r>
    </w:p>
    <w:p>
      <w:pPr>
        <w:spacing w:after="0" w:line="2" w:lineRule="exact"/>
        <w:rPr>
          <w:rFonts w:ascii="Arial" w:cs="Arial" w:eastAsia="Arial" w:hAnsi="Arial"/>
          <w:sz w:val="18"/>
          <w:szCs w:val="18"/>
          <w:color w:val="auto"/>
        </w:rPr>
      </w:pPr>
    </w:p>
    <w:p>
      <w:pPr>
        <w:ind w:left="424" w:hanging="424"/>
        <w:spacing w:after="0" w:line="26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upon 414,545,590 ordinary shares (assuming conversion of ADSs to ordinary shares) as reported by the Issuer on its website and Novo’s vested warrants to purchase 1,769,626 ordinary shares.</w:t>
      </w:r>
    </w:p>
    <w:p>
      <w:pPr>
        <w:spacing w:after="0" w:line="118" w:lineRule="exact"/>
        <w:rPr>
          <w:sz w:val="20"/>
          <w:szCs w:val="20"/>
          <w:color w:val="auto"/>
        </w:rPr>
      </w:pPr>
    </w:p>
    <w:p>
      <w:pPr>
        <w:jc w:val="center"/>
        <w:ind w:right="-26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4"/>
          </w:cols>
          <w:pgMar w:left="436" w:top="395" w:right="6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This amendment (“</w:t>
      </w:r>
      <w:r>
        <w:rPr>
          <w:rFonts w:ascii="Arial" w:cs="Arial" w:eastAsia="Arial" w:hAnsi="Arial"/>
          <w:sz w:val="18"/>
          <w:szCs w:val="18"/>
          <w:u w:val="single" w:color="auto"/>
          <w:color w:val="auto"/>
        </w:rPr>
        <w:t>Amendment No. 2</w:t>
      </w:r>
      <w:r>
        <w:rPr>
          <w:rFonts w:ascii="Arial" w:cs="Arial" w:eastAsia="Arial" w:hAnsi="Arial"/>
          <w:sz w:val="18"/>
          <w:szCs w:val="18"/>
          <w:color w:val="auto"/>
        </w:rPr>
        <w:t>”), amends the Schedule 13D originally filed with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on April 2, 2019, subsequently amended by Amendment No. 1 filed on July 24, 2020 (collectively the “</w:t>
      </w:r>
      <w:r>
        <w:rPr>
          <w:rFonts w:ascii="Arial" w:cs="Arial" w:eastAsia="Arial" w:hAnsi="Arial"/>
          <w:sz w:val="18"/>
          <w:szCs w:val="18"/>
          <w:u w:val="single" w:color="auto"/>
          <w:color w:val="auto"/>
        </w:rPr>
        <w:t>Schedule</w:t>
      </w:r>
      <w:r>
        <w:rPr>
          <w:rFonts w:ascii="Arial" w:cs="Arial" w:eastAsia="Arial" w:hAnsi="Arial"/>
          <w:sz w:val="18"/>
          <w:szCs w:val="18"/>
          <w:color w:val="auto"/>
        </w:rPr>
        <w:t>”) to report and reflect that Martin Edwards, a board member of the Issuer, no longer serves as an employee of, and is no longer affiliated with, Novo Holdings A/S. Accordingly, effective with this filing, Novo Holdings A/S will be eligible to revert back to a 13G filing status and thus all future filings will be made on a Form 13G amendment in accordance with the 13G filing requirements. All capitalized terms contained herein but not otherwise defined shall have the meanings ascribed to such terms in the Schedule.</w:t>
      </w:r>
    </w:p>
    <w:p>
      <w:pPr>
        <w:spacing w:after="0" w:line="33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is amended and replaced in its entirety as follows:</w:t>
      </w:r>
    </w:p>
    <w:p>
      <w:pPr>
        <w:spacing w:after="0" w:line="135" w:lineRule="exact"/>
        <w:rPr>
          <w:sz w:val="20"/>
          <w:szCs w:val="20"/>
          <w:color w:val="auto"/>
        </w:rPr>
      </w:pPr>
    </w:p>
    <w:p>
      <w:pPr>
        <w:ind w:left="1740" w:right="100" w:hanging="543"/>
        <w:spacing w:after="0" w:line="275" w:lineRule="auto"/>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Novo Holdings A/S is a Danish limited liability company that is wholly owned by Novo Nordisk Fonden (the “</w:t>
      </w:r>
      <w:r>
        <w:rPr>
          <w:rFonts w:ascii="Arial" w:cs="Arial" w:eastAsia="Arial" w:hAnsi="Arial"/>
          <w:sz w:val="17"/>
          <w:szCs w:val="17"/>
          <w:u w:val="single" w:color="auto"/>
          <w:color w:val="auto"/>
        </w:rPr>
        <w:t>Foundation</w:t>
      </w:r>
      <w:r>
        <w:rPr>
          <w:rFonts w:ascii="Arial" w:cs="Arial" w:eastAsia="Arial" w:hAnsi="Arial"/>
          <w:sz w:val="17"/>
          <w:szCs w:val="17"/>
          <w:color w:val="auto"/>
        </w:rPr>
        <w:t>”), a Danish commercial foundation. Novo Holdings A/S is the holding company in the group of Novo companies (currently comprised of Novo Nordisk A/S and Novozymes A/S) and is responsible for managing the Foundation’s assets, including its financial assets. Based on the governance structure of Novo Holdings A/S and the Foundation, the Foundation is not deemed to have any beneficial ownership of the securities of the Issuer held by Novo Holdings A/S.</w:t>
      </w:r>
    </w:p>
    <w:p>
      <w:pPr>
        <w:spacing w:after="0" w:line="81" w:lineRule="exact"/>
        <w:rPr>
          <w:rFonts w:ascii="Arial" w:cs="Arial" w:eastAsia="Arial" w:hAnsi="Arial"/>
          <w:sz w:val="17"/>
          <w:szCs w:val="17"/>
          <w:color w:val="auto"/>
        </w:rPr>
      </w:pPr>
    </w:p>
    <w:p>
      <w:pPr>
        <w:ind w:left="1740" w:right="20"/>
        <w:spacing w:after="0" w:line="277" w:lineRule="auto"/>
        <w:rPr>
          <w:rFonts w:ascii="Arial" w:cs="Arial" w:eastAsia="Arial" w:hAnsi="Arial"/>
          <w:sz w:val="17"/>
          <w:szCs w:val="17"/>
          <w:color w:val="auto"/>
        </w:rPr>
      </w:pPr>
      <w:r>
        <w:rPr>
          <w:rFonts w:ascii="Arial" w:cs="Arial" w:eastAsia="Arial" w:hAnsi="Arial"/>
          <w:sz w:val="18"/>
          <w:szCs w:val="18"/>
          <w:color w:val="auto"/>
        </w:rPr>
        <w:t xml:space="preserve">The name of each director and executive officer of both Novo Holdings A/S and the Foundation is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this Schedule 13D.</w:t>
      </w:r>
    </w:p>
    <w:p>
      <w:pPr>
        <w:spacing w:after="0" w:line="75" w:lineRule="exact"/>
        <w:rPr>
          <w:rFonts w:ascii="Arial" w:cs="Arial" w:eastAsia="Arial" w:hAnsi="Arial"/>
          <w:sz w:val="17"/>
          <w:szCs w:val="17"/>
          <w:color w:val="auto"/>
        </w:rPr>
      </w:pPr>
    </w:p>
    <w:p>
      <w:pPr>
        <w:ind w:left="1740" w:hanging="543"/>
        <w:spacing w:after="0"/>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business address of both Novo Holdings A/S and the Foundation is Tuborg Havnevej 19, 2900 Hellerup, Denmark.</w:t>
      </w:r>
    </w:p>
    <w:p>
      <w:pPr>
        <w:spacing w:after="0" w:line="142" w:lineRule="exact"/>
        <w:rPr>
          <w:rFonts w:ascii="Arial" w:cs="Arial" w:eastAsia="Arial" w:hAnsi="Arial"/>
          <w:sz w:val="17"/>
          <w:szCs w:val="17"/>
          <w:color w:val="auto"/>
        </w:rPr>
      </w:pPr>
    </w:p>
    <w:p>
      <w:pPr>
        <w:ind w:left="1740" w:right="220"/>
        <w:spacing w:after="0" w:line="277" w:lineRule="auto"/>
        <w:rPr>
          <w:rFonts w:ascii="Arial" w:cs="Arial" w:eastAsia="Arial" w:hAnsi="Arial"/>
          <w:sz w:val="17"/>
          <w:szCs w:val="17"/>
          <w:color w:val="auto"/>
        </w:rPr>
      </w:pPr>
      <w:r>
        <w:rPr>
          <w:rFonts w:ascii="Arial" w:cs="Arial" w:eastAsia="Arial" w:hAnsi="Arial"/>
          <w:sz w:val="18"/>
          <w:szCs w:val="18"/>
          <w:color w:val="auto"/>
        </w:rPr>
        <w:t>The residence or business address of each director and executive officer of both Novo Holdings A/S and the Foundation is set forth on Schedule I to this Schedule 13D.</w:t>
      </w:r>
    </w:p>
    <w:p>
      <w:pPr>
        <w:spacing w:after="0" w:line="75" w:lineRule="exact"/>
        <w:rPr>
          <w:rFonts w:ascii="Arial" w:cs="Arial" w:eastAsia="Arial" w:hAnsi="Arial"/>
          <w:sz w:val="17"/>
          <w:szCs w:val="17"/>
          <w:color w:val="auto"/>
        </w:rPr>
      </w:pPr>
    </w:p>
    <w:p>
      <w:pPr>
        <w:jc w:val="both"/>
        <w:ind w:left="1740" w:right="320" w:hanging="543"/>
        <w:spacing w:after="0" w:line="263" w:lineRule="auto"/>
        <w:tabs>
          <w:tab w:leader="none" w:pos="1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Novo Holdings A/S, a holding company that is responsible for managing the Foundation’s assets, provides seed and venture capital to development stage companies and invests in well-established companies within the life science and biotechnology sector.</w:t>
      </w:r>
    </w:p>
    <w:p>
      <w:pPr>
        <w:spacing w:after="0" w:line="89" w:lineRule="exact"/>
        <w:rPr>
          <w:rFonts w:ascii="Arial" w:cs="Arial" w:eastAsia="Arial" w:hAnsi="Arial"/>
          <w:sz w:val="18"/>
          <w:szCs w:val="18"/>
          <w:color w:val="auto"/>
        </w:rPr>
      </w:pPr>
    </w:p>
    <w:p>
      <w:pPr>
        <w:jc w:val="both"/>
        <w:ind w:left="1740" w:right="380"/>
        <w:spacing w:after="0" w:line="263" w:lineRule="auto"/>
        <w:rPr>
          <w:rFonts w:ascii="Arial" w:cs="Arial" w:eastAsia="Arial" w:hAnsi="Arial"/>
          <w:sz w:val="18"/>
          <w:szCs w:val="18"/>
          <w:color w:val="auto"/>
        </w:rPr>
      </w:pPr>
      <w:r>
        <w:rPr>
          <w:rFonts w:ascii="Arial" w:cs="Arial" w:eastAsia="Arial" w:hAnsi="Arial"/>
          <w:sz w:val="18"/>
          <w:szCs w:val="18"/>
          <w:color w:val="auto"/>
        </w:rPr>
        <w:t>The Foundation is a Danish self-governing and profit-making foundation, whose objectives are to provide a stable basis for commercial and research activities undertaken by the group of Novo companies and to support scientific, humanitarian and social purposes through grants.</w:t>
      </w:r>
    </w:p>
    <w:p>
      <w:pPr>
        <w:spacing w:after="0" w:line="89" w:lineRule="exact"/>
        <w:rPr>
          <w:rFonts w:ascii="Arial" w:cs="Arial" w:eastAsia="Arial" w:hAnsi="Arial"/>
          <w:sz w:val="18"/>
          <w:szCs w:val="18"/>
          <w:color w:val="auto"/>
        </w:rPr>
      </w:pPr>
    </w:p>
    <w:p>
      <w:pPr>
        <w:ind w:left="1740" w:right="140" w:hanging="543"/>
        <w:spacing w:after="0" w:line="277" w:lineRule="auto"/>
        <w:tabs>
          <w:tab w:leader="none" w:pos="1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Within the last five years, neither Novo Holdings A/S, the Foundation, nor any person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has been convicted in any criminal proceedings.</w:t>
      </w:r>
    </w:p>
    <w:p>
      <w:pPr>
        <w:spacing w:after="0" w:line="75" w:lineRule="exact"/>
        <w:rPr>
          <w:rFonts w:ascii="Arial" w:cs="Arial" w:eastAsia="Arial" w:hAnsi="Arial"/>
          <w:sz w:val="18"/>
          <w:szCs w:val="18"/>
          <w:color w:val="auto"/>
        </w:rPr>
      </w:pPr>
    </w:p>
    <w:p>
      <w:pPr>
        <w:ind w:left="1740" w:hanging="543"/>
        <w:spacing w:after="0" w:line="259" w:lineRule="auto"/>
        <w:tabs>
          <w:tab w:leader="none" w:pos="1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Within the last five years, neither Novo Holdings A/S, the Foundation, nor any person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3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is amended and replaced in its entirety as follows: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acquisitions of Issuer securities made by Novo Holdings A/S, as described in this Schedule 13D, were for investment purposes. Novo Holdings A/S intends to review its investments in the Issuer on a continuing basis and any actions Novo Holdings A/S might undertake will be dependent upon its review of numerous factors from time to time, including, but not limited to: an ongoing evaluation of the Issuer’s business, financial condition, operations and prospects; price levels of the Issuer’s securities; general market, industry and economic conditions; the relative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3" w:name="page4"/>
    <w:bookmarkEnd w:id="3"/>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attractiveness of alternative business and investment opportunities; and other future developments. Novo Holdings A/S may, at any time and from time to time, acquire additional securities of the Issuer, or retain or sell all or a portion of the securities of the Issuer then held, in the open market or in privately negotiated transactions. Other than as described herein, Novo Holdings A/S currently does not have any plans or proposals that relate to, or would result in, any of the matters listed in Items 4(a)–(j) of Schedule 13D, although, depending on the factors discussed herein, Novo Holdings A/S may review or reconsider or change its purpose or formulate different plans, strategies, or proposals with respect thereto at any time.</w:t>
      </w:r>
    </w:p>
    <w:p>
      <w:pPr>
        <w:spacing w:after="0" w:line="30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5(a) and (b) is amended and replaced in its entirety as follows:</w:t>
      </w:r>
    </w:p>
    <w:p>
      <w:pPr>
        <w:spacing w:after="0" w:line="121" w:lineRule="exact"/>
        <w:rPr>
          <w:sz w:val="20"/>
          <w:szCs w:val="20"/>
          <w:color w:val="auto"/>
        </w:rPr>
      </w:pPr>
    </w:p>
    <w:p>
      <w:pPr>
        <w:ind w:right="260" w:firstLine="987"/>
        <w:spacing w:after="0" w:line="263" w:lineRule="auto"/>
        <w:tabs>
          <w:tab w:leader="none" w:pos="1371"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Novo Holdings A/S beneficially owns 22,639,667 ordinary shares (the “Novo Shares”) representing approximately 5.4% of the Issuer’s outstanding ordinary shares, based upon 414,545,590 ordinary shares (assuming conversion of ADSs to ordinary shares) as reported by the Issuer on its website and Novo’s vested warrants to purchase 1,769,626 ordinary shares.</w:t>
      </w:r>
    </w:p>
    <w:p>
      <w:pPr>
        <w:spacing w:after="0" w:line="183" w:lineRule="exact"/>
        <w:rPr>
          <w:rFonts w:ascii="Arial" w:cs="Arial" w:eastAsia="Arial" w:hAnsi="Arial"/>
          <w:sz w:val="18"/>
          <w:szCs w:val="18"/>
          <w:color w:val="auto"/>
        </w:rPr>
      </w:pPr>
    </w:p>
    <w:p>
      <w:pPr>
        <w:ind w:right="140" w:firstLine="987"/>
        <w:spacing w:after="0" w:line="296" w:lineRule="auto"/>
        <w:tabs>
          <w:tab w:leader="none" w:pos="1381"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Novo Holdings A/S is a Danish limited liability company wholly owned by the Novo Nordisk Foundation. Novo Holdings A/S, through its Board of Directors (the “Novo Board”), has the sole power to vote and dispose of the Novo Shares. The Novo Board may exercise voting and dispositive control over the Novo Shares with approval by a majority of the Novo Board. As such, no individual member of the Novo Board is deemed to hold any beneficial ownership or reportable pecuniary interest in the Novo Shares. Except as described above regarding the Novo Board, neither the Foundation nor any person listed on Schedule I has the power to direct the vote as to, or the disposition of, the Novo Shares.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5(c) is supplemented to add the following:</w:t>
      </w:r>
    </w:p>
    <w:p>
      <w:pPr>
        <w:spacing w:after="0" w:line="121" w:lineRule="exact"/>
        <w:rPr>
          <w:sz w:val="20"/>
          <w:szCs w:val="20"/>
          <w:color w:val="auto"/>
        </w:rPr>
      </w:pPr>
    </w:p>
    <w:p>
      <w:pPr>
        <w:ind w:left="980" w:right="420" w:firstLine="7"/>
        <w:spacing w:after="0" w:line="375" w:lineRule="auto"/>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Novo Holdings A/S sold in broker transactions the following securities of the Issuer at the following weighted average prices: On August 26, 2020, 7,170 ADSs at $7.5627 per ADS;</w:t>
      </w:r>
    </w:p>
    <w:p>
      <w:pPr>
        <w:spacing w:after="0" w:line="1" w:lineRule="exact"/>
        <w:rPr>
          <w:rFonts w:ascii="Arial" w:cs="Arial" w:eastAsia="Arial" w:hAnsi="Arial"/>
          <w:sz w:val="18"/>
          <w:szCs w:val="18"/>
          <w:color w:val="auto"/>
        </w:rPr>
      </w:pPr>
    </w:p>
    <w:p>
      <w:pPr>
        <w:ind w:left="980" w:right="5660"/>
        <w:spacing w:after="0" w:line="422" w:lineRule="auto"/>
        <w:rPr>
          <w:rFonts w:ascii="Arial" w:cs="Arial" w:eastAsia="Arial" w:hAnsi="Arial"/>
          <w:sz w:val="18"/>
          <w:szCs w:val="18"/>
          <w:color w:val="auto"/>
        </w:rPr>
      </w:pPr>
      <w:r>
        <w:rPr>
          <w:rFonts w:ascii="Arial" w:cs="Arial" w:eastAsia="Arial" w:hAnsi="Arial"/>
          <w:sz w:val="16"/>
          <w:szCs w:val="16"/>
          <w:color w:val="auto"/>
        </w:rPr>
        <w:t>On August 27, 2020, 27,784 ADSs at $7.5733 per ADS; On August 28, 2020, 2,204 ADSs at $7.5234 per ADS; On September 16, 2020, 1,800 ADSs at $6.6917 per ADS;</w:t>
      </w:r>
    </w:p>
    <w:p>
      <w:pPr>
        <w:spacing w:after="0" w:line="1" w:lineRule="exact"/>
        <w:rPr>
          <w:rFonts w:ascii="Arial" w:cs="Arial" w:eastAsia="Arial" w:hAnsi="Arial"/>
          <w:sz w:val="18"/>
          <w:szCs w:val="18"/>
          <w:color w:val="auto"/>
        </w:rPr>
      </w:pPr>
    </w:p>
    <w:p>
      <w:pPr>
        <w:ind w:left="980" w:right="5360"/>
        <w:spacing w:after="0" w:line="483" w:lineRule="auto"/>
        <w:rPr>
          <w:rFonts w:ascii="Arial" w:cs="Arial" w:eastAsia="Arial" w:hAnsi="Arial"/>
          <w:sz w:val="18"/>
          <w:szCs w:val="18"/>
          <w:color w:val="auto"/>
        </w:rPr>
      </w:pPr>
      <w:r>
        <w:rPr>
          <w:rFonts w:ascii="Arial" w:cs="Arial" w:eastAsia="Arial" w:hAnsi="Arial"/>
          <w:sz w:val="16"/>
          <w:szCs w:val="16"/>
          <w:color w:val="auto"/>
        </w:rPr>
        <w:t>On September 17, 2020, 9,246 ADSs at $6.7555 per ADS; and On September 18, 2020, 2,900 ADSs at $6.7507 per ADS.</w:t>
      </w:r>
    </w:p>
    <w:p>
      <w:pPr>
        <w:spacing w:after="0" w:line="15" w:lineRule="exact"/>
        <w:rPr>
          <w:sz w:val="20"/>
          <w:szCs w:val="20"/>
          <w:color w:val="auto"/>
        </w:rPr>
      </w:pPr>
    </w:p>
    <w:p>
      <w:pPr>
        <w:ind w:right="260" w:firstLine="991"/>
        <w:spacing w:after="0" w:line="342" w:lineRule="auto"/>
        <w:rPr>
          <w:sz w:val="20"/>
          <w:szCs w:val="20"/>
          <w:color w:val="auto"/>
        </w:rPr>
      </w:pPr>
      <w:r>
        <w:rPr>
          <w:rFonts w:ascii="Arial" w:cs="Arial" w:eastAsia="Arial" w:hAnsi="Arial"/>
          <w:sz w:val="16"/>
          <w:szCs w:val="16"/>
          <w:color w:val="auto"/>
        </w:rPr>
        <w:t>Except as described herein, Novo Holdings A/S has not effected any transactions in the Issuer’s securities within the past 60 days and neither the Foundation nor any person listed on Schedule I has effected any transactions in the Issuer’s securities within the past 60 days.</w:t>
      </w:r>
    </w:p>
    <w:p>
      <w:pPr>
        <w:spacing w:after="0" w:line="124" w:lineRule="exact"/>
        <w:rPr>
          <w:sz w:val="20"/>
          <w:szCs w:val="20"/>
          <w:color w:val="auto"/>
        </w:rPr>
      </w:pPr>
    </w:p>
    <w:p>
      <w:pPr>
        <w:ind w:right="260" w:firstLine="987"/>
        <w:spacing w:after="0" w:line="277" w:lineRule="auto"/>
        <w:tabs>
          <w:tab w:leader="none" w:pos="13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Novo Holdings A/S does not know of any other person having the right to receive or the power to direct the receipt of dividends from, or the proceeds from the sale of, the Novo Shares.</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440" w:top="274" w:right="599" w:bottom="1440" w:gutter="0" w:footer="0" w:header="0"/>
        </w:sectPr>
      </w:pPr>
    </w:p>
    <w:bookmarkStart w:id="4" w:name="page5"/>
    <w:bookmarkEnd w:id="4"/>
    <w:p>
      <w:pPr>
        <w:jc w:val="center"/>
        <w:ind w:right="-5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tabs>
          <w:tab w:leader="none" w:pos="640" w:val="left"/>
          <w:tab w:leader="none" w:pos="5820" w:val="left"/>
        </w:tabs>
        <w:rPr>
          <w:sz w:val="20"/>
          <w:szCs w:val="20"/>
          <w:color w:val="auto"/>
        </w:rPr>
      </w:pPr>
      <w:r>
        <w:rPr>
          <w:rFonts w:ascii="Arial" w:cs="Arial" w:eastAsia="Arial" w:hAnsi="Arial"/>
          <w:sz w:val="18"/>
          <w:szCs w:val="18"/>
          <w:color w:val="auto"/>
        </w:rPr>
        <w:t>Dated:</w:t>
        <w:tab/>
        <w:t>October 5, 2020</w:t>
      </w:r>
      <w:r>
        <w:rPr>
          <w:sz w:val="20"/>
          <w:szCs w:val="20"/>
          <w:color w:val="auto"/>
        </w:rPr>
        <w:tab/>
      </w:r>
      <w:r>
        <w:rPr>
          <w:rFonts w:ascii="Arial" w:cs="Arial" w:eastAsia="Arial" w:hAnsi="Arial"/>
          <w:sz w:val="17"/>
          <w:szCs w:val="17"/>
          <w:color w:val="auto"/>
        </w:rPr>
        <w:t>Novo Holdings A/S</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Peter Haahr</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Peter Haahr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-130175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Its: Chief Financial Officer</w:t>
      </w:r>
    </w:p>
    <w:p>
      <w:pPr>
        <w:sectPr>
          <w:pgSz w:w="11900" w:h="16838" w:orient="portrait"/>
          <w:cols w:equalWidth="0" w:num="1">
            <w:col w:w="10440"/>
          </w:cols>
          <w:pgMar w:left="440" w:top="270" w:right="10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each director and executive officer of both Novo Holdings A/S and the Novo Nordisk Foundation is set forth below.</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Novo Holdings A/S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540" w:type="dxa"/>
            <w:vAlign w:val="bottom"/>
            <w:tcBorders>
              <w:top w:val="single" w:sz="8" w:color="auto"/>
            </w:tcBorders>
            <w:gridSpan w:val="2"/>
          </w:tcPr>
          <w:p>
            <w:pPr>
              <w:ind w:left="1340"/>
              <w:spacing w:after="0" w:line="155" w:lineRule="exact"/>
              <w:rPr>
                <w:sz w:val="20"/>
                <w:szCs w:val="20"/>
                <w:color w:val="auto"/>
              </w:rPr>
            </w:pPr>
            <w:r>
              <w:rPr>
                <w:rFonts w:ascii="Arial" w:cs="Arial" w:eastAsia="Arial" w:hAnsi="Arial"/>
                <w:sz w:val="14"/>
                <w:szCs w:val="14"/>
                <w:b w:val="1"/>
                <w:bCs w:val="1"/>
                <w:color w:val="auto"/>
              </w:rPr>
              <w:t>Name, Title</w:t>
            </w:r>
          </w:p>
        </w:tc>
        <w:tc>
          <w:tcPr>
            <w:tcW w:w="120" w:type="dxa"/>
            <w:vAlign w:val="bottom"/>
            <w:tcBorders>
              <w:top w:val="single" w:sz="8" w:color="auto"/>
            </w:tcBorders>
          </w:tcPr>
          <w:p>
            <w:pPr>
              <w:spacing w:after="0"/>
              <w:rPr>
                <w:sz w:val="13"/>
                <w:szCs w:val="13"/>
                <w:color w:val="auto"/>
              </w:rPr>
            </w:pPr>
          </w:p>
        </w:tc>
        <w:tc>
          <w:tcPr>
            <w:tcW w:w="3080" w:type="dxa"/>
            <w:vAlign w:val="bottom"/>
            <w:tcBorders>
              <w:top w:val="single" w:sz="8" w:color="auto"/>
            </w:tcBorders>
          </w:tcPr>
          <w:p>
            <w:pPr>
              <w:ind w:left="1220"/>
              <w:spacing w:after="0" w:line="155" w:lineRule="exact"/>
              <w:rPr>
                <w:sz w:val="20"/>
                <w:szCs w:val="20"/>
                <w:color w:val="auto"/>
              </w:rPr>
            </w:pPr>
            <w:r>
              <w:rPr>
                <w:rFonts w:ascii="Arial" w:cs="Arial" w:eastAsia="Arial" w:hAnsi="Arial"/>
                <w:sz w:val="14"/>
                <w:szCs w:val="14"/>
                <w:b w:val="1"/>
                <w:bCs w:val="1"/>
                <w:color w:val="auto"/>
              </w:rPr>
              <w:t>Address</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80" w:type="dxa"/>
            <w:vAlign w:val="bottom"/>
            <w:tcBorders>
              <w:top w:val="single" w:sz="8" w:color="auto"/>
            </w:tcBorders>
          </w:tcPr>
          <w:p>
            <w:pPr>
              <w:ind w:left="840"/>
              <w:spacing w:after="0" w:line="155" w:lineRule="exact"/>
              <w:rPr>
                <w:sz w:val="20"/>
                <w:szCs w:val="20"/>
                <w:color w:val="auto"/>
              </w:rPr>
            </w:pPr>
            <w:r>
              <w:rPr>
                <w:rFonts w:ascii="Arial" w:cs="Arial" w:eastAsia="Arial" w:hAnsi="Arial"/>
                <w:sz w:val="14"/>
                <w:szCs w:val="14"/>
                <w:b w:val="1"/>
                <w:bCs w:val="1"/>
                <w:color w:val="auto"/>
              </w:rPr>
              <w:t>Principal Occupation</w:t>
            </w: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Citizenship</w:t>
            </w:r>
          </w:p>
        </w:tc>
      </w:tr>
      <w:tr>
        <w:trPr>
          <w:trHeight w:val="195"/>
        </w:trPr>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Lars Rebien Sørensen,</w:t>
            </w:r>
          </w:p>
        </w:tc>
        <w:tc>
          <w:tcPr>
            <w:tcW w:w="120" w:type="dxa"/>
            <w:vAlign w:val="bottom"/>
          </w:tcPr>
          <w:p>
            <w:pPr>
              <w:spacing w:after="0"/>
              <w:rPr>
                <w:sz w:val="16"/>
                <w:szCs w:val="16"/>
                <w:color w:val="auto"/>
              </w:rPr>
            </w:pPr>
          </w:p>
        </w:tc>
        <w:tc>
          <w:tcPr>
            <w:tcW w:w="32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Christianholms Tværvej 27,</w:t>
            </w:r>
          </w:p>
        </w:tc>
        <w:tc>
          <w:tcPr>
            <w:tcW w:w="100" w:type="dxa"/>
            <w:vAlign w:val="bottom"/>
          </w:tcPr>
          <w:p>
            <w:pPr>
              <w:spacing w:after="0"/>
              <w:rPr>
                <w:sz w:val="16"/>
                <w:szCs w:val="16"/>
                <w:color w:val="auto"/>
              </w:rPr>
            </w:pPr>
          </w:p>
        </w:tc>
        <w:tc>
          <w:tcPr>
            <w:tcW w:w="31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Professional Board Director</w:t>
            </w:r>
          </w:p>
        </w:tc>
        <w:tc>
          <w:tcPr>
            <w:tcW w:w="120" w:type="dxa"/>
            <w:vAlign w:val="bottom"/>
          </w:tcPr>
          <w:p>
            <w:pPr>
              <w:spacing w:after="0"/>
              <w:rPr>
                <w:sz w:val="16"/>
                <w:szCs w:val="16"/>
                <w:color w:val="auto"/>
              </w:rPr>
            </w:pPr>
          </w:p>
        </w:tc>
        <w:tc>
          <w:tcPr>
            <w:tcW w:w="8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Denmark</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3200" w:type="dxa"/>
            <w:vAlign w:val="bottom"/>
            <w:gridSpan w:val="2"/>
          </w:tcPr>
          <w:p>
            <w:pPr>
              <w:spacing w:after="0"/>
              <w:rPr>
                <w:sz w:val="20"/>
                <w:szCs w:val="20"/>
                <w:color w:val="auto"/>
              </w:rPr>
            </w:pPr>
            <w:r>
              <w:rPr>
                <w:rFonts w:ascii="Arial" w:cs="Arial" w:eastAsia="Arial" w:hAnsi="Arial"/>
                <w:sz w:val="18"/>
                <w:szCs w:val="18"/>
                <w:color w:val="auto"/>
              </w:rPr>
              <w:t>2930 Klampenborg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Denmark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3"/>
        </w:trPr>
        <w:tc>
          <w:tcPr>
            <w:tcW w:w="3540" w:type="dxa"/>
            <w:vAlign w:val="bottom"/>
            <w:gridSpan w:val="2"/>
          </w:tcPr>
          <w:p>
            <w:pPr>
              <w:spacing w:after="0"/>
              <w:rPr>
                <w:sz w:val="20"/>
                <w:szCs w:val="20"/>
                <w:color w:val="auto"/>
              </w:rPr>
            </w:pPr>
            <w:r>
              <w:rPr>
                <w:rFonts w:ascii="Arial" w:cs="Arial" w:eastAsia="Arial" w:hAnsi="Arial"/>
                <w:sz w:val="18"/>
                <w:szCs w:val="18"/>
                <w:color w:val="auto"/>
              </w:rPr>
              <w:t>Steen Riisgaard,</w:t>
            </w:r>
          </w:p>
        </w:tc>
        <w:tc>
          <w:tcPr>
            <w:tcW w:w="3200" w:type="dxa"/>
            <w:vAlign w:val="bottom"/>
            <w:gridSpan w:val="2"/>
          </w:tcPr>
          <w:p>
            <w:pPr>
              <w:spacing w:after="0"/>
              <w:rPr>
                <w:sz w:val="20"/>
                <w:szCs w:val="20"/>
                <w:color w:val="auto"/>
              </w:rPr>
            </w:pPr>
            <w:r>
              <w:rPr>
                <w:rFonts w:ascii="Arial" w:cs="Arial" w:eastAsia="Arial" w:hAnsi="Arial"/>
                <w:sz w:val="18"/>
                <w:szCs w:val="18"/>
                <w:color w:val="auto"/>
              </w:rPr>
              <w:t>Hestetangsvej 155,</w:t>
            </w:r>
          </w:p>
        </w:tc>
        <w:tc>
          <w:tcPr>
            <w:tcW w:w="3280" w:type="dxa"/>
            <w:vAlign w:val="bottom"/>
            <w:gridSpan w:val="3"/>
          </w:tcPr>
          <w:p>
            <w:pPr>
              <w:ind w:left="100"/>
              <w:spacing w:after="0"/>
              <w:rPr>
                <w:sz w:val="20"/>
                <w:szCs w:val="20"/>
                <w:color w:val="auto"/>
              </w:rPr>
            </w:pPr>
            <w:r>
              <w:rPr>
                <w:rFonts w:ascii="Arial" w:cs="Arial" w:eastAsia="Arial" w:hAnsi="Arial"/>
                <w:sz w:val="18"/>
                <w:szCs w:val="18"/>
                <w:color w:val="auto"/>
              </w:rPr>
              <w:t>Professional Board Director</w:t>
            </w:r>
          </w:p>
        </w:tc>
        <w:tc>
          <w:tcPr>
            <w:tcW w:w="1000" w:type="dxa"/>
            <w:vAlign w:val="bottom"/>
            <w:gridSpan w:val="3"/>
          </w:tcPr>
          <w:p>
            <w:pPr>
              <w:ind w:left="120"/>
              <w:spacing w:after="0"/>
              <w:rPr>
                <w:sz w:val="20"/>
                <w:szCs w:val="20"/>
                <w:color w:val="auto"/>
              </w:rPr>
            </w:pPr>
            <w:r>
              <w:rPr>
                <w:rFonts w:ascii="Arial" w:cs="Arial" w:eastAsia="Arial" w:hAnsi="Arial"/>
                <w:sz w:val="18"/>
                <w:szCs w:val="18"/>
                <w:color w:val="auto"/>
              </w:rPr>
              <w:t>Denmark</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Vice Chairman of the Board</w:t>
            </w:r>
          </w:p>
        </w:tc>
        <w:tc>
          <w:tcPr>
            <w:tcW w:w="3200" w:type="dxa"/>
            <w:vAlign w:val="bottom"/>
            <w:gridSpan w:val="2"/>
          </w:tcPr>
          <w:p>
            <w:pPr>
              <w:spacing w:after="0"/>
              <w:rPr>
                <w:sz w:val="20"/>
                <w:szCs w:val="20"/>
                <w:color w:val="auto"/>
              </w:rPr>
            </w:pPr>
            <w:r>
              <w:rPr>
                <w:rFonts w:ascii="Arial" w:cs="Arial" w:eastAsia="Arial" w:hAnsi="Arial"/>
                <w:sz w:val="18"/>
                <w:szCs w:val="18"/>
                <w:color w:val="auto"/>
              </w:rPr>
              <w:t>3520 Farum, Denmark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3"/>
        </w:trPr>
        <w:tc>
          <w:tcPr>
            <w:tcW w:w="3540" w:type="dxa"/>
            <w:vAlign w:val="bottom"/>
            <w:gridSpan w:val="2"/>
          </w:tcPr>
          <w:p>
            <w:pPr>
              <w:spacing w:after="0"/>
              <w:rPr>
                <w:sz w:val="20"/>
                <w:szCs w:val="20"/>
                <w:color w:val="auto"/>
              </w:rPr>
            </w:pPr>
            <w:r>
              <w:rPr>
                <w:rFonts w:ascii="Arial" w:cs="Arial" w:eastAsia="Arial" w:hAnsi="Arial"/>
                <w:sz w:val="18"/>
                <w:szCs w:val="18"/>
                <w:color w:val="auto"/>
              </w:rPr>
              <w:t>Jean-Luc Butel,</w:t>
            </w:r>
          </w:p>
        </w:tc>
        <w:tc>
          <w:tcPr>
            <w:tcW w:w="3200" w:type="dxa"/>
            <w:vAlign w:val="bottom"/>
            <w:gridSpan w:val="2"/>
          </w:tcPr>
          <w:p>
            <w:pPr>
              <w:spacing w:after="0"/>
              <w:rPr>
                <w:sz w:val="20"/>
                <w:szCs w:val="20"/>
                <w:color w:val="auto"/>
              </w:rPr>
            </w:pPr>
            <w:r>
              <w:rPr>
                <w:rFonts w:ascii="Arial" w:cs="Arial" w:eastAsia="Arial" w:hAnsi="Arial"/>
                <w:sz w:val="18"/>
                <w:szCs w:val="18"/>
                <w:color w:val="auto"/>
              </w:rPr>
              <w:t>235 Arcadia Road, #03-04,</w:t>
            </w:r>
          </w:p>
        </w:tc>
        <w:tc>
          <w:tcPr>
            <w:tcW w:w="3280" w:type="dxa"/>
            <w:vAlign w:val="bottom"/>
            <w:gridSpan w:val="3"/>
          </w:tcPr>
          <w:p>
            <w:pPr>
              <w:ind w:left="100"/>
              <w:spacing w:after="0"/>
              <w:rPr>
                <w:sz w:val="20"/>
                <w:szCs w:val="20"/>
                <w:color w:val="auto"/>
              </w:rPr>
            </w:pPr>
            <w:r>
              <w:rPr>
                <w:rFonts w:ascii="Arial" w:cs="Arial" w:eastAsia="Arial" w:hAnsi="Arial"/>
                <w:sz w:val="18"/>
                <w:szCs w:val="18"/>
                <w:color w:val="auto"/>
              </w:rPr>
              <w:t>Global Healthcare Advisor,</w:t>
            </w:r>
          </w:p>
        </w:tc>
        <w:tc>
          <w:tcPr>
            <w:tcW w:w="1000" w:type="dxa"/>
            <w:vAlign w:val="bottom"/>
            <w:gridSpan w:val="3"/>
          </w:tcPr>
          <w:p>
            <w:pPr>
              <w:ind w:left="120"/>
              <w:spacing w:after="0"/>
              <w:rPr>
                <w:sz w:val="20"/>
                <w:szCs w:val="20"/>
                <w:color w:val="auto"/>
              </w:rPr>
            </w:pPr>
            <w:r>
              <w:rPr>
                <w:rFonts w:ascii="Arial" w:cs="Arial" w:eastAsia="Arial" w:hAnsi="Arial"/>
                <w:sz w:val="18"/>
                <w:szCs w:val="18"/>
                <w:color w:val="auto"/>
              </w:rPr>
              <w:t>Singapore</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spacing w:after="0"/>
              <w:rPr>
                <w:sz w:val="20"/>
                <w:szCs w:val="20"/>
                <w:color w:val="auto"/>
              </w:rPr>
            </w:pPr>
            <w:r>
              <w:rPr>
                <w:rFonts w:ascii="Arial" w:cs="Arial" w:eastAsia="Arial" w:hAnsi="Arial"/>
                <w:sz w:val="18"/>
                <w:szCs w:val="18"/>
                <w:color w:val="auto"/>
              </w:rPr>
              <w:t>28984 Singapore</w:t>
            </w:r>
          </w:p>
        </w:tc>
        <w:tc>
          <w:tcPr>
            <w:tcW w:w="3280" w:type="dxa"/>
            <w:vAlign w:val="bottom"/>
            <w:gridSpan w:val="3"/>
          </w:tcPr>
          <w:p>
            <w:pPr>
              <w:ind w:left="100"/>
              <w:spacing w:after="0"/>
              <w:rPr>
                <w:sz w:val="20"/>
                <w:szCs w:val="20"/>
                <w:color w:val="auto"/>
              </w:rPr>
            </w:pPr>
            <w:r>
              <w:rPr>
                <w:rFonts w:ascii="Arial" w:cs="Arial" w:eastAsia="Arial" w:hAnsi="Arial"/>
                <w:sz w:val="18"/>
                <w:szCs w:val="18"/>
                <w:color w:val="auto"/>
              </w:rPr>
              <w:t>President, K8 Global Pte Ltd.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3"/>
        </w:trPr>
        <w:tc>
          <w:tcPr>
            <w:tcW w:w="3540" w:type="dxa"/>
            <w:vAlign w:val="bottom"/>
            <w:gridSpan w:val="2"/>
          </w:tcPr>
          <w:p>
            <w:pPr>
              <w:spacing w:after="0"/>
              <w:rPr>
                <w:sz w:val="20"/>
                <w:szCs w:val="20"/>
                <w:color w:val="auto"/>
              </w:rPr>
            </w:pPr>
            <w:r>
              <w:rPr>
                <w:rFonts w:ascii="Arial" w:cs="Arial" w:eastAsia="Arial" w:hAnsi="Arial"/>
                <w:sz w:val="18"/>
                <w:szCs w:val="18"/>
                <w:color w:val="auto"/>
              </w:rPr>
              <w:t>Jeppe Christiansen,</w:t>
            </w:r>
          </w:p>
        </w:tc>
        <w:tc>
          <w:tcPr>
            <w:tcW w:w="3200" w:type="dxa"/>
            <w:vAlign w:val="bottom"/>
            <w:gridSpan w:val="2"/>
          </w:tcPr>
          <w:p>
            <w:pPr>
              <w:spacing w:after="0"/>
              <w:rPr>
                <w:sz w:val="20"/>
                <w:szCs w:val="20"/>
                <w:color w:val="auto"/>
              </w:rPr>
            </w:pPr>
            <w:r>
              <w:rPr>
                <w:rFonts w:ascii="Arial" w:cs="Arial" w:eastAsia="Arial" w:hAnsi="Arial"/>
                <w:sz w:val="18"/>
                <w:szCs w:val="18"/>
                <w:color w:val="auto"/>
              </w:rPr>
              <w:t>Løngangstræde 21 A, 5.,</w:t>
            </w:r>
          </w:p>
        </w:tc>
        <w:tc>
          <w:tcPr>
            <w:tcW w:w="328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w:t>
            </w:r>
          </w:p>
        </w:tc>
        <w:tc>
          <w:tcPr>
            <w:tcW w:w="1000" w:type="dxa"/>
            <w:vAlign w:val="bottom"/>
            <w:gridSpan w:val="3"/>
          </w:tcPr>
          <w:p>
            <w:pPr>
              <w:ind w:left="120"/>
              <w:spacing w:after="0"/>
              <w:rPr>
                <w:sz w:val="20"/>
                <w:szCs w:val="20"/>
                <w:color w:val="auto"/>
              </w:rPr>
            </w:pPr>
            <w:r>
              <w:rPr>
                <w:rFonts w:ascii="Arial" w:cs="Arial" w:eastAsia="Arial" w:hAnsi="Arial"/>
                <w:sz w:val="18"/>
                <w:szCs w:val="18"/>
                <w:color w:val="auto"/>
              </w:rPr>
              <w:t>Denmark</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spacing w:after="0"/>
              <w:rPr>
                <w:sz w:val="20"/>
                <w:szCs w:val="20"/>
                <w:color w:val="auto"/>
              </w:rPr>
            </w:pPr>
            <w:r>
              <w:rPr>
                <w:rFonts w:ascii="Arial" w:cs="Arial" w:eastAsia="Arial" w:hAnsi="Arial"/>
                <w:sz w:val="18"/>
                <w:szCs w:val="18"/>
                <w:color w:val="auto"/>
              </w:rPr>
              <w:t>1468 København K Denmark</w:t>
            </w:r>
          </w:p>
        </w:tc>
        <w:tc>
          <w:tcPr>
            <w:tcW w:w="3280" w:type="dxa"/>
            <w:vAlign w:val="bottom"/>
            <w:gridSpan w:val="3"/>
          </w:tcPr>
          <w:p>
            <w:pPr>
              <w:ind w:left="100"/>
              <w:spacing w:after="0"/>
              <w:rPr>
                <w:sz w:val="20"/>
                <w:szCs w:val="20"/>
                <w:color w:val="auto"/>
              </w:rPr>
            </w:pPr>
            <w:r>
              <w:rPr>
                <w:rFonts w:ascii="Arial" w:cs="Arial" w:eastAsia="Arial" w:hAnsi="Arial"/>
                <w:sz w:val="18"/>
                <w:szCs w:val="18"/>
                <w:color w:val="auto"/>
              </w:rPr>
              <w:t>Fondsmaeglerselskabet Maj Invest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280" w:type="dxa"/>
            <w:vAlign w:val="bottom"/>
            <w:gridSpan w:val="3"/>
          </w:tcPr>
          <w:p>
            <w:pPr>
              <w:ind w:left="100"/>
              <w:spacing w:after="0"/>
              <w:rPr>
                <w:sz w:val="20"/>
                <w:szCs w:val="20"/>
                <w:color w:val="auto"/>
              </w:rPr>
            </w:pPr>
            <w:r>
              <w:rPr>
                <w:rFonts w:ascii="Arial" w:cs="Arial" w:eastAsia="Arial" w:hAnsi="Arial"/>
                <w:sz w:val="18"/>
                <w:szCs w:val="18"/>
                <w:color w:val="auto"/>
              </w:rPr>
              <w:t>A/S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3"/>
        </w:trPr>
        <w:tc>
          <w:tcPr>
            <w:tcW w:w="3540" w:type="dxa"/>
            <w:vAlign w:val="bottom"/>
            <w:gridSpan w:val="2"/>
          </w:tcPr>
          <w:p>
            <w:pPr>
              <w:spacing w:after="0"/>
              <w:rPr>
                <w:sz w:val="20"/>
                <w:szCs w:val="20"/>
                <w:color w:val="auto"/>
              </w:rPr>
            </w:pPr>
            <w:r>
              <w:rPr>
                <w:rFonts w:ascii="Arial" w:cs="Arial" w:eastAsia="Arial" w:hAnsi="Arial"/>
                <w:sz w:val="18"/>
                <w:szCs w:val="18"/>
                <w:color w:val="auto"/>
              </w:rPr>
              <w:t>Francis Michael Cyprian Cuss,</w:t>
            </w:r>
          </w:p>
        </w:tc>
        <w:tc>
          <w:tcPr>
            <w:tcW w:w="3200" w:type="dxa"/>
            <w:vAlign w:val="bottom"/>
            <w:gridSpan w:val="2"/>
          </w:tcPr>
          <w:p>
            <w:pPr>
              <w:spacing w:after="0"/>
              <w:rPr>
                <w:sz w:val="20"/>
                <w:szCs w:val="20"/>
                <w:color w:val="auto"/>
              </w:rPr>
            </w:pPr>
            <w:r>
              <w:rPr>
                <w:rFonts w:ascii="Arial" w:cs="Arial" w:eastAsia="Arial" w:hAnsi="Arial"/>
                <w:sz w:val="18"/>
                <w:szCs w:val="18"/>
                <w:color w:val="auto"/>
              </w:rPr>
              <w:t>111 Rippling Brook Way,</w:t>
            </w:r>
          </w:p>
        </w:tc>
        <w:tc>
          <w:tcPr>
            <w:tcW w:w="3280" w:type="dxa"/>
            <w:vAlign w:val="bottom"/>
            <w:gridSpan w:val="3"/>
          </w:tcPr>
          <w:p>
            <w:pPr>
              <w:ind w:left="100"/>
              <w:spacing w:after="0"/>
              <w:rPr>
                <w:sz w:val="20"/>
                <w:szCs w:val="20"/>
                <w:color w:val="auto"/>
              </w:rPr>
            </w:pPr>
            <w:r>
              <w:rPr>
                <w:rFonts w:ascii="Arial" w:cs="Arial" w:eastAsia="Arial" w:hAnsi="Arial"/>
                <w:sz w:val="18"/>
                <w:szCs w:val="18"/>
                <w:color w:val="auto"/>
              </w:rPr>
              <w:t>Former Executive Vice President</w:t>
            </w:r>
          </w:p>
        </w:tc>
        <w:tc>
          <w:tcPr>
            <w:tcW w:w="1000" w:type="dxa"/>
            <w:vAlign w:val="bottom"/>
            <w:gridSpan w:val="3"/>
          </w:tcPr>
          <w:p>
            <w:pPr>
              <w:ind w:left="120"/>
              <w:spacing w:after="0"/>
              <w:rPr>
                <w:sz w:val="20"/>
                <w:szCs w:val="20"/>
                <w:color w:val="auto"/>
              </w:rPr>
            </w:pPr>
            <w:r>
              <w:rPr>
                <w:rFonts w:ascii="Arial" w:cs="Arial" w:eastAsia="Arial" w:hAnsi="Arial"/>
                <w:sz w:val="18"/>
                <w:szCs w:val="18"/>
                <w:color w:val="auto"/>
              </w:rPr>
              <w:t>United</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spacing w:after="0"/>
              <w:rPr>
                <w:sz w:val="20"/>
                <w:szCs w:val="20"/>
                <w:color w:val="auto"/>
              </w:rPr>
            </w:pPr>
            <w:r>
              <w:rPr>
                <w:rFonts w:ascii="Arial" w:cs="Arial" w:eastAsia="Arial" w:hAnsi="Arial"/>
                <w:sz w:val="18"/>
                <w:szCs w:val="18"/>
                <w:color w:val="auto"/>
              </w:rPr>
              <w:t>Bernardsville, NJ 07924 USA</w:t>
            </w:r>
          </w:p>
        </w:tc>
        <w:tc>
          <w:tcPr>
            <w:tcW w:w="3280" w:type="dxa"/>
            <w:vAlign w:val="bottom"/>
            <w:gridSpan w:val="3"/>
          </w:tcPr>
          <w:p>
            <w:pPr>
              <w:ind w:left="100"/>
              <w:spacing w:after="0"/>
              <w:rPr>
                <w:sz w:val="20"/>
                <w:szCs w:val="20"/>
                <w:color w:val="auto"/>
              </w:rPr>
            </w:pPr>
            <w:r>
              <w:rPr>
                <w:rFonts w:ascii="Arial" w:cs="Arial" w:eastAsia="Arial" w:hAnsi="Arial"/>
                <w:sz w:val="18"/>
                <w:szCs w:val="18"/>
                <w:color w:val="auto"/>
              </w:rPr>
              <w:t>and Chief Scientific Officer of</w:t>
            </w:r>
          </w:p>
        </w:tc>
        <w:tc>
          <w:tcPr>
            <w:tcW w:w="1000" w:type="dxa"/>
            <w:vAlign w:val="bottom"/>
            <w:gridSpan w:val="3"/>
          </w:tcPr>
          <w:p>
            <w:pPr>
              <w:ind w:left="120"/>
              <w:spacing w:after="0"/>
              <w:rPr>
                <w:sz w:val="20"/>
                <w:szCs w:val="20"/>
                <w:color w:val="auto"/>
              </w:rPr>
            </w:pPr>
            <w:r>
              <w:rPr>
                <w:rFonts w:ascii="Arial" w:cs="Arial" w:eastAsia="Arial" w:hAnsi="Arial"/>
                <w:sz w:val="18"/>
                <w:szCs w:val="18"/>
                <w:color w:val="auto"/>
              </w:rPr>
              <w:t>Kingdom</w:t>
            </w: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280" w:type="dxa"/>
            <w:vAlign w:val="bottom"/>
            <w:gridSpan w:val="3"/>
          </w:tcPr>
          <w:p>
            <w:pPr>
              <w:ind w:left="100"/>
              <w:spacing w:after="0"/>
              <w:rPr>
                <w:sz w:val="20"/>
                <w:szCs w:val="20"/>
                <w:color w:val="auto"/>
              </w:rPr>
            </w:pPr>
            <w:r>
              <w:rPr>
                <w:rFonts w:ascii="Arial" w:cs="Arial" w:eastAsia="Arial" w:hAnsi="Arial"/>
                <w:sz w:val="18"/>
                <w:szCs w:val="18"/>
                <w:color w:val="auto"/>
              </w:rPr>
              <w:t>Bristol-Myers Squibb</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3"/>
        </w:trPr>
        <w:tc>
          <w:tcPr>
            <w:tcW w:w="3540" w:type="dxa"/>
            <w:vAlign w:val="bottom"/>
            <w:gridSpan w:val="2"/>
          </w:tcPr>
          <w:p>
            <w:pPr>
              <w:spacing w:after="0"/>
              <w:rPr>
                <w:sz w:val="20"/>
                <w:szCs w:val="20"/>
                <w:color w:val="auto"/>
              </w:rPr>
            </w:pPr>
            <w:r>
              <w:rPr>
                <w:rFonts w:ascii="Arial" w:cs="Arial" w:eastAsia="Arial" w:hAnsi="Arial"/>
                <w:sz w:val="18"/>
                <w:szCs w:val="18"/>
                <w:color w:val="auto"/>
              </w:rPr>
              <w:t>Viviane Monges,</w:t>
            </w:r>
          </w:p>
        </w:tc>
        <w:tc>
          <w:tcPr>
            <w:tcW w:w="3200" w:type="dxa"/>
            <w:vAlign w:val="bottom"/>
            <w:gridSpan w:val="2"/>
          </w:tcPr>
          <w:p>
            <w:pPr>
              <w:spacing w:after="0"/>
              <w:rPr>
                <w:sz w:val="20"/>
                <w:szCs w:val="20"/>
                <w:color w:val="auto"/>
              </w:rPr>
            </w:pPr>
            <w:r>
              <w:rPr>
                <w:rFonts w:ascii="Arial" w:cs="Arial" w:eastAsia="Arial" w:hAnsi="Arial"/>
                <w:sz w:val="18"/>
                <w:szCs w:val="18"/>
                <w:color w:val="auto"/>
              </w:rPr>
              <w:t>Chemin de Craivavers 32,</w:t>
            </w:r>
          </w:p>
        </w:tc>
        <w:tc>
          <w:tcPr>
            <w:tcW w:w="3280" w:type="dxa"/>
            <w:vAlign w:val="bottom"/>
            <w:gridSpan w:val="3"/>
          </w:tcPr>
          <w:p>
            <w:pPr>
              <w:ind w:left="100"/>
              <w:spacing w:after="0"/>
              <w:rPr>
                <w:sz w:val="20"/>
                <w:szCs w:val="20"/>
                <w:color w:val="auto"/>
              </w:rPr>
            </w:pPr>
            <w:r>
              <w:rPr>
                <w:rFonts w:ascii="Arial" w:cs="Arial" w:eastAsia="Arial" w:hAnsi="Arial"/>
                <w:sz w:val="18"/>
                <w:szCs w:val="18"/>
                <w:color w:val="auto"/>
              </w:rPr>
              <w:t>Professional Board Director</w:t>
            </w:r>
          </w:p>
        </w:tc>
        <w:tc>
          <w:tcPr>
            <w:tcW w:w="1000" w:type="dxa"/>
            <w:vAlign w:val="bottom"/>
            <w:gridSpan w:val="3"/>
          </w:tcPr>
          <w:p>
            <w:pPr>
              <w:ind w:left="120"/>
              <w:spacing w:after="0"/>
              <w:rPr>
                <w:sz w:val="20"/>
                <w:szCs w:val="20"/>
                <w:color w:val="auto"/>
              </w:rPr>
            </w:pPr>
            <w:r>
              <w:rPr>
                <w:rFonts w:ascii="Arial" w:cs="Arial" w:eastAsia="Arial" w:hAnsi="Arial"/>
                <w:sz w:val="18"/>
                <w:szCs w:val="18"/>
                <w:color w:val="auto"/>
              </w:rPr>
              <w:t>France</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spacing w:after="0"/>
              <w:rPr>
                <w:sz w:val="20"/>
                <w:szCs w:val="20"/>
                <w:color w:val="auto"/>
              </w:rPr>
            </w:pPr>
            <w:r>
              <w:rPr>
                <w:rFonts w:ascii="Arial" w:cs="Arial" w:eastAsia="Arial" w:hAnsi="Arial"/>
                <w:sz w:val="18"/>
                <w:szCs w:val="18"/>
                <w:color w:val="auto"/>
              </w:rPr>
              <w:t>1012 Lausanne, Switzerland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3"/>
        </w:trPr>
        <w:tc>
          <w:tcPr>
            <w:tcW w:w="3540" w:type="dxa"/>
            <w:vAlign w:val="bottom"/>
            <w:gridSpan w:val="2"/>
          </w:tcPr>
          <w:p>
            <w:pPr>
              <w:spacing w:after="0"/>
              <w:rPr>
                <w:sz w:val="20"/>
                <w:szCs w:val="20"/>
                <w:color w:val="auto"/>
              </w:rPr>
            </w:pPr>
            <w:r>
              <w:rPr>
                <w:rFonts w:ascii="Arial" w:cs="Arial" w:eastAsia="Arial" w:hAnsi="Arial"/>
                <w:sz w:val="18"/>
                <w:szCs w:val="18"/>
                <w:color w:val="auto"/>
              </w:rPr>
              <w:t>Poul Carsten Stendevad,</w:t>
            </w:r>
          </w:p>
        </w:tc>
        <w:tc>
          <w:tcPr>
            <w:tcW w:w="3200" w:type="dxa"/>
            <w:vAlign w:val="bottom"/>
            <w:gridSpan w:val="2"/>
          </w:tcPr>
          <w:p>
            <w:pPr>
              <w:spacing w:after="0"/>
              <w:rPr>
                <w:sz w:val="20"/>
                <w:szCs w:val="20"/>
                <w:color w:val="auto"/>
              </w:rPr>
            </w:pPr>
            <w:r>
              <w:rPr>
                <w:rFonts w:ascii="Arial" w:cs="Arial" w:eastAsia="Arial" w:hAnsi="Arial"/>
                <w:sz w:val="18"/>
                <w:szCs w:val="18"/>
                <w:color w:val="auto"/>
              </w:rPr>
              <w:t>3220 Idaho Ave NW</w:t>
            </w:r>
          </w:p>
        </w:tc>
        <w:tc>
          <w:tcPr>
            <w:tcW w:w="3280" w:type="dxa"/>
            <w:vAlign w:val="bottom"/>
            <w:gridSpan w:val="3"/>
          </w:tcPr>
          <w:p>
            <w:pPr>
              <w:ind w:left="100"/>
              <w:spacing w:after="0"/>
              <w:rPr>
                <w:sz w:val="20"/>
                <w:szCs w:val="20"/>
                <w:color w:val="auto"/>
              </w:rPr>
            </w:pPr>
            <w:r>
              <w:rPr>
                <w:rFonts w:ascii="Arial" w:cs="Arial" w:eastAsia="Arial" w:hAnsi="Arial"/>
                <w:sz w:val="18"/>
                <w:szCs w:val="18"/>
                <w:color w:val="auto"/>
              </w:rPr>
              <w:t>Senior Fellow,</w:t>
            </w:r>
          </w:p>
        </w:tc>
        <w:tc>
          <w:tcPr>
            <w:tcW w:w="1000" w:type="dxa"/>
            <w:vAlign w:val="bottom"/>
            <w:gridSpan w:val="3"/>
          </w:tcPr>
          <w:p>
            <w:pPr>
              <w:ind w:left="120"/>
              <w:spacing w:after="0"/>
              <w:rPr>
                <w:sz w:val="20"/>
                <w:szCs w:val="20"/>
                <w:color w:val="auto"/>
              </w:rPr>
            </w:pPr>
            <w:r>
              <w:rPr>
                <w:rFonts w:ascii="Arial" w:cs="Arial" w:eastAsia="Arial" w:hAnsi="Arial"/>
                <w:sz w:val="18"/>
                <w:szCs w:val="18"/>
                <w:color w:val="auto"/>
              </w:rPr>
              <w:t>Denmark</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spacing w:after="0"/>
              <w:rPr>
                <w:sz w:val="20"/>
                <w:szCs w:val="20"/>
                <w:color w:val="auto"/>
              </w:rPr>
            </w:pPr>
            <w:r>
              <w:rPr>
                <w:rFonts w:ascii="Arial" w:cs="Arial" w:eastAsia="Arial" w:hAnsi="Arial"/>
                <w:sz w:val="18"/>
                <w:szCs w:val="18"/>
                <w:color w:val="auto"/>
              </w:rPr>
              <w:t>Washington, DC 20016 USA</w:t>
            </w:r>
          </w:p>
        </w:tc>
        <w:tc>
          <w:tcPr>
            <w:tcW w:w="3280" w:type="dxa"/>
            <w:vAlign w:val="bottom"/>
            <w:gridSpan w:val="3"/>
          </w:tcPr>
          <w:p>
            <w:pPr>
              <w:ind w:left="100"/>
              <w:spacing w:after="0"/>
              <w:rPr>
                <w:sz w:val="20"/>
                <w:szCs w:val="20"/>
                <w:color w:val="auto"/>
              </w:rPr>
            </w:pPr>
            <w:r>
              <w:rPr>
                <w:rFonts w:ascii="Arial" w:cs="Arial" w:eastAsia="Arial" w:hAnsi="Arial"/>
                <w:sz w:val="18"/>
                <w:szCs w:val="18"/>
                <w:color w:val="auto"/>
              </w:rPr>
              <w:t>Bridgewater Associates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3"/>
        </w:trPr>
        <w:tc>
          <w:tcPr>
            <w:tcW w:w="3540" w:type="dxa"/>
            <w:vAlign w:val="bottom"/>
            <w:gridSpan w:val="2"/>
          </w:tcPr>
          <w:p>
            <w:pPr>
              <w:spacing w:after="0"/>
              <w:rPr>
                <w:sz w:val="20"/>
                <w:szCs w:val="20"/>
                <w:color w:val="auto"/>
              </w:rPr>
            </w:pPr>
            <w:r>
              <w:rPr>
                <w:rFonts w:ascii="Arial" w:cs="Arial" w:eastAsia="Arial" w:hAnsi="Arial"/>
                <w:sz w:val="18"/>
                <w:szCs w:val="18"/>
                <w:color w:val="auto"/>
              </w:rPr>
              <w:t>Kasim Kutay,</w:t>
            </w:r>
          </w:p>
        </w:tc>
        <w:tc>
          <w:tcPr>
            <w:tcW w:w="3200" w:type="dxa"/>
            <w:vAlign w:val="bottom"/>
            <w:gridSpan w:val="2"/>
          </w:tcPr>
          <w:p>
            <w:pPr>
              <w:spacing w:after="0"/>
              <w:rPr>
                <w:sz w:val="20"/>
                <w:szCs w:val="20"/>
                <w:color w:val="auto"/>
              </w:rPr>
            </w:pPr>
            <w:r>
              <w:rPr>
                <w:rFonts w:ascii="Arial" w:cs="Arial" w:eastAsia="Arial" w:hAnsi="Arial"/>
                <w:sz w:val="18"/>
                <w:szCs w:val="18"/>
                <w:color w:val="auto"/>
              </w:rPr>
              <w:t>Bredgade 65, 3.tv.</w:t>
            </w:r>
          </w:p>
        </w:tc>
        <w:tc>
          <w:tcPr>
            <w:tcW w:w="328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of Novo</w:t>
            </w:r>
          </w:p>
        </w:tc>
        <w:tc>
          <w:tcPr>
            <w:tcW w:w="1000" w:type="dxa"/>
            <w:vAlign w:val="bottom"/>
            <w:gridSpan w:val="3"/>
          </w:tcPr>
          <w:p>
            <w:pPr>
              <w:ind w:left="120"/>
              <w:spacing w:after="0"/>
              <w:rPr>
                <w:sz w:val="20"/>
                <w:szCs w:val="20"/>
                <w:color w:val="auto"/>
              </w:rPr>
            </w:pPr>
            <w:r>
              <w:rPr>
                <w:rFonts w:ascii="Arial" w:cs="Arial" w:eastAsia="Arial" w:hAnsi="Arial"/>
                <w:sz w:val="18"/>
                <w:szCs w:val="18"/>
                <w:color w:val="auto"/>
              </w:rPr>
              <w:t>United</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Chief Executive Officer of Novo</w:t>
            </w:r>
          </w:p>
        </w:tc>
        <w:tc>
          <w:tcPr>
            <w:tcW w:w="3200" w:type="dxa"/>
            <w:vAlign w:val="bottom"/>
            <w:gridSpan w:val="2"/>
          </w:tcPr>
          <w:p>
            <w:pPr>
              <w:spacing w:after="0"/>
              <w:rPr>
                <w:sz w:val="20"/>
                <w:szCs w:val="20"/>
                <w:color w:val="auto"/>
              </w:rPr>
            </w:pPr>
            <w:r>
              <w:rPr>
                <w:rFonts w:ascii="Arial" w:cs="Arial" w:eastAsia="Arial" w:hAnsi="Arial"/>
                <w:sz w:val="18"/>
                <w:szCs w:val="18"/>
                <w:color w:val="auto"/>
              </w:rPr>
              <w:t>1260 Copenhagen K. Denmark</w:t>
            </w:r>
          </w:p>
        </w:tc>
        <w:tc>
          <w:tcPr>
            <w:tcW w:w="3280" w:type="dxa"/>
            <w:vAlign w:val="bottom"/>
            <w:gridSpan w:val="3"/>
          </w:tcPr>
          <w:p>
            <w:pPr>
              <w:ind w:left="100"/>
              <w:spacing w:after="0"/>
              <w:rPr>
                <w:sz w:val="20"/>
                <w:szCs w:val="20"/>
                <w:color w:val="auto"/>
              </w:rPr>
            </w:pPr>
            <w:r>
              <w:rPr>
                <w:rFonts w:ascii="Arial" w:cs="Arial" w:eastAsia="Arial" w:hAnsi="Arial"/>
                <w:sz w:val="18"/>
                <w:szCs w:val="18"/>
                <w:color w:val="auto"/>
              </w:rPr>
              <w:t>Holdings A/S</w:t>
            </w:r>
          </w:p>
        </w:tc>
        <w:tc>
          <w:tcPr>
            <w:tcW w:w="1000" w:type="dxa"/>
            <w:vAlign w:val="bottom"/>
            <w:gridSpan w:val="3"/>
          </w:tcPr>
          <w:p>
            <w:pPr>
              <w:ind w:left="120"/>
              <w:spacing w:after="0"/>
              <w:rPr>
                <w:sz w:val="20"/>
                <w:szCs w:val="20"/>
                <w:color w:val="auto"/>
              </w:rPr>
            </w:pPr>
            <w:r>
              <w:rPr>
                <w:rFonts w:ascii="Arial" w:cs="Arial" w:eastAsia="Arial" w:hAnsi="Arial"/>
                <w:sz w:val="18"/>
                <w:szCs w:val="18"/>
                <w:color w:val="auto"/>
              </w:rPr>
              <w:t>Kingdom</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Holdings A/S</w:t>
            </w: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3"/>
        </w:trPr>
        <w:tc>
          <w:tcPr>
            <w:tcW w:w="3540" w:type="dxa"/>
            <w:vAlign w:val="bottom"/>
            <w:gridSpan w:val="2"/>
          </w:tcPr>
          <w:p>
            <w:pPr>
              <w:spacing w:after="0"/>
              <w:rPr>
                <w:sz w:val="20"/>
                <w:szCs w:val="20"/>
                <w:color w:val="auto"/>
              </w:rPr>
            </w:pPr>
            <w:r>
              <w:rPr>
                <w:rFonts w:ascii="Arial" w:cs="Arial" w:eastAsia="Arial" w:hAnsi="Arial"/>
                <w:sz w:val="18"/>
                <w:szCs w:val="18"/>
                <w:color w:val="auto"/>
              </w:rPr>
              <w:t>Peter Haahr,</w:t>
            </w:r>
          </w:p>
        </w:tc>
        <w:tc>
          <w:tcPr>
            <w:tcW w:w="3200" w:type="dxa"/>
            <w:vAlign w:val="bottom"/>
            <w:gridSpan w:val="2"/>
          </w:tcPr>
          <w:p>
            <w:pPr>
              <w:spacing w:after="0"/>
              <w:rPr>
                <w:sz w:val="20"/>
                <w:szCs w:val="20"/>
                <w:color w:val="auto"/>
              </w:rPr>
            </w:pPr>
            <w:r>
              <w:rPr>
                <w:rFonts w:ascii="Arial" w:cs="Arial" w:eastAsia="Arial" w:hAnsi="Arial"/>
                <w:sz w:val="18"/>
                <w:szCs w:val="18"/>
                <w:color w:val="auto"/>
              </w:rPr>
              <w:t>Ordrup Have 21</w:t>
            </w:r>
          </w:p>
        </w:tc>
        <w:tc>
          <w:tcPr>
            <w:tcW w:w="328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 of Novo</w:t>
            </w:r>
          </w:p>
        </w:tc>
        <w:tc>
          <w:tcPr>
            <w:tcW w:w="1000" w:type="dxa"/>
            <w:vAlign w:val="bottom"/>
            <w:gridSpan w:val="3"/>
          </w:tcPr>
          <w:p>
            <w:pPr>
              <w:ind w:left="120"/>
              <w:spacing w:after="0"/>
              <w:rPr>
                <w:sz w:val="20"/>
                <w:szCs w:val="20"/>
                <w:color w:val="auto"/>
              </w:rPr>
            </w:pPr>
            <w:r>
              <w:rPr>
                <w:rFonts w:ascii="Arial" w:cs="Arial" w:eastAsia="Arial" w:hAnsi="Arial"/>
                <w:sz w:val="18"/>
                <w:szCs w:val="18"/>
                <w:color w:val="auto"/>
              </w:rPr>
              <w:t>Denmark</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Chief Financial Officer of Novo</w:t>
            </w:r>
          </w:p>
        </w:tc>
        <w:tc>
          <w:tcPr>
            <w:tcW w:w="3200" w:type="dxa"/>
            <w:vAlign w:val="bottom"/>
            <w:gridSpan w:val="2"/>
          </w:tcPr>
          <w:p>
            <w:pPr>
              <w:spacing w:after="0"/>
              <w:rPr>
                <w:sz w:val="20"/>
                <w:szCs w:val="20"/>
                <w:color w:val="auto"/>
              </w:rPr>
            </w:pPr>
            <w:r>
              <w:rPr>
                <w:rFonts w:ascii="Arial" w:cs="Arial" w:eastAsia="Arial" w:hAnsi="Arial"/>
                <w:sz w:val="18"/>
                <w:szCs w:val="18"/>
                <w:color w:val="auto"/>
              </w:rPr>
              <w:t>2900 Charlottenlund Denmark</w:t>
            </w:r>
          </w:p>
        </w:tc>
        <w:tc>
          <w:tcPr>
            <w:tcW w:w="3280" w:type="dxa"/>
            <w:vAlign w:val="bottom"/>
            <w:gridSpan w:val="3"/>
          </w:tcPr>
          <w:p>
            <w:pPr>
              <w:ind w:left="100"/>
              <w:spacing w:after="0"/>
              <w:rPr>
                <w:sz w:val="20"/>
                <w:szCs w:val="20"/>
                <w:color w:val="auto"/>
              </w:rPr>
            </w:pPr>
            <w:r>
              <w:rPr>
                <w:rFonts w:ascii="Arial" w:cs="Arial" w:eastAsia="Arial" w:hAnsi="Arial"/>
                <w:sz w:val="18"/>
                <w:szCs w:val="18"/>
                <w:color w:val="auto"/>
              </w:rPr>
              <w:t>Holdings A/S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Holdings A/S</w:t>
            </w: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18"/>
        </w:trPr>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i w:val="1"/>
                <w:iCs w:val="1"/>
                <w:color w:val="auto"/>
              </w:rPr>
              <w:t>Novo Nordisk Foundation</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55"/>
        </w:trPr>
        <w:tc>
          <w:tcPr>
            <w:tcW w:w="3540" w:type="dxa"/>
            <w:vAlign w:val="bottom"/>
            <w:tcBorders>
              <w:bottom w:val="single" w:sz="8" w:color="auto"/>
            </w:tcBorders>
            <w:gridSpan w:val="2"/>
          </w:tcPr>
          <w:p>
            <w:pPr>
              <w:ind w:left="1400"/>
              <w:spacing w:after="0" w:line="155" w:lineRule="exact"/>
              <w:rPr>
                <w:sz w:val="20"/>
                <w:szCs w:val="20"/>
                <w:color w:val="auto"/>
              </w:rPr>
            </w:pPr>
            <w:r>
              <w:rPr>
                <w:rFonts w:ascii="Arial" w:cs="Arial" w:eastAsia="Arial" w:hAnsi="Arial"/>
                <w:sz w:val="14"/>
                <w:szCs w:val="14"/>
                <w:b w:val="1"/>
                <w:bCs w:val="1"/>
                <w:color w:val="auto"/>
              </w:rPr>
              <w:t>Name, Title</w:t>
            </w:r>
          </w:p>
        </w:tc>
        <w:tc>
          <w:tcPr>
            <w:tcW w:w="120" w:type="dxa"/>
            <w:vAlign w:val="bottom"/>
          </w:tcPr>
          <w:p>
            <w:pPr>
              <w:spacing w:after="0"/>
              <w:rPr>
                <w:sz w:val="13"/>
                <w:szCs w:val="13"/>
                <w:color w:val="auto"/>
              </w:rPr>
            </w:pPr>
          </w:p>
        </w:tc>
        <w:tc>
          <w:tcPr>
            <w:tcW w:w="3080" w:type="dxa"/>
            <w:vAlign w:val="bottom"/>
            <w:tcBorders>
              <w:bottom w:val="single" w:sz="8" w:color="auto"/>
            </w:tcBorders>
          </w:tcPr>
          <w:p>
            <w:pPr>
              <w:ind w:left="1340"/>
              <w:spacing w:after="0" w:line="155" w:lineRule="exact"/>
              <w:rPr>
                <w:sz w:val="20"/>
                <w:szCs w:val="20"/>
                <w:color w:val="auto"/>
              </w:rPr>
            </w:pPr>
            <w:r>
              <w:rPr>
                <w:rFonts w:ascii="Arial" w:cs="Arial" w:eastAsia="Arial" w:hAnsi="Arial"/>
                <w:sz w:val="14"/>
                <w:szCs w:val="14"/>
                <w:b w:val="1"/>
                <w:bCs w:val="1"/>
                <w:color w:val="auto"/>
              </w:rPr>
              <w:t>Address</w:t>
            </w: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Borders>
              <w:bottom w:val="single" w:sz="8" w:color="auto"/>
            </w:tcBorders>
          </w:tcPr>
          <w:p>
            <w:pPr>
              <w:ind w:left="940"/>
              <w:spacing w:after="0" w:line="155" w:lineRule="exact"/>
              <w:rPr>
                <w:sz w:val="20"/>
                <w:szCs w:val="20"/>
                <w:color w:val="auto"/>
              </w:rPr>
            </w:pPr>
            <w:r>
              <w:rPr>
                <w:rFonts w:ascii="Arial" w:cs="Arial" w:eastAsia="Arial" w:hAnsi="Arial"/>
                <w:sz w:val="14"/>
                <w:szCs w:val="14"/>
                <w:b w:val="1"/>
                <w:bCs w:val="1"/>
                <w:color w:val="auto"/>
              </w:rPr>
              <w:t>Principal Occupation</w:t>
            </w: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w w:val="96"/>
              </w:rPr>
              <w:t>Citizenship</w:t>
            </w:r>
          </w:p>
        </w:tc>
      </w:tr>
      <w:tr>
        <w:trPr>
          <w:trHeight w:val="195"/>
        </w:trPr>
        <w:tc>
          <w:tcPr>
            <w:tcW w:w="3540" w:type="dxa"/>
            <w:vAlign w:val="bottom"/>
            <w:gridSpan w:val="2"/>
          </w:tcPr>
          <w:p>
            <w:pPr>
              <w:spacing w:after="0" w:line="195" w:lineRule="exact"/>
              <w:rPr>
                <w:sz w:val="20"/>
                <w:szCs w:val="20"/>
                <w:color w:val="auto"/>
              </w:rPr>
            </w:pPr>
            <w:r>
              <w:rPr>
                <w:rFonts w:ascii="Arial" w:cs="Arial" w:eastAsia="Arial" w:hAnsi="Arial"/>
                <w:sz w:val="18"/>
                <w:szCs w:val="18"/>
                <w:color w:val="auto"/>
              </w:rPr>
              <w:t>Lars Rebien Sørensen,</w:t>
            </w:r>
          </w:p>
        </w:tc>
        <w:tc>
          <w:tcPr>
            <w:tcW w:w="120" w:type="dxa"/>
            <w:vAlign w:val="bottom"/>
          </w:tcPr>
          <w:p>
            <w:pPr>
              <w:spacing w:after="0"/>
              <w:rPr>
                <w:sz w:val="16"/>
                <w:szCs w:val="16"/>
                <w:color w:val="auto"/>
              </w:rPr>
            </w:pPr>
          </w:p>
        </w:tc>
        <w:tc>
          <w:tcPr>
            <w:tcW w:w="3080" w:type="dxa"/>
            <w:vAlign w:val="bottom"/>
          </w:tcPr>
          <w:p>
            <w:pPr>
              <w:spacing w:after="0" w:line="195" w:lineRule="exact"/>
              <w:rPr>
                <w:sz w:val="20"/>
                <w:szCs w:val="20"/>
                <w:color w:val="auto"/>
              </w:rPr>
            </w:pPr>
            <w:r>
              <w:rPr>
                <w:rFonts w:ascii="Arial" w:cs="Arial" w:eastAsia="Arial" w:hAnsi="Arial"/>
                <w:sz w:val="18"/>
                <w:szCs w:val="18"/>
                <w:color w:val="auto"/>
              </w:rPr>
              <w:t>Christianholms Tværvej 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line="195" w:lineRule="exact"/>
              <w:rPr>
                <w:sz w:val="20"/>
                <w:szCs w:val="20"/>
                <w:color w:val="auto"/>
              </w:rPr>
            </w:pPr>
            <w:r>
              <w:rPr>
                <w:rFonts w:ascii="Arial" w:cs="Arial" w:eastAsia="Arial" w:hAnsi="Arial"/>
                <w:sz w:val="18"/>
                <w:szCs w:val="18"/>
                <w:color w:val="auto"/>
              </w:rPr>
              <w:t>Professional Board Director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line="195" w:lineRule="exact"/>
              <w:rPr>
                <w:sz w:val="20"/>
                <w:szCs w:val="20"/>
                <w:color w:val="auto"/>
              </w:rPr>
            </w:pPr>
            <w:r>
              <w:rPr>
                <w:rFonts w:ascii="Arial" w:cs="Arial" w:eastAsia="Arial" w:hAnsi="Arial"/>
                <w:sz w:val="18"/>
                <w:szCs w:val="18"/>
                <w:color w:val="auto"/>
              </w:rPr>
              <w:t>Denmark</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3200" w:type="dxa"/>
            <w:vAlign w:val="bottom"/>
            <w:gridSpan w:val="2"/>
          </w:tcPr>
          <w:p>
            <w:pPr>
              <w:ind w:left="120"/>
              <w:spacing w:after="0"/>
              <w:rPr>
                <w:sz w:val="20"/>
                <w:szCs w:val="20"/>
                <w:color w:val="auto"/>
              </w:rPr>
            </w:pPr>
            <w:r>
              <w:rPr>
                <w:rFonts w:ascii="Arial" w:cs="Arial" w:eastAsia="Arial" w:hAnsi="Arial"/>
                <w:sz w:val="18"/>
                <w:szCs w:val="18"/>
                <w:color w:val="auto"/>
              </w:rPr>
              <w:t>2930 Klampenborg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2"/>
          </w:tcPr>
          <w:p>
            <w:pPr>
              <w:ind w:left="120"/>
              <w:spacing w:after="0"/>
              <w:rPr>
                <w:sz w:val="20"/>
                <w:szCs w:val="20"/>
                <w:color w:val="auto"/>
              </w:rPr>
            </w:pPr>
            <w:r>
              <w:rPr>
                <w:rFonts w:ascii="Arial" w:cs="Arial" w:eastAsia="Arial" w:hAnsi="Arial"/>
                <w:sz w:val="18"/>
                <w:szCs w:val="18"/>
                <w:color w:val="auto"/>
              </w:rPr>
              <w:t>Denmark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3"/>
        </w:trPr>
        <w:tc>
          <w:tcPr>
            <w:tcW w:w="3540" w:type="dxa"/>
            <w:vAlign w:val="bottom"/>
            <w:gridSpan w:val="2"/>
          </w:tcPr>
          <w:p>
            <w:pPr>
              <w:spacing w:after="0"/>
              <w:rPr>
                <w:sz w:val="20"/>
                <w:szCs w:val="20"/>
                <w:color w:val="auto"/>
              </w:rPr>
            </w:pPr>
            <w:r>
              <w:rPr>
                <w:rFonts w:ascii="Arial" w:cs="Arial" w:eastAsia="Arial" w:hAnsi="Arial"/>
                <w:sz w:val="18"/>
                <w:szCs w:val="18"/>
                <w:color w:val="auto"/>
              </w:rPr>
              <w:t>Marianne Philip,</w:t>
            </w:r>
          </w:p>
        </w:tc>
        <w:tc>
          <w:tcPr>
            <w:tcW w:w="3200" w:type="dxa"/>
            <w:vAlign w:val="bottom"/>
            <w:gridSpan w:val="2"/>
          </w:tcPr>
          <w:p>
            <w:pPr>
              <w:ind w:left="120"/>
              <w:spacing w:after="0"/>
              <w:rPr>
                <w:sz w:val="20"/>
                <w:szCs w:val="20"/>
                <w:color w:val="auto"/>
              </w:rPr>
            </w:pPr>
            <w:r>
              <w:rPr>
                <w:rFonts w:ascii="Arial" w:cs="Arial" w:eastAsia="Arial" w:hAnsi="Arial"/>
                <w:sz w:val="18"/>
                <w:szCs w:val="18"/>
                <w:color w:val="auto"/>
              </w:rPr>
              <w:t>Annasvej 28</w:t>
            </w:r>
          </w:p>
        </w:tc>
        <w:tc>
          <w:tcPr>
            <w:tcW w:w="100" w:type="dxa"/>
            <w:vAlign w:val="bottom"/>
          </w:tcPr>
          <w:p>
            <w:pPr>
              <w:spacing w:after="0"/>
              <w:rPr>
                <w:sz w:val="24"/>
                <w:szCs w:val="24"/>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Attorney</w:t>
            </w:r>
          </w:p>
        </w:tc>
        <w:tc>
          <w:tcPr>
            <w:tcW w:w="12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Denmark</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Vice Chairman of the Board</w:t>
            </w:r>
          </w:p>
        </w:tc>
        <w:tc>
          <w:tcPr>
            <w:tcW w:w="3200" w:type="dxa"/>
            <w:vAlign w:val="bottom"/>
            <w:gridSpan w:val="2"/>
          </w:tcPr>
          <w:p>
            <w:pPr>
              <w:ind w:left="120"/>
              <w:spacing w:after="0"/>
              <w:rPr>
                <w:sz w:val="20"/>
                <w:szCs w:val="20"/>
                <w:color w:val="auto"/>
              </w:rPr>
            </w:pPr>
            <w:r>
              <w:rPr>
                <w:rFonts w:ascii="Arial" w:cs="Arial" w:eastAsia="Arial" w:hAnsi="Arial"/>
                <w:sz w:val="18"/>
                <w:szCs w:val="18"/>
                <w:color w:val="auto"/>
              </w:rPr>
              <w:t>2900 Hellerup</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2"/>
          </w:tcPr>
          <w:p>
            <w:pPr>
              <w:ind w:left="120"/>
              <w:spacing w:after="0"/>
              <w:rPr>
                <w:sz w:val="20"/>
                <w:szCs w:val="20"/>
                <w:color w:val="auto"/>
              </w:rPr>
            </w:pPr>
            <w:r>
              <w:rPr>
                <w:rFonts w:ascii="Arial" w:cs="Arial" w:eastAsia="Arial" w:hAnsi="Arial"/>
                <w:sz w:val="18"/>
                <w:szCs w:val="18"/>
                <w:color w:val="auto"/>
              </w:rPr>
              <w:t>Denmark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3"/>
        </w:trPr>
        <w:tc>
          <w:tcPr>
            <w:tcW w:w="3540" w:type="dxa"/>
            <w:vAlign w:val="bottom"/>
            <w:gridSpan w:val="2"/>
          </w:tcPr>
          <w:p>
            <w:pPr>
              <w:spacing w:after="0"/>
              <w:rPr>
                <w:sz w:val="20"/>
                <w:szCs w:val="20"/>
                <w:color w:val="auto"/>
              </w:rPr>
            </w:pPr>
            <w:r>
              <w:rPr>
                <w:rFonts w:ascii="Arial" w:cs="Arial" w:eastAsia="Arial" w:hAnsi="Arial"/>
                <w:sz w:val="18"/>
                <w:szCs w:val="18"/>
                <w:color w:val="auto"/>
              </w:rPr>
              <w:t>Steen Riisgaard,</w:t>
            </w:r>
          </w:p>
        </w:tc>
        <w:tc>
          <w:tcPr>
            <w:tcW w:w="3200" w:type="dxa"/>
            <w:vAlign w:val="bottom"/>
            <w:gridSpan w:val="2"/>
          </w:tcPr>
          <w:p>
            <w:pPr>
              <w:ind w:left="120"/>
              <w:spacing w:after="0"/>
              <w:rPr>
                <w:sz w:val="20"/>
                <w:szCs w:val="20"/>
                <w:color w:val="auto"/>
              </w:rPr>
            </w:pPr>
            <w:r>
              <w:rPr>
                <w:rFonts w:ascii="Arial" w:cs="Arial" w:eastAsia="Arial" w:hAnsi="Arial"/>
                <w:sz w:val="18"/>
                <w:szCs w:val="18"/>
                <w:color w:val="auto"/>
              </w:rPr>
              <w:t>Hestetangsvej 155</w:t>
            </w:r>
          </w:p>
        </w:tc>
        <w:tc>
          <w:tcPr>
            <w:tcW w:w="100" w:type="dxa"/>
            <w:vAlign w:val="bottom"/>
          </w:tcPr>
          <w:p>
            <w:pPr>
              <w:spacing w:after="0"/>
              <w:rPr>
                <w:sz w:val="24"/>
                <w:szCs w:val="24"/>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Professional Board Director</w:t>
            </w:r>
          </w:p>
        </w:tc>
        <w:tc>
          <w:tcPr>
            <w:tcW w:w="12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Denmark</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ind w:left="120"/>
              <w:spacing w:after="0"/>
              <w:rPr>
                <w:sz w:val="20"/>
                <w:szCs w:val="20"/>
                <w:color w:val="auto"/>
              </w:rPr>
            </w:pPr>
            <w:r>
              <w:rPr>
                <w:rFonts w:ascii="Arial" w:cs="Arial" w:eastAsia="Arial" w:hAnsi="Arial"/>
                <w:sz w:val="18"/>
                <w:szCs w:val="18"/>
                <w:color w:val="auto"/>
              </w:rPr>
              <w:t>3520 Farum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2"/>
          </w:tcPr>
          <w:p>
            <w:pPr>
              <w:ind w:left="120"/>
              <w:spacing w:after="0"/>
              <w:rPr>
                <w:sz w:val="20"/>
                <w:szCs w:val="20"/>
                <w:color w:val="auto"/>
              </w:rPr>
            </w:pPr>
            <w:r>
              <w:rPr>
                <w:rFonts w:ascii="Arial" w:cs="Arial" w:eastAsia="Arial" w:hAnsi="Arial"/>
                <w:sz w:val="18"/>
                <w:szCs w:val="18"/>
                <w:color w:val="auto"/>
              </w:rPr>
              <w:t>Denmark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78"/>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2"/>
          </w:tcPr>
          <w:p>
            <w:pPr>
              <w:ind w:left="19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Novo Nordisk Foundation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540" w:type="dxa"/>
            <w:vAlign w:val="bottom"/>
            <w:tcBorders>
              <w:top w:val="single" w:sz="8" w:color="auto"/>
              <w:bottom w:val="single" w:sz="8" w:color="auto"/>
            </w:tcBorders>
          </w:tcPr>
          <w:p>
            <w:pPr>
              <w:ind w:left="1400"/>
              <w:spacing w:after="0" w:line="155" w:lineRule="exact"/>
              <w:rPr>
                <w:sz w:val="20"/>
                <w:szCs w:val="20"/>
                <w:color w:val="auto"/>
              </w:rPr>
            </w:pPr>
            <w:r>
              <w:rPr>
                <w:rFonts w:ascii="Arial" w:cs="Arial" w:eastAsia="Arial" w:hAnsi="Arial"/>
                <w:sz w:val="14"/>
                <w:szCs w:val="14"/>
                <w:b w:val="1"/>
                <w:bCs w:val="1"/>
                <w:color w:val="auto"/>
              </w:rPr>
              <w:t>Name, Title</w:t>
            </w:r>
          </w:p>
        </w:tc>
        <w:tc>
          <w:tcPr>
            <w:tcW w:w="120" w:type="dxa"/>
            <w:vAlign w:val="bottom"/>
            <w:tcBorders>
              <w:top w:val="single" w:sz="8" w:color="auto"/>
            </w:tcBorders>
          </w:tcPr>
          <w:p>
            <w:pPr>
              <w:spacing w:after="0"/>
              <w:rPr>
                <w:sz w:val="13"/>
                <w:szCs w:val="13"/>
                <w:color w:val="auto"/>
              </w:rPr>
            </w:pPr>
          </w:p>
        </w:tc>
        <w:tc>
          <w:tcPr>
            <w:tcW w:w="3180" w:type="dxa"/>
            <w:vAlign w:val="bottom"/>
            <w:tcBorders>
              <w:top w:val="single" w:sz="8" w:color="auto"/>
              <w:bottom w:val="single" w:sz="8" w:color="auto"/>
            </w:tcBorders>
          </w:tcPr>
          <w:p>
            <w:pPr>
              <w:ind w:left="1340"/>
              <w:spacing w:after="0" w:line="155" w:lineRule="exact"/>
              <w:rPr>
                <w:sz w:val="20"/>
                <w:szCs w:val="20"/>
                <w:color w:val="auto"/>
              </w:rPr>
            </w:pPr>
            <w:r>
              <w:rPr>
                <w:rFonts w:ascii="Arial" w:cs="Arial" w:eastAsia="Arial" w:hAnsi="Arial"/>
                <w:sz w:val="14"/>
                <w:szCs w:val="14"/>
                <w:b w:val="1"/>
                <w:bCs w:val="1"/>
                <w:color w:val="auto"/>
              </w:rPr>
              <w:t>Address</w:t>
            </w:r>
          </w:p>
        </w:tc>
        <w:tc>
          <w:tcPr>
            <w:tcW w:w="100" w:type="dxa"/>
            <w:vAlign w:val="bottom"/>
            <w:tcBorders>
              <w:top w:val="single" w:sz="8" w:color="auto"/>
            </w:tcBorders>
          </w:tcPr>
          <w:p>
            <w:pPr>
              <w:spacing w:after="0"/>
              <w:rPr>
                <w:sz w:val="13"/>
                <w:szCs w:val="13"/>
                <w:color w:val="auto"/>
              </w:rPr>
            </w:pPr>
          </w:p>
        </w:tc>
        <w:tc>
          <w:tcPr>
            <w:tcW w:w="3200" w:type="dxa"/>
            <w:vAlign w:val="bottom"/>
            <w:tcBorders>
              <w:top w:val="single" w:sz="8" w:color="auto"/>
              <w:bottom w:val="single" w:sz="8" w:color="auto"/>
            </w:tcBorders>
          </w:tcPr>
          <w:p>
            <w:pPr>
              <w:ind w:left="940"/>
              <w:spacing w:after="0" w:line="155" w:lineRule="exact"/>
              <w:rPr>
                <w:sz w:val="20"/>
                <w:szCs w:val="20"/>
                <w:color w:val="auto"/>
              </w:rPr>
            </w:pPr>
            <w:r>
              <w:rPr>
                <w:rFonts w:ascii="Arial" w:cs="Arial" w:eastAsia="Arial" w:hAnsi="Arial"/>
                <w:sz w:val="14"/>
                <w:szCs w:val="14"/>
                <w:b w:val="1"/>
                <w:bCs w:val="1"/>
                <w:color w:val="auto"/>
              </w:rPr>
              <w:t>Principal Occupation</w:t>
            </w: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w w:val="96"/>
              </w:rPr>
              <w:t>Citizenship</w:t>
            </w:r>
          </w:p>
        </w:tc>
      </w:tr>
      <w:tr>
        <w:trPr>
          <w:trHeight w:val="195"/>
        </w:trPr>
        <w:tc>
          <w:tcPr>
            <w:tcW w:w="3540" w:type="dxa"/>
            <w:vAlign w:val="bottom"/>
          </w:tcPr>
          <w:p>
            <w:pPr>
              <w:spacing w:after="0" w:line="195" w:lineRule="exact"/>
              <w:rPr>
                <w:sz w:val="20"/>
                <w:szCs w:val="20"/>
                <w:color w:val="auto"/>
              </w:rPr>
            </w:pPr>
            <w:r>
              <w:rPr>
                <w:rFonts w:ascii="Arial" w:cs="Arial" w:eastAsia="Arial" w:hAnsi="Arial"/>
                <w:sz w:val="18"/>
                <w:szCs w:val="18"/>
                <w:color w:val="auto"/>
              </w:rPr>
              <w:t>Birgitte Nauntofte,</w:t>
            </w:r>
          </w:p>
        </w:tc>
        <w:tc>
          <w:tcPr>
            <w:tcW w:w="120" w:type="dxa"/>
            <w:vAlign w:val="bottom"/>
          </w:tcPr>
          <w:p>
            <w:pPr>
              <w:spacing w:after="0"/>
              <w:rPr>
                <w:sz w:val="16"/>
                <w:szCs w:val="16"/>
                <w:color w:val="auto"/>
              </w:rPr>
            </w:pPr>
          </w:p>
        </w:tc>
        <w:tc>
          <w:tcPr>
            <w:tcW w:w="3180" w:type="dxa"/>
            <w:vAlign w:val="bottom"/>
          </w:tcPr>
          <w:p>
            <w:pPr>
              <w:spacing w:after="0" w:line="195" w:lineRule="exact"/>
              <w:rPr>
                <w:sz w:val="20"/>
                <w:szCs w:val="20"/>
                <w:color w:val="auto"/>
              </w:rPr>
            </w:pPr>
            <w:r>
              <w:rPr>
                <w:rFonts w:ascii="Arial" w:cs="Arial" w:eastAsia="Arial" w:hAnsi="Arial"/>
                <w:sz w:val="18"/>
                <w:szCs w:val="18"/>
                <w:color w:val="auto"/>
              </w:rPr>
              <w:t>Engbakkevej 24</w:t>
            </w:r>
          </w:p>
        </w:tc>
        <w:tc>
          <w:tcPr>
            <w:tcW w:w="100" w:type="dxa"/>
            <w:vAlign w:val="bottom"/>
          </w:tcPr>
          <w:p>
            <w:pPr>
              <w:spacing w:after="0"/>
              <w:rPr>
                <w:sz w:val="16"/>
                <w:szCs w:val="16"/>
                <w:color w:val="auto"/>
              </w:rPr>
            </w:pPr>
          </w:p>
        </w:tc>
        <w:tc>
          <w:tcPr>
            <w:tcW w:w="3200" w:type="dxa"/>
            <w:vAlign w:val="bottom"/>
          </w:tcPr>
          <w:p>
            <w:pPr>
              <w:spacing w:after="0" w:line="195" w:lineRule="exact"/>
              <w:rPr>
                <w:sz w:val="20"/>
                <w:szCs w:val="20"/>
                <w:color w:val="auto"/>
              </w:rPr>
            </w:pPr>
            <w:r>
              <w:rPr>
                <w:rFonts w:ascii="Arial" w:cs="Arial" w:eastAsia="Arial" w:hAnsi="Arial"/>
                <w:sz w:val="18"/>
                <w:szCs w:val="18"/>
                <w:color w:val="auto"/>
              </w:rPr>
              <w:t>Chief Executive Officer, Novo</w:t>
            </w:r>
          </w:p>
        </w:tc>
        <w:tc>
          <w:tcPr>
            <w:tcW w:w="100" w:type="dxa"/>
            <w:vAlign w:val="bottom"/>
          </w:tcPr>
          <w:p>
            <w:pPr>
              <w:spacing w:after="0"/>
              <w:rPr>
                <w:sz w:val="16"/>
                <w:szCs w:val="16"/>
                <w:color w:val="auto"/>
              </w:rPr>
            </w:pPr>
          </w:p>
        </w:tc>
        <w:tc>
          <w:tcPr>
            <w:tcW w:w="780" w:type="dxa"/>
            <w:vAlign w:val="bottom"/>
          </w:tcPr>
          <w:p>
            <w:pPr>
              <w:spacing w:after="0" w:line="195" w:lineRule="exact"/>
              <w:rPr>
                <w:sz w:val="20"/>
                <w:szCs w:val="20"/>
                <w:color w:val="auto"/>
              </w:rPr>
            </w:pPr>
            <w:r>
              <w:rPr>
                <w:rFonts w:ascii="Arial" w:cs="Arial" w:eastAsia="Arial" w:hAnsi="Arial"/>
                <w:sz w:val="18"/>
                <w:szCs w:val="18"/>
                <w:color w:val="auto"/>
              </w:rPr>
              <w:t>Denmark</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2920 Charlottenlund</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Nordisk Foundation</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Denmark</w:t>
            </w: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3"/>
        </w:trPr>
        <w:tc>
          <w:tcPr>
            <w:tcW w:w="3540" w:type="dxa"/>
            <w:vAlign w:val="bottom"/>
          </w:tcPr>
          <w:p>
            <w:pPr>
              <w:spacing w:after="0"/>
              <w:rPr>
                <w:sz w:val="20"/>
                <w:szCs w:val="20"/>
                <w:color w:val="auto"/>
              </w:rPr>
            </w:pPr>
            <w:r>
              <w:rPr>
                <w:rFonts w:ascii="Arial" w:cs="Arial" w:eastAsia="Arial" w:hAnsi="Arial"/>
                <w:sz w:val="18"/>
                <w:szCs w:val="18"/>
                <w:color w:val="auto"/>
              </w:rPr>
              <w:t>Niels Peder Nielsen,</w:t>
            </w: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Winthersvej 10, 3480</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Deputy CEO, Novo Nordisk</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Denmark</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Deputy CEO</w:t>
            </w: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Fredensborg</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Foundation</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Denmark</w:t>
            </w: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3"/>
        </w:trPr>
        <w:tc>
          <w:tcPr>
            <w:tcW w:w="3540" w:type="dxa"/>
            <w:vAlign w:val="bottom"/>
          </w:tcPr>
          <w:p>
            <w:pPr>
              <w:spacing w:after="0"/>
              <w:rPr>
                <w:sz w:val="20"/>
                <w:szCs w:val="20"/>
                <w:color w:val="auto"/>
              </w:rPr>
            </w:pPr>
            <w:r>
              <w:rPr>
                <w:rFonts w:ascii="Arial" w:cs="Arial" w:eastAsia="Arial" w:hAnsi="Arial"/>
                <w:sz w:val="18"/>
                <w:szCs w:val="18"/>
                <w:color w:val="auto"/>
              </w:rPr>
              <w:t>Anne Marie Kverneland,</w:t>
            </w: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Nybrovej 216</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Laboratory technician, Novo</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Denmark</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Director</w:t>
            </w: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2800 Kgs. Lyngby</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Nordisk A/S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Denmark</w:t>
            </w: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3"/>
        </w:trPr>
        <w:tc>
          <w:tcPr>
            <w:tcW w:w="3540" w:type="dxa"/>
            <w:vAlign w:val="bottom"/>
          </w:tcPr>
          <w:p>
            <w:pPr>
              <w:spacing w:after="0"/>
              <w:rPr>
                <w:sz w:val="20"/>
                <w:szCs w:val="20"/>
                <w:color w:val="auto"/>
              </w:rPr>
            </w:pPr>
            <w:r>
              <w:rPr>
                <w:rFonts w:ascii="Arial" w:cs="Arial" w:eastAsia="Arial" w:hAnsi="Arial"/>
                <w:sz w:val="18"/>
                <w:szCs w:val="18"/>
                <w:color w:val="auto"/>
              </w:rPr>
              <w:t>Lars Bo Køppler,</w:t>
            </w: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Anemonevej 7</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Technician, Novozymes A/S</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Denmark</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Director</w:t>
            </w: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3550 Slangerup</w:t>
            </w: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Denmark</w:t>
            </w: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3"/>
        </w:trPr>
        <w:tc>
          <w:tcPr>
            <w:tcW w:w="3540" w:type="dxa"/>
            <w:vAlign w:val="bottom"/>
          </w:tcPr>
          <w:p>
            <w:pPr>
              <w:spacing w:after="0"/>
              <w:rPr>
                <w:sz w:val="20"/>
                <w:szCs w:val="20"/>
                <w:color w:val="auto"/>
              </w:rPr>
            </w:pPr>
            <w:r>
              <w:rPr>
                <w:rFonts w:ascii="Arial" w:cs="Arial" w:eastAsia="Arial" w:hAnsi="Arial"/>
                <w:sz w:val="18"/>
                <w:szCs w:val="18"/>
                <w:color w:val="auto"/>
              </w:rPr>
              <w:t>Lars Fugger,</w:t>
            </w: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72 Staunton Road,</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Professor, John Radcliffe Hospital,</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Denmark</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Director</w:t>
            </w: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Headington</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University of Oxford, Oxford,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OX3 7TP</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Great Britain</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Great Britain</w:t>
            </w: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3"/>
        </w:trPr>
        <w:tc>
          <w:tcPr>
            <w:tcW w:w="3540" w:type="dxa"/>
            <w:vAlign w:val="bottom"/>
          </w:tcPr>
          <w:p>
            <w:pPr>
              <w:spacing w:after="0"/>
              <w:rPr>
                <w:sz w:val="20"/>
                <w:szCs w:val="20"/>
                <w:color w:val="auto"/>
              </w:rPr>
            </w:pPr>
            <w:r>
              <w:rPr>
                <w:rFonts w:ascii="Arial" w:cs="Arial" w:eastAsia="Arial" w:hAnsi="Arial"/>
                <w:sz w:val="18"/>
                <w:szCs w:val="18"/>
                <w:color w:val="auto"/>
              </w:rPr>
              <w:t>Lars Henrik Munch,</w:t>
            </w: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Galionsvej 46</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Professional Board Director</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Denmark</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Director</w:t>
            </w: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1437 København K</w:t>
            </w: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Denmark</w:t>
            </w: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3"/>
        </w:trPr>
        <w:tc>
          <w:tcPr>
            <w:tcW w:w="3540" w:type="dxa"/>
            <w:vAlign w:val="bottom"/>
          </w:tcPr>
          <w:p>
            <w:pPr>
              <w:spacing w:after="0"/>
              <w:rPr>
                <w:sz w:val="20"/>
                <w:szCs w:val="20"/>
                <w:color w:val="auto"/>
              </w:rPr>
            </w:pPr>
            <w:r>
              <w:rPr>
                <w:rFonts w:ascii="Arial" w:cs="Arial" w:eastAsia="Arial" w:hAnsi="Arial"/>
                <w:sz w:val="18"/>
                <w:szCs w:val="18"/>
                <w:color w:val="auto"/>
              </w:rPr>
              <w:t>Mads Boritz Grøn,</w:t>
            </w: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Horsevænget 4</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Senior Lead Auditor</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Denmark</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Director</w:t>
            </w: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3400 Hillerød</w:t>
            </w: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Denmark</w:t>
            </w: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3"/>
        </w:trPr>
        <w:tc>
          <w:tcPr>
            <w:tcW w:w="3540" w:type="dxa"/>
            <w:vAlign w:val="bottom"/>
          </w:tcPr>
          <w:p>
            <w:pPr>
              <w:spacing w:after="0"/>
              <w:rPr>
                <w:sz w:val="20"/>
                <w:szCs w:val="20"/>
                <w:color w:val="auto"/>
              </w:rPr>
            </w:pPr>
            <w:r>
              <w:rPr>
                <w:rFonts w:ascii="Arial" w:cs="Arial" w:eastAsia="Arial" w:hAnsi="Arial"/>
                <w:sz w:val="18"/>
                <w:szCs w:val="18"/>
                <w:color w:val="auto"/>
              </w:rPr>
              <w:t>Liselotte Højgaard,</w:t>
            </w: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Grønningen 21</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Professor</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Denmark</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Director</w:t>
            </w: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1270 København K</w:t>
            </w: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Denmark</w:t>
            </w: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78"/>
        </w:trPr>
        <w:tc>
          <w:tcPr>
            <w:tcW w:w="3540" w:type="dxa"/>
            <w:vAlign w:val="bottom"/>
          </w:tcPr>
          <w:p>
            <w:pPr>
              <w:spacing w:after="0"/>
              <w:rPr>
                <w:sz w:val="24"/>
                <w:szCs w:val="24"/>
                <w:color w:val="auto"/>
              </w:rPr>
            </w:pPr>
          </w:p>
        </w:tc>
        <w:tc>
          <w:tcPr>
            <w:tcW w:w="3300" w:type="dxa"/>
            <w:vAlign w:val="bottom"/>
            <w:gridSpan w:val="2"/>
          </w:tcPr>
          <w:p>
            <w:pPr>
              <w:ind w:left="19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6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5"/>
    </w:lvl>
  </w:abstractNum>
  <w:abstractNum w:abstractNumId="4">
    <w:nsid w:val="12200854"/>
    <w:multiLevelType w:val="hybridMultilevel"/>
    <w:lvl w:ilvl="0">
      <w:lvlJc w:val="left"/>
      <w:lvlText w:val="%1."/>
      <w:numFmt w:val="decimal"/>
      <w:start w:val="6"/>
    </w:lvl>
  </w:abstractNum>
  <w:abstractNum w:abstractNumId="5">
    <w:nsid w:val="4DB127F8"/>
    <w:multiLevelType w:val="hybridMultilevel"/>
    <w:lvl w:ilvl="0">
      <w:lvlJc w:val="left"/>
      <w:lvlText w:val="%1."/>
      <w:numFmt w:val="decimal"/>
      <w:start w:val="7"/>
    </w:lvl>
  </w:abstractNum>
  <w:abstractNum w:abstractNumId="6">
    <w:nsid w:val="216231B"/>
    <w:multiLevelType w:val="hybridMultilevel"/>
    <w:lvl w:ilvl="0">
      <w:lvlJc w:val="left"/>
      <w:lvlText w:val="%1."/>
      <w:numFmt w:val="decimal"/>
      <w:start w:val="8"/>
    </w:lvl>
  </w:abstractNum>
  <w:abstractNum w:abstractNumId="7">
    <w:nsid w:val="1F16E9E8"/>
    <w:multiLevelType w:val="hybridMultilevel"/>
    <w:lvl w:ilvl="0">
      <w:lvlJc w:val="left"/>
      <w:lvlText w:val="%1."/>
      <w:numFmt w:val="decimal"/>
      <w:start w:val="9"/>
    </w:lvl>
  </w:abstractNum>
  <w:abstractNum w:abstractNumId="8">
    <w:nsid w:val="1190CDE7"/>
    <w:multiLevelType w:val="hybridMultilevel"/>
    <w:lvl w:ilvl="0">
      <w:lvlJc w:val="left"/>
      <w:lvlText w:val="%1."/>
      <w:numFmt w:val="decimal"/>
      <w:start w:val="10"/>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3"/>
    </w:lvl>
  </w:abstractNum>
  <w:abstractNum w:abstractNumId="13">
    <w:nsid w:val="DED7263"/>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2020-10-05T15:47:56Z</dcterms:created>
  <dcterms:modified xsi:type="dcterms:W3CDTF">2020-10-05T15:47:56Z</dcterms:modified>
</cp:coreProperties>
</file>