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8" w:lineRule="exact"/>
        <w:rPr>
          <w:sz w:val="24"/>
          <w:szCs w:val="24"/>
          <w:color w:val="auto"/>
        </w:rPr>
      </w:pPr>
    </w:p>
    <w:p>
      <w:pPr>
        <w:jc w:val="center"/>
        <w:ind w:left="5400" w:right="160" w:hanging="5225"/>
        <w:spacing w:after="0" w:line="243" w:lineRule="auto"/>
        <w:tabs>
          <w:tab w:leader="none" w:pos="572"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2022</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6" w:lineRule="exact"/>
        <w:rPr>
          <w:sz w:val="24"/>
          <w:szCs w:val="24"/>
          <w:color w:val="auto"/>
        </w:rPr>
      </w:pPr>
    </w:p>
    <w:p>
      <w:pPr>
        <w:jc w:val="center"/>
        <w:ind w:left="5400" w:right="160" w:hanging="5231"/>
        <w:spacing w:after="0" w:line="256" w:lineRule="auto"/>
        <w:tabs>
          <w:tab w:leader="none" w:pos="562"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90"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001-38067</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Verona Pharma plc</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6"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5280" w:type="dxa"/>
            <w:vAlign w:val="bottom"/>
          </w:tcPr>
          <w:p>
            <w:pPr>
              <w:jc w:val="center"/>
              <w:ind w:right="1477"/>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3760" w:type="dxa"/>
            <w:vAlign w:val="bottom"/>
          </w:tcPr>
          <w:p>
            <w:pPr>
              <w:jc w:val="center"/>
              <w:ind w:left="1459"/>
              <w:spacing w:after="0"/>
              <w:rPr>
                <w:sz w:val="20"/>
                <w:szCs w:val="20"/>
                <w:color w:val="auto"/>
              </w:rPr>
            </w:pPr>
            <w:r>
              <w:rPr>
                <w:rFonts w:ascii="Times New Roman" w:cs="Times New Roman" w:eastAsia="Times New Roman" w:hAnsi="Times New Roman"/>
                <w:sz w:val="18"/>
                <w:szCs w:val="18"/>
                <w:b w:val="1"/>
                <w:bCs w:val="1"/>
                <w:color w:val="auto"/>
                <w:w w:val="98"/>
              </w:rPr>
              <w:t>98-1489389</w:t>
            </w:r>
          </w:p>
        </w:tc>
      </w:tr>
      <w:tr>
        <w:trPr>
          <w:trHeight w:val="193"/>
        </w:trPr>
        <w:tc>
          <w:tcPr>
            <w:tcW w:w="5280" w:type="dxa"/>
            <w:vAlign w:val="bottom"/>
          </w:tcPr>
          <w:p>
            <w:pPr>
              <w:jc w:val="center"/>
              <w:ind w:right="147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760" w:type="dxa"/>
            <w:vAlign w:val="bottom"/>
          </w:tcPr>
          <w:p>
            <w:pPr>
              <w:jc w:val="center"/>
              <w:ind w:left="147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514"/>
        </w:trPr>
        <w:tc>
          <w:tcPr>
            <w:tcW w:w="5280" w:type="dxa"/>
            <w:vAlign w:val="bottom"/>
          </w:tcPr>
          <w:p>
            <w:pPr>
              <w:jc w:val="center"/>
              <w:ind w:right="1477"/>
              <w:spacing w:after="0"/>
              <w:rPr>
                <w:sz w:val="20"/>
                <w:szCs w:val="20"/>
                <w:color w:val="auto"/>
              </w:rPr>
            </w:pPr>
            <w:r>
              <w:rPr>
                <w:rFonts w:ascii="Times New Roman" w:cs="Times New Roman" w:eastAsia="Times New Roman" w:hAnsi="Times New Roman"/>
                <w:sz w:val="18"/>
                <w:szCs w:val="18"/>
                <w:b w:val="1"/>
                <w:bCs w:val="1"/>
                <w:color w:val="auto"/>
                <w:w w:val="99"/>
              </w:rPr>
              <w:t>3 More London Riverside</w:t>
            </w:r>
          </w:p>
        </w:tc>
        <w:tc>
          <w:tcPr>
            <w:tcW w:w="3760" w:type="dxa"/>
            <w:vAlign w:val="bottom"/>
          </w:tcPr>
          <w:p>
            <w:pPr>
              <w:spacing w:after="0"/>
              <w:rPr>
                <w:sz w:val="24"/>
                <w:szCs w:val="24"/>
                <w:color w:val="auto"/>
              </w:rPr>
            </w:pPr>
          </w:p>
        </w:tc>
      </w:tr>
      <w:tr>
        <w:trPr>
          <w:trHeight w:val="238"/>
        </w:trPr>
        <w:tc>
          <w:tcPr>
            <w:tcW w:w="5280" w:type="dxa"/>
            <w:vAlign w:val="bottom"/>
          </w:tcPr>
          <w:p>
            <w:pPr>
              <w:jc w:val="center"/>
              <w:ind w:right="1477"/>
              <w:spacing w:after="0"/>
              <w:rPr>
                <w:sz w:val="20"/>
                <w:szCs w:val="20"/>
                <w:color w:val="auto"/>
              </w:rPr>
            </w:pPr>
            <w:r>
              <w:rPr>
                <w:rFonts w:ascii="Times New Roman" w:cs="Times New Roman" w:eastAsia="Times New Roman" w:hAnsi="Times New Roman"/>
                <w:sz w:val="18"/>
                <w:szCs w:val="18"/>
                <w:b w:val="1"/>
                <w:bCs w:val="1"/>
                <w:color w:val="auto"/>
              </w:rPr>
              <w:t>London SE1 2RE United Kingdom</w:t>
            </w:r>
          </w:p>
        </w:tc>
        <w:tc>
          <w:tcPr>
            <w:tcW w:w="3760" w:type="dxa"/>
            <w:vAlign w:val="bottom"/>
          </w:tcPr>
          <w:p>
            <w:pPr>
              <w:jc w:val="center"/>
              <w:ind w:left="1479"/>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20"/>
        </w:trPr>
        <w:tc>
          <w:tcPr>
            <w:tcW w:w="5280" w:type="dxa"/>
            <w:vAlign w:val="bottom"/>
          </w:tcPr>
          <w:p>
            <w:pPr>
              <w:jc w:val="center"/>
              <w:ind w:right="14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760" w:type="dxa"/>
            <w:vAlign w:val="bottom"/>
          </w:tcPr>
          <w:p>
            <w:pPr>
              <w:jc w:val="center"/>
              <w:ind w:left="145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+44 203 283 4200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540" w:type="dxa"/>
            <w:vAlign w:val="bottom"/>
            <w:vMerge w:val="restart"/>
          </w:tcPr>
          <w:p>
            <w:pPr>
              <w:jc w:val="center"/>
              <w:ind w:left="319"/>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00" w:type="dxa"/>
            <w:vAlign w:val="bottom"/>
          </w:tcPr>
          <w:p>
            <w:pPr>
              <w:jc w:val="center"/>
              <w:ind w:left="56"/>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80" w:type="dxa"/>
            <w:vAlign w:val="bottom"/>
            <w:vMerge w:val="restart"/>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540" w:type="dxa"/>
            <w:vAlign w:val="bottom"/>
            <w:tcBorders>
              <w:bottom w:val="single" w:sz="8" w:color="auto"/>
            </w:tcBorders>
            <w:vMerge w:val="continue"/>
          </w:tcPr>
          <w:p>
            <w:pPr>
              <w:spacing w:after="0"/>
              <w:rPr>
                <w:sz w:val="20"/>
                <w:szCs w:val="20"/>
                <w:color w:val="auto"/>
              </w:rPr>
            </w:pPr>
          </w:p>
        </w:tc>
        <w:tc>
          <w:tcPr>
            <w:tcW w:w="2000" w:type="dxa"/>
            <w:vAlign w:val="bottom"/>
            <w:tcBorders>
              <w:bottom w:val="single" w:sz="8" w:color="auto"/>
            </w:tcBorders>
          </w:tcPr>
          <w:p>
            <w:pPr>
              <w:jc w:val="center"/>
              <w:ind w:left="56"/>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6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540" w:type="dxa"/>
            <w:vAlign w:val="bottom"/>
          </w:tcPr>
          <w:p>
            <w:pPr>
              <w:jc w:val="center"/>
              <w:ind w:left="319"/>
              <w:spacing w:after="0"/>
              <w:rPr>
                <w:sz w:val="20"/>
                <w:szCs w:val="20"/>
                <w:color w:val="auto"/>
              </w:rPr>
            </w:pPr>
            <w:r>
              <w:rPr>
                <w:rFonts w:ascii="Times New Roman" w:cs="Times New Roman" w:eastAsia="Times New Roman" w:hAnsi="Times New Roman"/>
                <w:sz w:val="14"/>
                <w:szCs w:val="14"/>
                <w:color w:val="auto"/>
              </w:rPr>
              <w:t>Ordinary shares, nominal value £0.05 per share*</w:t>
            </w:r>
          </w:p>
        </w:tc>
        <w:tc>
          <w:tcPr>
            <w:tcW w:w="2000" w:type="dxa"/>
            <w:vAlign w:val="bottom"/>
          </w:tcPr>
          <w:p>
            <w:pPr>
              <w:jc w:val="center"/>
              <w:ind w:left="56"/>
              <w:spacing w:after="0"/>
              <w:rPr>
                <w:sz w:val="20"/>
                <w:szCs w:val="20"/>
                <w:color w:val="auto"/>
              </w:rPr>
            </w:pPr>
            <w:r>
              <w:rPr>
                <w:rFonts w:ascii="Times New Roman" w:cs="Times New Roman" w:eastAsia="Times New Roman" w:hAnsi="Times New Roman"/>
                <w:sz w:val="14"/>
                <w:szCs w:val="14"/>
                <w:color w:val="auto"/>
              </w:rPr>
              <w:t>VRNA</w:t>
            </w:r>
          </w:p>
        </w:tc>
        <w:tc>
          <w:tcPr>
            <w:tcW w:w="4680" w:type="dxa"/>
            <w:vAlign w:val="bottom"/>
          </w:tcPr>
          <w:p>
            <w:pPr>
              <w:jc w:val="center"/>
              <w:ind w:right="179"/>
              <w:spacing w:after="0"/>
              <w:rPr>
                <w:sz w:val="20"/>
                <w:szCs w:val="20"/>
                <w:color w:val="auto"/>
              </w:rPr>
            </w:pPr>
            <w:r>
              <w:rPr>
                <w:rFonts w:ascii="Times New Roman" w:cs="Times New Roman" w:eastAsia="Times New Roman" w:hAnsi="Times New Roman"/>
                <w:sz w:val="14"/>
                <w:szCs w:val="14"/>
                <w:color w:val="auto"/>
              </w:rPr>
              <w:t>The Nasdaq Stock Market LLC (Nasdaq Global Market)</w:t>
            </w:r>
          </w:p>
        </w:tc>
        <w:tc>
          <w:tcPr>
            <w:tcW w:w="0" w:type="dxa"/>
            <w:vAlign w:val="bottom"/>
          </w:tcPr>
          <w:p>
            <w:pPr>
              <w:spacing w:after="0"/>
              <w:rPr>
                <w:sz w:val="1"/>
                <w:szCs w:val="1"/>
                <w:color w:val="auto"/>
              </w:rPr>
            </w:pPr>
          </w:p>
        </w:tc>
      </w:tr>
    </w:tbl>
    <w:p>
      <w:pPr>
        <w:spacing w:after="0" w:line="203" w:lineRule="exact"/>
        <w:rPr>
          <w:sz w:val="24"/>
          <w:szCs w:val="24"/>
          <w:color w:val="auto"/>
        </w:rPr>
      </w:pPr>
    </w:p>
    <w:p>
      <w:pPr>
        <w:ind w:right="60" w:firstLine="8"/>
        <w:spacing w:after="0" w:line="302" w:lineRule="auto"/>
        <w:tabs>
          <w:tab w:leader="none" w:pos="10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193"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spacing w:after="0" w:line="21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8" w:lineRule="exact"/>
        <w:rPr>
          <w:sz w:val="24"/>
          <w:szCs w:val="24"/>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Accelerated filer</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November 3, 2022, the registrant had 604,980,598 ordinary shares, nominal value £0.05 per share, outstanding, which if all held in ADS form, would be represented by 75,622,575 American Depositary Shares, each representing eight (8)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933450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Page</w:t>
            </w:r>
          </w:p>
        </w:tc>
      </w:tr>
      <w:tr>
        <w:trPr>
          <w:trHeight w:val="209"/>
        </w:trPr>
        <w:tc>
          <w:tcPr>
            <w:tcW w:w="20" w:type="dxa"/>
            <w:vAlign w:val="bottom"/>
          </w:tcPr>
          <w:p>
            <w:pPr>
              <w:spacing w:after="0"/>
              <w:rPr>
                <w:sz w:val="18"/>
                <w:szCs w:val="18"/>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1080" w:type="dxa"/>
            <w:vAlign w:val="bottom"/>
          </w:tcPr>
          <w:p>
            <w:pPr>
              <w:spacing w:after="0"/>
              <w:rPr>
                <w:sz w:val="18"/>
                <w:szCs w:val="18"/>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1</w:t>
            </w:r>
          </w:p>
        </w:tc>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Financial Statements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16</w:t>
            </w:r>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3</w:t>
            </w:r>
          </w:p>
        </w:tc>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31</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Controls and Procedures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31</w:t>
            </w:r>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30"/>
        </w:trPr>
        <w:tc>
          <w:tcPr>
            <w:tcW w:w="20" w:type="dxa"/>
            <w:vAlign w:val="bottom"/>
            <w:shd w:val="clear" w:color="auto" w:fill="CCEEFF"/>
          </w:tcPr>
          <w:p>
            <w:pPr>
              <w:spacing w:after="0"/>
              <w:rPr>
                <w:sz w:val="19"/>
                <w:szCs w:val="19"/>
                <w:color w:val="auto"/>
              </w:rPr>
            </w:pPr>
          </w:p>
        </w:tc>
        <w:tc>
          <w:tcPr>
            <w:tcW w:w="10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1080" w:type="dxa"/>
            <w:vAlign w:val="bottom"/>
            <w:shd w:val="clear" w:color="auto" w:fill="CCEEFF"/>
          </w:tcPr>
          <w:p>
            <w:pPr>
              <w:spacing w:after="0"/>
              <w:rPr>
                <w:sz w:val="19"/>
                <w:szCs w:val="19"/>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Legal Proceedings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32</w:t>
            </w:r>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1A.</w:t>
            </w:r>
          </w:p>
        </w:tc>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Risk Factors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32</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33</w:t>
            </w:r>
          </w:p>
        </w:tc>
      </w:tr>
      <w:tr>
        <w:trPr>
          <w:trHeight w:val="129"/>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3</w:t>
            </w:r>
          </w:p>
        </w:tc>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33</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Mine Safety Disclosure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33</w:t>
            </w:r>
          </w:p>
        </w:tc>
      </w:tr>
      <w:tr>
        <w:trPr>
          <w:trHeight w:val="129"/>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5</w:t>
            </w:r>
          </w:p>
        </w:tc>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Information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33</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Exhibits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34</w:t>
            </w:r>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04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35</w:t>
            </w: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right"/>
        <w:ind w:right="2639"/>
        <w:spacing w:after="0"/>
        <w:rPr>
          <w:sz w:val="20"/>
          <w:szCs w:val="20"/>
          <w:color w:val="auto"/>
        </w:rPr>
      </w:pPr>
      <w:r>
        <w:rPr>
          <w:rFonts w:ascii="Times New Roman" w:cs="Times New Roman" w:eastAsia="Times New Roman" w:hAnsi="Times New Roman"/>
          <w:sz w:val="22"/>
          <w:szCs w:val="22"/>
          <w:b w:val="1"/>
          <w:bCs w:val="1"/>
          <w:color w:val="auto"/>
        </w:rPr>
        <w:t>PART I - FINANCIAL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8"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and par value of shares)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2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7"/>
        </w:trPr>
        <w:tc>
          <w:tcPr>
            <w:tcW w:w="83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3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834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148,380</w:t>
            </w: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and tax incentive receivable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0" w:type="dxa"/>
            <w:vAlign w:val="bottom"/>
          </w:tcPr>
          <w:p>
            <w:pPr>
              <w:spacing w:after="0"/>
              <w:rPr>
                <w:sz w:val="1"/>
                <w:szCs w:val="1"/>
                <w:color w:val="auto"/>
              </w:rPr>
            </w:pPr>
          </w:p>
        </w:tc>
      </w:tr>
      <w:tr>
        <w:trPr>
          <w:trHeight w:val="229"/>
        </w:trPr>
        <w:tc>
          <w:tcPr>
            <w:tcW w:w="8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170,063</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interest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16,524</w:t>
            </w:r>
          </w:p>
        </w:tc>
        <w:tc>
          <w:tcPr>
            <w:tcW w:w="0" w:type="dxa"/>
            <w:vAlign w:val="bottom"/>
          </w:tcPr>
          <w:p>
            <w:pPr>
              <w:spacing w:after="0"/>
              <w:rPr>
                <w:sz w:val="1"/>
                <w:szCs w:val="1"/>
                <w:color w:val="auto"/>
              </w:rPr>
            </w:pPr>
          </w:p>
        </w:tc>
      </w:tr>
      <w:tr>
        <w:trPr>
          <w:trHeight w:val="248"/>
        </w:trPr>
        <w:tc>
          <w:tcPr>
            <w:tcW w:w="8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186,587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368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22,256</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 payable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2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33,422</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Term loan</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0" w:type="dxa"/>
            <w:vAlign w:val="bottom"/>
          </w:tcPr>
          <w:p>
            <w:pPr>
              <w:spacing w:after="0"/>
              <w:rPr>
                <w:sz w:val="1"/>
                <w:szCs w:val="1"/>
                <w:color w:val="auto"/>
              </w:rPr>
            </w:pPr>
          </w:p>
        </w:tc>
      </w:tr>
      <w:tr>
        <w:trPr>
          <w:trHeight w:val="223"/>
        </w:trPr>
        <w:tc>
          <w:tcPr>
            <w:tcW w:w="83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38,582</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Ordinary £0.05 par value shares; 608,138,246 and 489,177,550 issued, and 602,215,606 and 480,082,966</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outstanding, at September 30, 2022 and December 31, 2021, respectively</w:t>
            </w:r>
          </w:p>
        </w:tc>
        <w:tc>
          <w:tcPr>
            <w:tcW w:w="18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31,855</w:t>
            </w:r>
          </w:p>
        </w:tc>
        <w:tc>
          <w:tcPr>
            <w:tcW w:w="0" w:type="dxa"/>
            <w:vAlign w:val="bottom"/>
          </w:tcPr>
          <w:p>
            <w:pPr>
              <w:spacing w:after="0"/>
              <w:rPr>
                <w:sz w:val="1"/>
                <w:szCs w:val="1"/>
                <w:color w:val="auto"/>
              </w:rPr>
            </w:pPr>
          </w:p>
        </w:tc>
      </w:tr>
      <w:tr>
        <w:trPr>
          <w:trHeight w:val="117"/>
        </w:trPr>
        <w:tc>
          <w:tcPr>
            <w:tcW w:w="8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385,070</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Ordinary shares held in treasury</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(322,442)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(263,716)</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237,485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148,005</w:t>
            </w:r>
          </w:p>
        </w:tc>
        <w:tc>
          <w:tcPr>
            <w:tcW w:w="0" w:type="dxa"/>
            <w:vAlign w:val="bottom"/>
          </w:tcPr>
          <w:p>
            <w:pPr>
              <w:spacing w:after="0"/>
              <w:rPr>
                <w:sz w:val="1"/>
                <w:szCs w:val="1"/>
                <w:color w:val="auto"/>
              </w:rPr>
            </w:pPr>
          </w:p>
        </w:tc>
      </w:tr>
      <w:tr>
        <w:trPr>
          <w:trHeight w:val="248"/>
        </w:trPr>
        <w:tc>
          <w:tcPr>
            <w:tcW w:w="8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186,587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4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3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53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3"/>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23"/>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0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9,838</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56,697</w:t>
            </w:r>
          </w:p>
        </w:tc>
      </w:tr>
      <w:tr>
        <w:trPr>
          <w:trHeight w:val="229"/>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28,150</w:t>
            </w:r>
          </w:p>
        </w:tc>
      </w:tr>
      <w:tr>
        <w:trPr>
          <w:trHeight w:val="223"/>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84,847</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(loss)/profit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(44,847)</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w:t>
            </w:r>
          </w:p>
        </w:tc>
      </w:tr>
      <w:tr>
        <w:trPr>
          <w:trHeight w:val="229"/>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9"/>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movement on warrants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r>
      <w:tr>
        <w:trPr>
          <w:trHeight w:val="230"/>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 (loss)/gain</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3"/>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(expense)/income, net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12,772</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(Loss)/profit before income taxes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(32,075)</w:t>
            </w:r>
          </w:p>
        </w:tc>
      </w:tr>
      <w:tr>
        <w:trPr>
          <w:trHeight w:val="229"/>
        </w:trPr>
        <w:tc>
          <w:tcPr>
            <w:tcW w:w="5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1"/>
        </w:trPr>
        <w:tc>
          <w:tcPr>
            <w:tcW w:w="53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(loss)/profit</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(15,647)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11,051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(58,250)</w:t>
            </w: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(32,307)</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2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(Loss)/profit per ordinary share - basic</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(0.12)</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(0.07)</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9"/>
        </w:trPr>
        <w:tc>
          <w:tcPr>
            <w:tcW w:w="5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(Loss)/profit per ordinary share - 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544,134,136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475,334,354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503,751,844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471,159,171</w:t>
            </w:r>
          </w:p>
        </w:tc>
      </w:tr>
      <w:tr>
        <w:trPr>
          <w:trHeight w:val="234"/>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544,134,136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515,819,439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503,751,844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471,159,171</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26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0" w:type="dxa"/>
            <w:vAlign w:val="bottom"/>
          </w:tcPr>
          <w:p>
            <w:pPr>
              <w:spacing w:after="0"/>
              <w:rPr>
                <w:sz w:val="16"/>
                <w:szCs w:val="16"/>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6"/>
                <w:szCs w:val="16"/>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37"/>
        </w:trPr>
        <w:tc>
          <w:tcPr>
            <w:tcW w:w="244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3"/>
        </w:trPr>
        <w:tc>
          <w:tcPr>
            <w:tcW w:w="24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440" w:type="dxa"/>
            <w:vAlign w:val="bottom"/>
          </w:tcPr>
          <w:p>
            <w:pPr>
              <w:spacing w:after="0"/>
              <w:rPr>
                <w:sz w:val="16"/>
                <w:szCs w:val="16"/>
                <w:color w:val="auto"/>
              </w:rPr>
            </w:pPr>
          </w:p>
        </w:tc>
        <w:tc>
          <w:tcPr>
            <w:tcW w:w="14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held in treasury</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6"/>
                <w:szCs w:val="16"/>
                <w:color w:val="auto"/>
              </w:rPr>
            </w:pPr>
          </w:p>
        </w:tc>
        <w:tc>
          <w:tcPr>
            <w:tcW w:w="10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7"/>
        </w:trPr>
        <w:tc>
          <w:tcPr>
            <w:tcW w:w="244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4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489,177,550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385,070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(4,601)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(263,716)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148,005</w:t>
            </w:r>
          </w:p>
        </w:tc>
        <w:tc>
          <w:tcPr>
            <w:tcW w:w="0" w:type="dxa"/>
            <w:vAlign w:val="bottom"/>
          </w:tcPr>
          <w:p>
            <w:pPr>
              <w:spacing w:after="0"/>
              <w:rPr>
                <w:sz w:val="1"/>
                <w:szCs w:val="1"/>
                <w:color w:val="auto"/>
              </w:rPr>
            </w:pPr>
          </w:p>
        </w:tc>
      </w:tr>
      <w:tr>
        <w:trPr>
          <w:trHeight w:val="229"/>
        </w:trPr>
        <w:tc>
          <w:tcPr>
            <w:tcW w:w="2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(24,837)</w:t>
            </w: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Issuance of common shares</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under at-the-market sales</w:t>
            </w: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agreement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80,696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2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share units vested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Issuance of ordinary shares</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 treasury</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4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shares withheld</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for taxes on vested stock</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awards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Equity settled share-based</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compensation reclassified as</w:t>
            </w: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cash-settled</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2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0" w:type="dxa"/>
            <w:vAlign w:val="bottom"/>
          </w:tcPr>
          <w:p>
            <w:pPr>
              <w:spacing w:after="0"/>
              <w:rPr>
                <w:sz w:val="1"/>
                <w:szCs w:val="1"/>
                <w:color w:val="auto"/>
              </w:rPr>
            </w:pPr>
          </w:p>
        </w:tc>
      </w:tr>
      <w:tr>
        <w:trPr>
          <w:trHeight w:val="248"/>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494,058,246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(4,601)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126,307</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40" w:type="dxa"/>
            <w:vAlign w:val="bottom"/>
            <w:tcBorders>
              <w:top w:val="single" w:sz="8" w:color="CCEEFF"/>
            </w:tcBorders>
            <w:vMerge w:val="continue"/>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ind w:left="5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(17,766)</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(17,766)</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share units vested</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4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shares withheld</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for taxes on vested stock</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awards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Equity settled share-based</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compensation reclassified as</w:t>
            </w: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cash-settled</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2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0" w:type="dxa"/>
            <w:vAlign w:val="bottom"/>
          </w:tcPr>
          <w:p>
            <w:pPr>
              <w:spacing w:after="0"/>
              <w:rPr>
                <w:sz w:val="1"/>
                <w:szCs w:val="1"/>
                <w:color w:val="auto"/>
              </w:rPr>
            </w:pPr>
          </w:p>
        </w:tc>
      </w:tr>
      <w:tr>
        <w:trPr>
          <w:trHeight w:val="248"/>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494,058,246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(4,601)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110,880</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440" w:type="dxa"/>
            <w:vAlign w:val="bottom"/>
            <w:tcBorders>
              <w:top w:val="single" w:sz="8" w:color="CCEEFF"/>
            </w:tcBorders>
            <w:vMerge w:val="continue"/>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ind w:left="5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(15,647)</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(15,647)</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Issuance of ordinary shares,</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of issuance costs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114,080,000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133,242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140,148</w:t>
            </w:r>
          </w:p>
        </w:tc>
        <w:tc>
          <w:tcPr>
            <w:tcW w:w="0" w:type="dxa"/>
            <w:vAlign w:val="bottom"/>
          </w:tcPr>
          <w:p>
            <w:pPr>
              <w:spacing w:after="0"/>
              <w:rPr>
                <w:sz w:val="1"/>
                <w:szCs w:val="1"/>
                <w:color w:val="auto"/>
              </w:rPr>
            </w:pPr>
          </w:p>
        </w:tc>
      </w:tr>
      <w:tr>
        <w:trPr>
          <w:trHeight w:val="230"/>
        </w:trPr>
        <w:tc>
          <w:tcPr>
            <w:tcW w:w="2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share units vested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Issuance of ordinary shares</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from restricted share units or</w:t>
            </w: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 options</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175"/>
        </w:trPr>
        <w:tc>
          <w:tcPr>
            <w:tcW w:w="24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shares withheld</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for taxes on vested stock</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awards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Equity settled share-based</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compensation reclassified as</w:t>
            </w: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cash-settled</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0"/>
        </w:trPr>
        <w:tc>
          <w:tcPr>
            <w:tcW w:w="2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0" w:type="dxa"/>
            <w:vAlign w:val="bottom"/>
          </w:tcPr>
          <w:p>
            <w:pPr>
              <w:spacing w:after="0"/>
              <w:rPr>
                <w:sz w:val="1"/>
                <w:szCs w:val="1"/>
                <w:color w:val="auto"/>
              </w:rPr>
            </w:pPr>
          </w:p>
        </w:tc>
      </w:tr>
      <w:tr>
        <w:trPr>
          <w:trHeight w:val="155"/>
        </w:trPr>
        <w:tc>
          <w:tcPr>
            <w:tcW w:w="24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September 30,</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608,138,246</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525,858</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(4,601)</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(322,442)</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237,485</w:t>
            </w:r>
          </w:p>
        </w:tc>
        <w:tc>
          <w:tcPr>
            <w:tcW w:w="0" w:type="dxa"/>
            <w:vAlign w:val="bottom"/>
          </w:tcPr>
          <w:p>
            <w:pPr>
              <w:spacing w:after="0"/>
              <w:rPr>
                <w:sz w:val="1"/>
                <w:szCs w:val="1"/>
                <w:color w:val="auto"/>
              </w:rPr>
            </w:pPr>
          </w:p>
        </w:tc>
      </w:tr>
      <w:tr>
        <w:trPr>
          <w:trHeight w:val="236"/>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26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0" w:type="dxa"/>
            <w:vAlign w:val="bottom"/>
          </w:tcPr>
          <w:p>
            <w:pPr>
              <w:spacing w:after="0"/>
              <w:rPr>
                <w:sz w:val="16"/>
                <w:szCs w:val="16"/>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6"/>
                <w:szCs w:val="16"/>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37"/>
        </w:trPr>
        <w:tc>
          <w:tcPr>
            <w:tcW w:w="244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3"/>
        </w:trPr>
        <w:tc>
          <w:tcPr>
            <w:tcW w:w="24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440" w:type="dxa"/>
            <w:vAlign w:val="bottom"/>
          </w:tcPr>
          <w:p>
            <w:pPr>
              <w:spacing w:after="0"/>
              <w:rPr>
                <w:sz w:val="16"/>
                <w:szCs w:val="16"/>
                <w:color w:val="auto"/>
              </w:rPr>
            </w:pPr>
          </w:p>
        </w:tc>
        <w:tc>
          <w:tcPr>
            <w:tcW w:w="14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held in treasury</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6"/>
                <w:szCs w:val="16"/>
                <w:color w:val="auto"/>
              </w:rPr>
            </w:pPr>
          </w:p>
        </w:tc>
        <w:tc>
          <w:tcPr>
            <w:tcW w:w="10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7"/>
        </w:trPr>
        <w:tc>
          <w:tcPr>
            <w:tcW w:w="244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4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488,304,446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366,411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(4,601)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(207,050)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184,854</w:t>
            </w:r>
          </w:p>
        </w:tc>
        <w:tc>
          <w:tcPr>
            <w:tcW w:w="0" w:type="dxa"/>
            <w:vAlign w:val="bottom"/>
          </w:tcPr>
          <w:p>
            <w:pPr>
              <w:spacing w:after="0"/>
              <w:rPr>
                <w:sz w:val="1"/>
                <w:szCs w:val="1"/>
                <w:color w:val="auto"/>
              </w:rPr>
            </w:pPr>
          </w:p>
        </w:tc>
      </w:tr>
      <w:tr>
        <w:trPr>
          <w:trHeight w:val="229"/>
        </w:trPr>
        <w:tc>
          <w:tcPr>
            <w:tcW w:w="2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(21,290)</w:t>
            </w: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share units vested</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0" w:type="dxa"/>
            <w:vAlign w:val="bottom"/>
          </w:tcPr>
          <w:p>
            <w:pPr>
              <w:spacing w:after="0"/>
              <w:rPr>
                <w:sz w:val="1"/>
                <w:szCs w:val="1"/>
                <w:color w:val="auto"/>
              </w:rPr>
            </w:pPr>
          </w:p>
        </w:tc>
      </w:tr>
      <w:tr>
        <w:trPr>
          <w:trHeight w:val="248"/>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488,304,446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(4,601)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172,414</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440" w:type="dxa"/>
            <w:vAlign w:val="bottom"/>
            <w:tcBorders>
              <w:top w:val="single" w:sz="8" w:color="CCEEFF"/>
            </w:tcBorders>
            <w:vMerge w:val="continue"/>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ind w:left="5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(22,068)</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(22,068)</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Issuance of common shares</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under at-the-market sales</w:t>
            </w: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agreement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434,704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30"/>
        </w:trPr>
        <w:tc>
          <w:tcPr>
            <w:tcW w:w="2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share units vested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shares withheld</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for taxes on vested stock</w:t>
            </w: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awards</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0" w:type="dxa"/>
            <w:vAlign w:val="bottom"/>
          </w:tcPr>
          <w:p>
            <w:pPr>
              <w:spacing w:after="0"/>
              <w:rPr>
                <w:sz w:val="1"/>
                <w:szCs w:val="1"/>
                <w:color w:val="auto"/>
              </w:rPr>
            </w:pPr>
          </w:p>
        </w:tc>
      </w:tr>
      <w:tr>
        <w:trPr>
          <w:trHeight w:val="230"/>
        </w:trPr>
        <w:tc>
          <w:tcPr>
            <w:tcW w:w="2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0" w:type="dxa"/>
            <w:vAlign w:val="bottom"/>
          </w:tcPr>
          <w:p>
            <w:pPr>
              <w:spacing w:after="0"/>
              <w:rPr>
                <w:sz w:val="1"/>
                <w:szCs w:val="1"/>
                <w:color w:val="auto"/>
              </w:rPr>
            </w:pPr>
          </w:p>
        </w:tc>
      </w:tr>
      <w:tr>
        <w:trPr>
          <w:trHeight w:val="248"/>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488,739,150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(4,601)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154,397</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Net profit</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44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11,051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11,051</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Issuance of common shares</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under at-the-market sales</w:t>
            </w: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agreement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9"/>
        </w:trPr>
        <w:tc>
          <w:tcPr>
            <w:tcW w:w="2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share units vested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shares withheld</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for taxes on vested stock</w:t>
            </w: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awards</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0" w:type="dxa"/>
            <w:vAlign w:val="bottom"/>
          </w:tcPr>
          <w:p>
            <w:pPr>
              <w:spacing w:after="0"/>
              <w:rPr>
                <w:sz w:val="1"/>
                <w:szCs w:val="1"/>
                <w:color w:val="auto"/>
              </w:rPr>
            </w:pPr>
          </w:p>
        </w:tc>
      </w:tr>
      <w:tr>
        <w:trPr>
          <w:trHeight w:val="175"/>
        </w:trPr>
        <w:tc>
          <w:tcPr>
            <w:tcW w:w="24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Equity settled share-based</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compensation reclassified as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cash-settled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0" w:type="dxa"/>
            <w:vAlign w:val="bottom"/>
          </w:tcPr>
          <w:p>
            <w:pPr>
              <w:spacing w:after="0"/>
              <w:rPr>
                <w:sz w:val="1"/>
                <w:szCs w:val="1"/>
                <w:color w:val="auto"/>
              </w:rPr>
            </w:pPr>
          </w:p>
        </w:tc>
      </w:tr>
      <w:tr>
        <w:trPr>
          <w:trHeight w:val="155"/>
        </w:trPr>
        <w:tc>
          <w:tcPr>
            <w:tcW w:w="24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September 30,</w:t>
            </w: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489,177,550</w:t>
            </w:r>
          </w:p>
        </w:tc>
        <w:tc>
          <w:tcPr>
            <w:tcW w:w="10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31,855</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382,005</w:t>
            </w:r>
          </w:p>
        </w:tc>
        <w:tc>
          <w:tcPr>
            <w:tcW w:w="100" w:type="dxa"/>
            <w:vAlign w:val="bottom"/>
          </w:tcPr>
          <w:p>
            <w:pPr>
              <w:spacing w:after="0"/>
              <w:rPr>
                <w:sz w:val="13"/>
                <w:szCs w:val="13"/>
                <w:color w:val="auto"/>
              </w:rPr>
            </w:pPr>
          </w:p>
        </w:tc>
        <w:tc>
          <w:tcPr>
            <w:tcW w:w="3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13"/>
                <w:szCs w:val="13"/>
                <w:color w:val="auto"/>
              </w:rPr>
            </w:pPr>
          </w:p>
        </w:tc>
        <w:tc>
          <w:tcPr>
            <w:tcW w:w="4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vMerge w:val="restart"/>
          </w:tcPr>
          <w:p>
            <w:pPr>
              <w:ind w:left="280"/>
              <w:spacing w:after="0"/>
              <w:rPr>
                <w:sz w:val="20"/>
                <w:szCs w:val="20"/>
                <w:color w:val="auto"/>
              </w:rPr>
            </w:pPr>
            <w:r>
              <w:rPr>
                <w:rFonts w:ascii="Times New Roman" w:cs="Times New Roman" w:eastAsia="Times New Roman" w:hAnsi="Times New Roman"/>
                <w:sz w:val="18"/>
                <w:szCs w:val="18"/>
                <w:color w:val="auto"/>
                <w:w w:val="98"/>
              </w:rPr>
              <w:t>(4,601)</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(240,287)</w:t>
            </w:r>
          </w:p>
        </w:tc>
        <w:tc>
          <w:tcPr>
            <w:tcW w:w="10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168,202</w:t>
            </w:r>
          </w:p>
        </w:tc>
        <w:tc>
          <w:tcPr>
            <w:tcW w:w="0" w:type="dxa"/>
            <w:vAlign w:val="bottom"/>
          </w:tcPr>
          <w:p>
            <w:pPr>
              <w:spacing w:after="0"/>
              <w:rPr>
                <w:sz w:val="1"/>
                <w:szCs w:val="1"/>
                <w:color w:val="auto"/>
              </w:rPr>
            </w:pPr>
          </w:p>
        </w:tc>
      </w:tr>
      <w:tr>
        <w:trPr>
          <w:trHeight w:val="221"/>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83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83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(32,307)</w:t>
            </w: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Adjustments to reconcile net income to net cash used in operating activities: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 loss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of redemption premium on debt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movement on warrants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21,238</w:t>
            </w: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Changes in operating assets and liabilities: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interest receivable</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29"/>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incentive receivable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30"/>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9"/>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15,595</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9"/>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payable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3"/>
        </w:trPr>
        <w:tc>
          <w:tcPr>
            <w:tcW w:w="8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(15,931)</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Purchases of furniture and equipment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offering costs in connection with the issuance of ordinary shares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withholding taxes from share-based awards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at-the-market sales agreement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138,204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23"/>
        </w:trPr>
        <w:tc>
          <w:tcPr>
            <w:tcW w:w="8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(21,439)</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the period</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187,986</w:t>
            </w:r>
          </w:p>
        </w:tc>
        <w:tc>
          <w:tcPr>
            <w:tcW w:w="0" w:type="dxa"/>
            <w:vAlign w:val="bottom"/>
          </w:tcPr>
          <w:p>
            <w:pPr>
              <w:spacing w:after="0"/>
              <w:rPr>
                <w:sz w:val="1"/>
                <w:szCs w:val="1"/>
                <w:color w:val="auto"/>
              </w:rPr>
            </w:pPr>
          </w:p>
        </w:tc>
      </w:tr>
      <w:tr>
        <w:trPr>
          <w:trHeight w:val="223"/>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231,701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166,547</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 paid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paid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 operations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Verona Pharma plc (the “Company”) is incorporated and domiciled in the United Kingdom. Verona Pharma plc has one wholly-owned subsidiary, Verona Pharma, Inc., a Delaware corporation. Rhinopharma Limited, a Canadian company that was previously a non-operating, wholly-owned subsidiary, was dissolved in June 2021. The address of the registered office is 1 Central Square, Cardiff, CF10 1FS, United Kingdom.</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is a clinical-stage biopharmaceutical group focused on developing and commercializing innovative therapeutics for the treatment of respiratory diseases with significant unmet medical needs. The Company’s American Depositary Shares (“ADSs”) are listed on the Nasdaq Global Market (“Nasdaq”) and trade under the symbol “VRNA”.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inception, and has an accumulated deficit of $322.4 million as of September 30, 2022. The Company expects to incur additional losses and negative cash flows from operations until its products potentially gain regulatory approval and reach commercial profitability, if at all.</w:t>
      </w:r>
    </w:p>
    <w:p>
      <w:pPr>
        <w:spacing w:after="0" w:line="5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expects that its cash and cash equivalents as of September 30, 2022, will be sufficient to fund its operating expenses and capital expenditure requirements for at least the next 12 months from the date of issuance.</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March 2021, the Company entered into an open market sale agreement with respect to an at-the-market offering program (the “ATM Program”) under which the Company may issue and sell its ordinary shares in the form of ADSs, with an aggregate offering price of up to $100.0 million.</w:t>
      </w:r>
    </w:p>
    <w:p>
      <w:pPr>
        <w:spacing w:after="0" w:line="6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During the nine months ended September 30, 2022, the Company sold 80,696 ordinary shares (equivalent to 10,087 ADSs) under the ATM Program, at an average price of approximately $0.86 per share (equivalent to $6.86 per ADS), raising aggregate net proceeds of approximately $0.1 million after deducting issuance costs. As of September 30, 2022, there remained ordinary shares, in the form of ADSs, with a value up to $99.2 million available for sale under the ATM Program.</w:t>
      </w:r>
    </w:p>
    <w:p>
      <w:pPr>
        <w:spacing w:after="0" w:line="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August 15, 2022, the Company completed an upsized public offering of 14,260,000 ADSs, each representing eight ordinary shares of the Company, nominal value £0.05 per share, at a price to the public of $10.50 per ADS, which includes the exercise in full by the underwriters of their option to purchase an additional 1,860,000 ADSs. The aggregate net proceeds from the offering were approximately $140.1 million after deducting underwriting discounts and commissions and estimated offering expenses payable.</w:t>
      </w:r>
    </w:p>
    <w:p>
      <w:pPr>
        <w:spacing w:after="0" w:line="77"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Subsequent to the quarter end, on October 14, 2022, the Company entered into a term loan of up to $150.0 million (the “Oxford Term Loan”) with Oxford Finance Luxembourg S.À R.L. (“Oxford”). This Oxford Term Loan replaced the Company’s existing $30.0 million facility with Silicon Valley Bank under the Prior Loan Agreement (as defined below). See Note 11 for further details.</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Company’s commercial revenue, if any, will be derived from sales of products that we do not expect to be commercially available for several years, if ever. Additionally the Company may enter into out-licensing transactions from time to time but there can be no assurance that the Company can secure such transactions in the future. Accordingly, the Company may require additional capital to commercialize ensifentrine in other markets, to continue the clinical development of DPI and pMDI formulations of ensifentrine and to research and develop additional formulations of or with ensifentrine. In addition, we may seek to initiate or conduct preclinical or clinical studies with ensifentrine in additional indications or to discover or in-license and develop additional product candidates. We may need to seek additional funding through public or private financings, debt financing, collaboration or licensing agreements and other arrangements. .However, there is no guarantee that we will be successful in securing additional capital on acceptable terms, or at all.</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consolidation</w:t>
      </w:r>
    </w:p>
    <w:p>
      <w:pPr>
        <w:spacing w:after="0" w:line="1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Verona Pharma plc and its wholly-owned subsidiary Verona Pharma, Inc. All inter-company balances and transactions have been eliminated.</w:t>
      </w:r>
    </w:p>
    <w:p>
      <w:pPr>
        <w:spacing w:after="0" w:line="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included in this Quarterly Report on Form 10-Q have been prepared in conformity with accounting principles generally accepted in the U.S. (“U.S. GAAP”).</w:t>
      </w:r>
    </w:p>
    <w:p>
      <w:pPr>
        <w:spacing w:after="0" w:line="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presented in this Quarterly Report should be read in conjunction with the consolidated financial statements and accompanying notes included in the Company’s Annual Report on Form 10-K filed with the SEC on March 3, 2022 (the “2021 Form 10-K”). The Consolidated Balance Sheet as of December 31, 2021, was derived from audited consolidated financial statements included in the 2021 Form 10-K but does not include all disclosures required by U.S. GAAP for complete financial statements. The Company’s significant accounting policies are described in Note 2 to those consolidated financial statements.</w:t>
      </w:r>
    </w:p>
    <w:p>
      <w:pPr>
        <w:spacing w:after="0" w:line="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condensed or omitted from these interim financial statements. The unaudited condensed consolidated financial statements reflect all adjustments which in the opinion of management are necessary for a fair statement of results of operations, comprehensive income, financial condition, cash flows and shareholders' equity for the periods presented. Except as otherwise disclosed, all such adjustments are of a normal recurring nature. Operating results for the interim periods are not necessarily indicative of the results that may be expected for the full year.</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has one operating and reportable segment, pharmaceutical development.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9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preparation of interim unaudited condensed consolidated financial statements in conformity with U.S. GAAP requires management to make estimates and assumptions that affect the reported amounts of assets, liabilities, the disclosure of contingent assets and liabilities at the date of the financial statements and the reported amounts of expenses during the reporting periods. Significant estimates and assumptions reflected in these unaudited condensed consolidated financial statements include, but are not limited to, the accrual and prepayment of research and development expenses, the fair value of share-based compensation, the fair value of warrants, research and development tax credit and the carrying value of the equity interest in Nuance Pharma (as defined below). Estimates are periodically reviewed in light of changes in circumstances, facts and experience. Changes in estimates are recorded in the period in which they become known. Actual results could differ from the Company’s estimates.</w:t>
      </w:r>
    </w:p>
    <w:p>
      <w:pPr>
        <w:sectPr>
          <w:pgSz w:w="11900" w:h="16838" w:orient="portrait"/>
          <w:cols w:equalWidth="0" w:num="1">
            <w:col w:w="11240"/>
          </w:cols>
          <w:pgMar w:left="320" w:top="117" w:right="339" w:bottom="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 and recent accounting standards not yet adopted</w:t>
      </w:r>
    </w:p>
    <w:p>
      <w:pPr>
        <w:spacing w:after="0" w:line="10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There are no recently adopted accounting standards and recent accounting standards not yet adopted that the Company believes will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Tax and tax incentive receivables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and tax incentive receivables consisted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20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7"/>
        </w:trPr>
        <w:tc>
          <w:tcPr>
            <w:tcW w:w="83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6"/>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3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 receivable - U.K.</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15,583</w:t>
            </w: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tax receivable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15,583</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conducts research and development activities including, but not limited to, developing ensifentrine for various indications and delivery methods, and as a result the Company benefits in the U.K. from the HM Revenue and Customs, or HMRC, small and medium sized enterprises research and development relief, or SME R&amp;D credit, which provides relief against U.K. Corporation Tax.</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tax and tax incentive receivable as of September 30, 2022 includes the accumulated nine months ended September 30, 2022 and twelve months ended December 31, 2021 credits, compared to the receivable as of December 31, 2021 which includes the twelve months ended December 31, 2021 credit. The Company is expecting to receive the 2021 credit in the fourth quarter of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Accrued expenses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2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7"/>
        </w:trPr>
        <w:tc>
          <w:tcPr>
            <w:tcW w:w="83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6"/>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3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trial and other development costs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21,336</w:t>
            </w: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 and general corporate costs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People related costs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22,256</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Term loan</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November 2020, the Company entered into a term loan facility of up to $30.0 million (the “SVB Term Loan”), consisting of advances of $5.0 million funded at closing and $10.0 million and $15.0 million contingent upon achievement of certain clinical development milestones and other specified conditions. As of September 30, 2022, the Company had $5.0 million principal outstanding under the SVB Term Loan. Additional detail surrounding the SVB Term Loan can be found in the Company’s 2021 Form 10-K.</w:t>
      </w:r>
    </w:p>
    <w:p>
      <w:pPr>
        <w:spacing w:after="0" w:line="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September 30, 2022, the carrying value of the SVB Term Loan was approximately $5.0 million, of which all was due in more than 12 months. The debt balance has been categorized within Level 3 of the fair value hierarchy. The carrying amount of the debt approximates its fair value based on prevailing interest rates as of the balance sheet date.</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the quarter end, on October 14, 2022, the Company entered into the Oxford Term Loan, which replaced the existing $30.0 million SVB Term Loan with Silicon Valley Bank under the Prior Loan Agreement. See Note 11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Equity interest</w:t>
      </w:r>
    </w:p>
    <w:p>
      <w:pPr>
        <w:spacing w:after="0" w:line="2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 entered into a collaboration and license agreement (the “Nuance Agreement”) with Nuance Pharma Limited (“Nuance Pharma”) effective June 9, 2021 (the “Effective Date”), under which the Company granted Nuance Pharma the exclusive rights to develop and commercialize ensifentrine in Greater China (China, Taiwan, Hong Kong and Macau). In return, the Company received an unconditional right to consideration aggregating $40.0 million consisting of $25.0 million in cash and an equity interest, valued at $15.0 million as of the Effective Date, in Nuance Biotech, the parent company of Nuance Pharma.</w:t>
      </w:r>
    </w:p>
    <w:p>
      <w:pPr>
        <w:spacing w:after="0" w:line="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follows guidance from ASC 321-10-35-2 and uses the fair value measurement alternative and measures the securities at cost, which is deemed to be the value indicated by the last observable transaction in Nuance Biotech's stock, subject to impairment. The valuation will be adjusted for any observable price changes in orderly transactions for an identical or similar investment in Nuance Biotech, or if there is an indicator of impairment. As of September 30, 2022, there had been no observable transactions to indicate any price changes in the value of Nuance Biotech’s stock, nor had there been any indications of impairment. The equity interest is therefore recorded at a value of $15.0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Significant agreements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Ligand agreement</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2006 the Company acquired Rhinopharma and assumed contingent liabilities owed to Ligand UK Development Limited (“Ligand”) (formerly Vernalis Development Limited). The Company refers to the assignment and license agreement as the Ligand Agreement.</w:t>
      </w:r>
    </w:p>
    <w:p>
      <w:pPr>
        <w:spacing w:after="0" w:line="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Ligand assigned to the Company all of its rights to certain patents and patent applications relating to ensifentrine and related compounds (the “Ligand Patents”) and an exclusive, worldwide, royalty-bearing license under certain Ligand know-how to develop, manufacture and commercialize products (the “Ligand Licensed Products”) developed using Ligand Patents, Ligand know-how and the physical stock of certain compounds.</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contingent liability comprises a milestone payment (the “Milestone Payment”) on obtaining the first approval of any regulatory authority for the commercialization of a Ligand Licensed Product, low single digit royalties based on the future sales performance of all Ligand Licensed Products and a portion equal to a mid-twenty percent of any consideration received from any sub-licensees for the Ligand Patents and for Ligand know-how.</w:t>
      </w:r>
    </w:p>
    <w:p>
      <w:pPr>
        <w:spacing w:after="0" w:line="7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At the time of the acquisition the contingent liability was not recognized as part of the acquisition accounting as it was immaterial. The Company will therefore record as a research and development expense the Milestone Payment or royalties when they are probable.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2022, the Company entered into an Amendment Agreement (the “Amendment”) with Ligand whereby the Ligand Agreement was amended to clarify certain ambiguous terms in the Ligand Agreement. Pursuant to the Amendment:</w:t>
      </w:r>
    </w:p>
    <w:p>
      <w:pPr>
        <w:spacing w:after="0" w:line="41" w:lineRule="exact"/>
        <w:rPr>
          <w:sz w:val="20"/>
          <w:szCs w:val="20"/>
          <w:color w:val="auto"/>
        </w:rPr>
      </w:pPr>
    </w:p>
    <w:p>
      <w:pPr>
        <w:jc w:val="both"/>
        <w:ind w:firstLine="8"/>
        <w:spacing w:after="0"/>
        <w:tabs>
          <w:tab w:leader="none" w:pos="6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agreed to pay to Ligand (i) $2.0 million within five business days of the date of the Amendment and (ii) $15.0 million upon the first commercial sale of ensifentrine by the Company or a sub-licensee, which amount is payable in cash or, at the Company's discretion, by the issuance of Company equity of equivalent value, as determined based on the volume-weighted average price of the Company's American Depositary Shares on the Nasdaq Global Market over the ten (10) trading days including and prior to such milestone event;</w:t>
      </w:r>
    </w:p>
    <w:p>
      <w:pPr>
        <w:spacing w:after="0" w:line="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Ligand Agreement shall expire on March 24, 2042 unless terminated earlier by either party in accordance with its terms;</w:t>
      </w:r>
    </w:p>
    <w:p>
      <w:pPr>
        <w:spacing w:after="0" w:line="90" w:lineRule="exact"/>
        <w:rPr>
          <w:rFonts w:ascii="Times New Roman" w:cs="Times New Roman" w:eastAsia="Times New Roman" w:hAnsi="Times New Roman"/>
          <w:sz w:val="18"/>
          <w:szCs w:val="18"/>
          <w:color w:val="auto"/>
        </w:rPr>
      </w:pPr>
    </w:p>
    <w:p>
      <w:pPr>
        <w:ind w:firstLine="8"/>
        <w:spacing w:after="0" w:line="266" w:lineRule="auto"/>
        <w:tabs>
          <w:tab w:leader="none" w:pos="6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Ligand Agreement, any Sub-licensee (as defined in the Amendment) shall have the right to enter into a direct license agreement with Ligand for the portion of the Program IP (as defined in the Amendment) that was sub-licensed by such Sub-licensee;</w:t>
      </w:r>
    </w:p>
    <w:p>
      <w:pPr>
        <w:spacing w:after="0" w:line="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Milestone Payment may be paid in cash or, at the Company’s discretion, by issuing to Ligand shares in the Company of equivalent value; and</w:t>
      </w:r>
    </w:p>
    <w:p>
      <w:pPr>
        <w:spacing w:after="0" w:line="90" w:lineRule="exact"/>
        <w:rPr>
          <w:rFonts w:ascii="Times New Roman" w:cs="Times New Roman" w:eastAsia="Times New Roman" w:hAnsi="Times New Roman"/>
          <w:sz w:val="18"/>
          <w:szCs w:val="18"/>
          <w:color w:val="auto"/>
        </w:rPr>
      </w:pPr>
    </w:p>
    <w:p>
      <w:pPr>
        <w:ind w:firstLine="8"/>
        <w:spacing w:after="0" w:line="266" w:lineRule="auto"/>
        <w:tabs>
          <w:tab w:leader="none" w:pos="6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right to terminate the Ligand Agreement is conditioned upon such party obtaining a final judgment of the English High Court declaring that the other party is in material breach of its obligations under the Ligand Agreement.</w:t>
      </w:r>
    </w:p>
    <w:p>
      <w:pPr>
        <w:spacing w:after="0" w:line="5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paid the $2.0 million to Ligand in March, 2022 and accounted for the $2.0 million payment at execution as selling, general and administrative expense in the condensed consolidated statements of operations as the payment is related to a contract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Nuance agreement</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 entered into a collaboration and license agreement (the “Nuance Agreement”) with Nuance Pharma Limited (“Nuance Pharma”) effective June 9, 2021 (the “Effective Date”) under which the Company granted Nuance Pharma the exclusive rights to develop and commercialize ensifentrine in Greater China (China, Taiwan, Hong Kong and Macau). In return, the Company received an unconditional right to consideration aggregating $40.0 million consisting of $25.0 million in cash and an equity interest, valued at $15.0 million as of the Effective Date, in Nuance Biotech, the parent company of Nuance Pharma. The Company is eligible to receive future milestone payments of up to $179.0 million triggered upon achievement of certain clinical, regulatory, and commercial milestones, as well as tiered double-digit royalties as a percentage of net sales of the products in Greater China.</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As of September 30, 2021, the $25.0 million cash payment and $15.0 million equity interest had been received and the holding in Nuance Biotech was recorded as Equity Interest on our unaudited condensed consolidated balance sheets. The Company follows guidance from ASC 321-10-35-2 and uses the fair value measurement alternative and measures the securities at cost, which is deemed to be the value indicated by the last observable transaction in Nuance Biotech's stock, subject to impairment. The valuation will be adjusted for any observable price changes in orderly transactions for an identical or similar investment in Nuance Biotech, or if there is an indicator of impairment. As of September 30, 2022, there had been no other transactions to indicate any price changes in the value of Nuance Biotech’s stock, nor had there been any indications of impairment. The Equity Interest is therefore recorded at a value of $15 million.</w:t>
      </w:r>
    </w:p>
    <w:p>
      <w:pPr>
        <w:spacing w:after="0" w:line="6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Under the terms of the Nuance Agreement, at any time until three months prior to the expected submission of the first New Drug Application in Greater China, if (i) a third party is interested in partnering with the Company, either globally or in territory covering at least the United States or Europe, for the development and/or commercialization of ensifentrine or (ii) the Company undergoes a change of control, the Company will have an exclusive option right to buy back the license granted to Nuance Pharma and all related assets. The price is agreed to be equal to the aggregate of (i) all prior amounts paid by Nuance Pharma to the Company in cash under the agreement and (ii) all development and regulatory costs incurred and paid by Nuance Pharma in connection with the development and commercialization of ensifentrine under the Nuance Agreement multiplied by a single-digit factor range dependent upon achievement of certain milestones, subject to a specified maximum amount.</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reviewed the buy-back option and determined that because it is conditional on a third party the Company does not have the practical ability to exercise it and, accordingly, the contract is accounted for under ASC 606.</w:t>
      </w:r>
    </w:p>
    <w:p>
      <w:pPr>
        <w:spacing w:after="0" w:line="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transaction price at the Effective Date of the Nuance Agreement was $40.0 million consisting of the $25.0 million upfront cash payment and $15.0 million equity interest. Developmental and regulatory milestones, and the manufacture and supply of ensifentrine drug product, were not included in the transaction price as management determined that it is not probable that a significant reversal in the amount of cumulative revenue recognized will not occur. Commercial milestones and sales royalties were also excluded and will be recognized when the milestones are achieved or the sales occur in Greater China.</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performance obligations in the Nuance Agreement include the grant of the license (including the right to commercialize ensifentrine until the end of the term, the sharing of certain know how, and the sharing of certain clinical and regulatory data), and manufacture and supply of ensifentrine drug product.</w:t>
      </w:r>
    </w:p>
    <w:p>
      <w:pPr>
        <w:spacing w:after="0" w:line="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 has determined that the license and the know how shared with Nuance Pharma constitutes functional intellectual property and that revenue relating to this should be recognized at a point in time. Consequently, the Company determined that it fulfilled its obligations to Nuance Pharma after it delivered the know how that will allow Nuance Pharma to file an investigational new drug application in Greater China. This know how was delivered in the year ended December 31, 2021, and the $40.0 million revenue was therefore recognized as revenue in the year ended December 31, 2021. Revenue relating to the manufacture and supply obligations will be recognized when the drug product is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Share-based compensation</w:t>
      </w:r>
    </w:p>
    <w:p>
      <w:pPr>
        <w:spacing w:after="0" w:line="21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following table shows the allocation of share-based compensation between research and development and selling, general and administrative costs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740" w:type="dxa"/>
            <w:vAlign w:val="bottom"/>
            <w:gridSpan w:val="6"/>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53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13,106</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21,238</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Share options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shows share option activity, in ordinary shares, in the period:</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4"/>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 share</w:t>
            </w:r>
          </w:p>
        </w:tc>
        <w:tc>
          <w:tcPr>
            <w:tcW w:w="120" w:type="dxa"/>
            <w:vAlign w:val="bottom"/>
          </w:tcPr>
          <w:p>
            <w:pPr>
              <w:spacing w:after="0"/>
              <w:rPr>
                <w:sz w:val="14"/>
                <w:szCs w:val="14"/>
                <w:color w:val="auto"/>
              </w:rPr>
            </w:pPr>
          </w:p>
        </w:tc>
        <w:tc>
          <w:tcPr>
            <w:tcW w:w="12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20" w:type="dxa"/>
            <w:vAlign w:val="bottom"/>
          </w:tcPr>
          <w:p>
            <w:pPr>
              <w:spacing w:after="0"/>
              <w:rPr>
                <w:sz w:val="16"/>
                <w:szCs w:val="16"/>
                <w:color w:val="auto"/>
              </w:rPr>
            </w:pPr>
          </w:p>
        </w:tc>
        <w:tc>
          <w:tcPr>
            <w:tcW w:w="12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37"/>
        </w:trPr>
        <w:tc>
          <w:tcPr>
            <w:tcW w:w="53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12,695,200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608,000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13,303,200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6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1,760,000</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15,063,200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4,520,000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(502,232)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18,779,800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 activity</w:t>
            </w: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shows restricted stock unit (“RSU”) activity, in ordinary shares, in the period: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5"/>
        </w:trPr>
        <w:tc>
          <w:tcPr>
            <w:tcW w:w="5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20" w:type="dxa"/>
            <w:vAlign w:val="bottom"/>
          </w:tcPr>
          <w:p>
            <w:pPr>
              <w:spacing w:after="0"/>
              <w:rPr>
                <w:sz w:val="15"/>
                <w:szCs w:val="15"/>
                <w:color w:val="auto"/>
              </w:rPr>
            </w:pPr>
          </w:p>
        </w:tc>
        <w:tc>
          <w:tcPr>
            <w:tcW w:w="12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6"/>
                <w:szCs w:val="16"/>
                <w:color w:val="auto"/>
              </w:rPr>
            </w:pPr>
          </w:p>
        </w:tc>
        <w:tc>
          <w:tcPr>
            <w:tcW w:w="12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37"/>
        </w:trPr>
        <w:tc>
          <w:tcPr>
            <w:tcW w:w="53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38,347,352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(3,943,144)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34,872,432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(3,752,488)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31,119,944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12,409,640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(3,752,488)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38,870,832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Net loss per share</w:t>
      </w:r>
    </w:p>
    <w:p>
      <w:pPr>
        <w:spacing w:after="0" w:line="2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Net loss per share is calculated on an ordinary share basis. The Company’s ADSs that are listed on the Nasdaq Global Market each represent eight ordinary shares. The following table shows the computation of basic and diluted net loss per share for the three and nine months ended September 30, 2022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(net loss in thousands, loss per share in dollars):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2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3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53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0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(58,250)</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(32,307)</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544,134,136</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475,334,354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503,751,844</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471,159,171</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(loss)/profit per share - 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3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544,134,136</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515,819,439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503,751,844</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471,159,171</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(loss)/profit per share - 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2022 and 2021, outstanding share options, RSUs and warrants over 57,650,632 and 25,139,377 ordinary shares, respectively, were not included in the computation of diluted earnings per ordinary share, because to do so would be antidilutive.</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nine months ended September 30, 2022 and 2021, outstanding share options, RSUs and warrants over 57,650,632 and 65,624,462 ordinary shares, respectively, were not included in the computation of diluted earnings per ordinary share, because to do so would be antidilutive.</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Management is currently negotiating a matter with a supplier that has an estimated exposure of approximately $1.5 million. Management does not currently consider it probable that a payment will be made and therefore no accrual is recorded at September 30, 2022. This matter is expected to be resolved within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2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14, 2022 (the “Effective Date”), the Company entered into a loan and security agreement (the “Loan Agreement”) with Oxford Finance Luxembourg S.À R.L. (“Oxford”) for an aggregate amount of up to $150.0 million (the “Oxford Term Loan”). The Oxford Term Loan provides for an initial term loan advance in an aggregate amount of $10.0 million funded on the Effective Date (the “Oxford Term A Loan”), and up to four additional term loan advances in an aggregate amount of $140.0 million, which are available as described below and subject to terms of the Loan Agreement. The proceeds from the Oxford Term Loan will be used for general corporate and working capital purposes, and a portion of the proceeds of the Oxford Term A Loan are being used to repay in full the existing outstanding indebtedness owed to SVB as discussed in Note 5 – Term Loan. The Oxford Term Loan has a maturity date of October 1, 2027.</w:t>
      </w:r>
    </w:p>
    <w:p>
      <w:pPr>
        <w:spacing w:after="0" w:line="6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four additional term loan advances under the Oxford Term Loan consists of: a $10.0 million term loan advance (the “Oxford Term B Loan”) which is available at the option of the Company from the Effective Date up to and including March 31, 2023; a $20.0 million term loan advance (the “Oxford Term C Loan”) available during the period commencing on the later of January 1, 2024 and the date on which the Company receives positive ENHANCE-1 data in the Phase 3 clinical trial for ensifentrine sufficient to support the submission of a New Drug Application (“NDA”) with the United States Food and Drug Administration (the “FDA”) for ensifentrine through and including March 29, 2024; a $60.0 million term loan advance (the “Oxford Term D Loan”) available during the period commencing on the later of October 1, 2024 and the date on which the Company receives final approval from the FDA for the Company’s NDA for ensifentrine up to and including December 31, 2024; and a $50.0 million term loan advance (the “Oxford Term E Loan”) available during the interest-only period at the Company’s request and at Oxford’s sole discretion.</w:t>
      </w:r>
    </w:p>
    <w:p>
      <w:pPr>
        <w:spacing w:after="0" w:line="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Each advance under the Oxford Term Loan accrues interest at a floating per annum rate equal to (a) the greater of (i) the 1-Month CME Term SOFR reference rate on the last business day of the month that immediately precedes the month in which the interest will accrue and (ii) 2.38%, plus (b) 5.50% (the “Basic Rate”). In no event shall the Basic Rate (x) for the Oxford Term A Loan be less than 7.88% and (y) for each other advance be less than the Basic Rate on the business day immediately prior to the funding date of such term advance. The Basic Rate for the Term A Loan for the period from the Effective Date through and including October 31, 2022 shall be 8.54205% and the Basic Rate for each Term Loan shall not increase by more than 2.00% above the applicable Basic Rate as of the funding date of each such term loan. The Oxford Term Loan provides for interest-only payments on a monthly basis until the payment date immediately preceding December 1, 2025, if the Oxford Term D Loan is not made, and December 1, 2026, if the Oxford Term D Loan is made. Thereafter, amortization payments will be payable monthly in equal installments of principal plus accrued interest.</w:t>
      </w:r>
    </w:p>
    <w:p>
      <w:pPr>
        <w:spacing w:after="0" w:line="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Upon repayment, whether at maturity, upon acceleration or by prepayment or otherwise, the Company shall make a final payment to the lenders in an amount ranging from 1.30% to 3.00% of the aggregate principal balance, depending on the advances received under the Oxford Term Loan. The Company may prepay the Oxford Term Loan in full, or in part, in accordance with the terms of the Loan Agreement, which is subject to a prepayment fee of up to 2.00%, depending on the timing of the prepayment.</w:t>
      </w:r>
    </w:p>
    <w:p>
      <w:pPr>
        <w:spacing w:after="0" w:line="6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Oxford Term Loan is secured by a lien on substantially all of the assets of the Company, other than intellectual property, but including any rights to payments and proceeds from the sale, licensing or disposition of intellectual property. The Company has also granted Oxford a negative pledge with respect to its intellectual property. The Loan Agreement contains customary covenants and representations, including but not limited to financial reporting obligations and limitations on dividends, dispositions, indebtedness, collateral, investments, distributions, transfers, mergers or acquisitions, taxes, corporate changes, deposit accounts, transactions with affiliates and subsidiaries. The Loan Agreement also contains other customary provisions, such as expense reimbursement, non-disclosure obligations as well as indemnification rights for the benefit of Oxford.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line="2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our audited consolidated financial statements and related notes as disclosed in our Annual Report on Form 10-K for the year ended December 31, 2021 filed with the Securities and Exchange Commission on March 3, 2022 (the “2021 Form 10-K”).</w:t>
      </w:r>
    </w:p>
    <w:p>
      <w:pPr>
        <w:spacing w:after="0" w:line="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statements that constitute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w:t>
      </w:r>
    </w:p>
    <w:p>
      <w:pPr>
        <w:spacing w:after="0" w:line="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i w:val="1"/>
          <w:iCs w:val="1"/>
          <w:color w:val="auto"/>
        </w:rPr>
        <w:t>All statements other than statements of historical facts contained in this Quarterly Report on Form 10-Q, including without limitation statements regarding our future results of operations and financial position, business strategy and plans and objectives of management for future operations, the development of ensifentrine or any other product candidates, including statements regarding the expected initiation, timing, progress and availability of data from our clinical trials and potential regulatory approvals, research and development costs, timing and likelihood of success, potential collaborations, our estimates regarding expenses, future revenues, capital requirements, debt service obligations and our need for additional financing, the funding we expect to become available from cash receipts from U.K. tax credits and under the $150.0 million debt facility secured in October 2022, and the sufficiency of our cash and cash equivalents to fund operations, are forward-looking statements.</w:t>
      </w:r>
    </w:p>
    <w:p>
      <w:pPr>
        <w:spacing w:after="0" w:line="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i w:val="1"/>
          <w:iCs w:val="1"/>
          <w:color w:val="auto"/>
        </w:rPr>
        <w:t>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assumptions, and other important factors including, but not limited to, those set forth under Part II, Item 1A of this Quarterly Report on Form 10-Q under the heading “Risk Factors” and Part I, Item 1A of the 2021 Form 10-K under the heading “Risk Factors”. Because forward-looking statements are inherently subject to risks and uncertainties, some of which cannot be predicted or quantified and some of which are beyond our control, you should not rely on these forward-looking statements as predictions of future events.</w:t>
      </w:r>
    </w:p>
    <w:p>
      <w:pPr>
        <w:spacing w:after="0" w:line="7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Except as required by applicable law, we do not plan to publicly update or revise any forward-looking statements contained herein, whether as a result of any new information, future events, changed circumstances or otherwise. We intend the forward-looking statements contained in this Quarterly Report on Form 10-Q to be covered by the safe harbor provisions for forward-looking statements contained in Section 27A of the Securities Act and Section 21E of the Securities Exchange Act of 1934, as amended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and commercializing innovative therapeutics for the treatment of respiratory diseases with significant unmet medical need. Our product candidate, ensifentrine, is an investigational, potential first-in-class, inhaled, dual inhibitor of the enzymes phosphodiesterase 3 and 4 (“PDE3” and “PDE4”), which is designed to act as both a bronchodilator and an anti-inflammatory agent.</w:t>
      </w:r>
    </w:p>
    <w:p>
      <w:pPr>
        <w:spacing w:after="0" w:line="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the third quarter of 2020, we commenced our Phase 3 ENHANCE (“Ensifentrine as a Novel inHAled Nebulized COPD thErapy”) trials evaluating nebulized ensifentrine for the maintenance treatment of chronic obstructive pulmonary disease (“COPD”). In August 2022, we announced positive top-line results from the ENHANCE-2 trial. ENHANCE-2 successfully met its primary endpoint, as well as secondary endpoints demonstrating improvements in lung function, and significantly reduced the rate and risk of COPD exacerbations. Ensifentrine was well tolerated with safety results similar to placebo.</w:t>
      </w:r>
    </w:p>
    <w:p>
      <w:pPr>
        <w:spacing w:after="0" w:line="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expect to report top-line results from ENHANCE-1 around the end of 2022. Conditional upon positive results, we plan to submit a New Drug Application (“NDA”) to the US Food and Drug Administration (“FDA”) in the first half of 2023 for inhaled ensifentrine for the maintenance treatment of COPD.</w:t>
      </w:r>
    </w:p>
    <w:p>
      <w:pPr>
        <w:spacing w:after="0" w:line="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incurred recurring losses and negative cash flows from operations since inception, and have an accumulated deficit of $322.4 million as of September 30, 2022. We expect to incur additional losses and negative cash flows from operations until our product candidates potentially gain regulatory approval and reach commercial profitability, if at all.</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significant expenses in connection with our ongoing activities, as we:</w:t>
      </w:r>
    </w:p>
    <w:p>
      <w:pPr>
        <w:spacing w:after="0" w:line="104"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out infrastructure and prepare for potential commercial launch;</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invest in the clinical development of ensifentrine for the treatment of COPD or other indications;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ensifentrine and engage in other Chemistry, Manufacturing and Controls activities; and</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believe that our cash and cash equivalents as of September 30, 2022, together with expected cash receipts from U.K. tax credits and additional funding expected to become available under the new Oxford Term Loan secured in October 2022, will enable us to fund our planned operating expenses and capital expenditure requirements through at least the end of 2025, including the planned commercial launch of ensifentrine in the U.S., if approved. The Oxford Term Loan advances are contingent upon achievement of certain clinical and regulatory milestones and other specified conditions. See “Indebtedness”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update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ENHANCE-2</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August 2022, we announced positive top-line results from our Phase 3 ENHANCE-2 clinical trial evaluating nebulized ensifentrine for the maintenance treatment of COPD. ENHANCE-2 successfully met its primary endpoint, as well as secondary endpoints demonstrating improvements in lung function, and significantly reduced the rate and risk of COPD exacerbations.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31" w:lineRule="exact"/>
        <w:rPr>
          <w:sz w:val="20"/>
          <w:szCs w:val="20"/>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Study population (n=789):</w:t>
      </w:r>
    </w:p>
    <w:p>
      <w:pPr>
        <w:spacing w:after="0" w:line="12"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2"/>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Subject demographics and disease characteristics were well balanced between treatment groups.</w:t>
      </w:r>
    </w:p>
    <w:p>
      <w:pPr>
        <w:spacing w:after="0" w:line="22" w:lineRule="exact"/>
        <w:rPr>
          <w:rFonts w:ascii="Arial" w:cs="Arial" w:eastAsia="Arial" w:hAnsi="Arial"/>
          <w:sz w:val="22"/>
          <w:szCs w:val="22"/>
          <w:color w:val="auto"/>
        </w:rPr>
      </w:pPr>
    </w:p>
    <w:p>
      <w:pPr>
        <w:jc w:val="both"/>
        <w:ind w:left="660" w:right="300" w:hanging="4"/>
        <w:spacing w:after="0" w:line="239" w:lineRule="auto"/>
        <w:tabs>
          <w:tab w:leader="none" w:pos="1304" w:val="left"/>
        </w:tabs>
        <w:numPr>
          <w:ilvl w:val="2"/>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Approximately 52% of subjects received background COPD therapy, either a long-acting muscarinic antagonist (“LAMA”) or a long-acting beta-agonist (“LABA”). Additionally, approximately 15% of all subjects also received inhaled corticosteroids (“ICS”) with concomitant LAMA or LABA.</w:t>
      </w:r>
    </w:p>
    <w:p>
      <w:pPr>
        <w:spacing w:after="0" w:line="2" w:lineRule="exact"/>
        <w:rPr>
          <w:rFonts w:ascii="Arial" w:cs="Arial" w:eastAsia="Arial" w:hAnsi="Arial"/>
          <w:sz w:val="22"/>
          <w:szCs w:val="22"/>
          <w:color w:val="auto"/>
        </w:rPr>
      </w:pPr>
    </w:p>
    <w:p>
      <w:pPr>
        <w:ind w:left="660" w:hanging="652"/>
        <w:spacing w:after="0" w:line="202"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Primary endpoint met (FEV</w:t>
      </w:r>
      <w:r>
        <w:rPr>
          <w:rFonts w:ascii="Times New Roman" w:cs="Times New Roman" w:eastAsia="Times New Roman" w:hAnsi="Times New Roman"/>
          <w:sz w:val="23"/>
          <w:szCs w:val="23"/>
          <w:b w:val="1"/>
          <w:bCs w:val="1"/>
          <w:color w:val="auto"/>
          <w:vertAlign w:val="subscript"/>
        </w:rPr>
        <w:t>1</w:t>
      </w:r>
      <w:r>
        <w:rPr>
          <w:rFonts w:ascii="Times New Roman" w:cs="Times New Roman" w:eastAsia="Times New Roman" w:hAnsi="Times New Roman"/>
          <w:sz w:val="18"/>
          <w:szCs w:val="18"/>
          <w:b w:val="1"/>
          <w:bCs w:val="1"/>
          <w:color w:val="auto"/>
        </w:rPr>
        <w:t>* AUC 0-12 hr):</w:t>
      </w:r>
    </w:p>
    <w:p>
      <w:pPr>
        <w:ind w:left="660" w:right="820" w:hanging="4"/>
        <w:spacing w:after="0" w:line="236" w:lineRule="auto"/>
        <w:tabs>
          <w:tab w:leader="none" w:pos="1304" w:val="left"/>
        </w:tabs>
        <w:numPr>
          <w:ilvl w:val="2"/>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Placebo corrected, the change from baseline in average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18"/>
          <w:szCs w:val="18"/>
          <w:color w:val="auto"/>
        </w:rPr>
        <w:t xml:space="preserve"> area under the curve 0-12 hours post dose at week 12 was 94 mL (p&lt;0.0001) for ensifentrine.</w:t>
      </w:r>
    </w:p>
    <w:p>
      <w:pPr>
        <w:spacing w:after="0" w:line="1" w:lineRule="exact"/>
        <w:rPr>
          <w:rFonts w:ascii="Arial" w:cs="Arial" w:eastAsia="Arial" w:hAnsi="Arial"/>
          <w:sz w:val="22"/>
          <w:szCs w:val="22"/>
          <w:color w:val="auto"/>
        </w:rPr>
      </w:pPr>
    </w:p>
    <w:p>
      <w:pPr>
        <w:ind w:left="660" w:right="260" w:hanging="4"/>
        <w:spacing w:after="0" w:line="210" w:lineRule="auto"/>
        <w:tabs>
          <w:tab w:leader="none" w:pos="1297" w:val="left"/>
        </w:tabs>
        <w:numPr>
          <w:ilvl w:val="2"/>
          <w:numId w:val="6"/>
        </w:numPr>
        <w:rPr>
          <w:rFonts w:ascii="Arial" w:cs="Arial" w:eastAsia="Arial" w:hAnsi="Arial"/>
          <w:sz w:val="20"/>
          <w:szCs w:val="20"/>
          <w:color w:val="auto"/>
        </w:rPr>
      </w:pPr>
      <w:r>
        <w:rPr>
          <w:rFonts w:ascii="Times New Roman" w:cs="Times New Roman" w:eastAsia="Times New Roman" w:hAnsi="Times New Roman"/>
          <w:sz w:val="18"/>
          <w:szCs w:val="18"/>
          <w:color w:val="auto"/>
        </w:rPr>
        <w:t>Statistically significant and clinically meaningful improvements with ensifentrine demonstrated across all subgroups including gender, age, smoking status, COPD severity, background medication, ICS use, chronic bronchitis,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18"/>
          <w:szCs w:val="18"/>
          <w:color w:val="auto"/>
        </w:rPr>
        <w:t xml:space="preserve"> reversibility, and geographic region.</w:t>
      </w:r>
    </w:p>
    <w:p>
      <w:pPr>
        <w:spacing w:after="0" w:line="1" w:lineRule="exact"/>
        <w:rPr>
          <w:rFonts w:ascii="Arial" w:cs="Arial" w:eastAsia="Arial" w:hAnsi="Arial"/>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Secondary endpoints of lung function met:</w:t>
      </w:r>
    </w:p>
    <w:p>
      <w:pPr>
        <w:spacing w:after="0" w:line="7"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2"/>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Placebo corrected, increase in peak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18"/>
          <w:szCs w:val="18"/>
          <w:color w:val="auto"/>
        </w:rPr>
        <w:t xml:space="preserve"> of 146 mL (p&lt;0.0001) 0-4 hours post dose at week 12.</w:t>
      </w:r>
    </w:p>
    <w:p>
      <w:pPr>
        <w:spacing w:after="0" w:line="6" w:lineRule="exact"/>
        <w:rPr>
          <w:rFonts w:ascii="Arial" w:cs="Arial" w:eastAsia="Arial" w:hAnsi="Arial"/>
          <w:sz w:val="22"/>
          <w:szCs w:val="22"/>
          <w:color w:val="auto"/>
        </w:rPr>
      </w:pPr>
    </w:p>
    <w:p>
      <w:pPr>
        <w:ind w:left="1300" w:hanging="644"/>
        <w:spacing w:after="0" w:line="221" w:lineRule="auto"/>
        <w:tabs>
          <w:tab w:leader="none" w:pos="1300" w:val="left"/>
        </w:tabs>
        <w:numPr>
          <w:ilvl w:val="2"/>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Placebo corrected, increase in morning trough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18"/>
          <w:szCs w:val="18"/>
          <w:color w:val="auto"/>
        </w:rPr>
        <w:t xml:space="preserve"> of 49 mL (p=0.0017) at week 12, confirming twice daily dosing regimen.</w:t>
      </w: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Exacerbation rate reduced:</w:t>
      </w:r>
    </w:p>
    <w:p>
      <w:pPr>
        <w:spacing w:after="0" w:line="29" w:lineRule="exact"/>
        <w:rPr>
          <w:rFonts w:ascii="Times New Roman" w:cs="Times New Roman" w:eastAsia="Times New Roman" w:hAnsi="Times New Roman"/>
          <w:sz w:val="18"/>
          <w:szCs w:val="18"/>
          <w:b w:val="1"/>
          <w:bCs w:val="1"/>
          <w:color w:val="auto"/>
        </w:rPr>
      </w:pPr>
    </w:p>
    <w:p>
      <w:pPr>
        <w:ind w:left="660" w:right="480" w:hanging="4"/>
        <w:spacing w:after="0" w:line="242" w:lineRule="auto"/>
        <w:tabs>
          <w:tab w:leader="none" w:pos="1304" w:val="left"/>
        </w:tabs>
        <w:numPr>
          <w:ilvl w:val="2"/>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Subjects receiving ensifentrine demonstrated a 42% reduction in the rate of moderate to severe COPD exacerbations over 24 weeks compared to those receiving placebo (p=0.0109).</w:t>
      </w:r>
    </w:p>
    <w:p>
      <w:pPr>
        <w:ind w:left="660" w:right="160" w:hanging="4"/>
        <w:spacing w:after="0" w:line="250" w:lineRule="auto"/>
        <w:tabs>
          <w:tab w:leader="none" w:pos="130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with ensifentrine significantly decreased the risk of a moderate/severe exacerbation as measured by time to first exacerbation when compared with placebo by 42% (p=0.0088).</w:t>
      </w: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COPD symptoms and Quality of Life (“QOL”):</w:t>
      </w:r>
    </w:p>
    <w:p>
      <w:pPr>
        <w:spacing w:after="0" w:line="9" w:lineRule="exact"/>
        <w:rPr>
          <w:rFonts w:ascii="Times New Roman" w:cs="Times New Roman" w:eastAsia="Times New Roman" w:hAnsi="Times New Roman"/>
          <w:sz w:val="18"/>
          <w:szCs w:val="18"/>
          <w:b w:val="1"/>
          <w:bCs w:val="1"/>
          <w:color w:val="auto"/>
        </w:rPr>
      </w:pPr>
    </w:p>
    <w:p>
      <w:pPr>
        <w:jc w:val="both"/>
        <w:ind w:left="660" w:hanging="4"/>
        <w:spacing w:after="0" w:line="250" w:lineRule="auto"/>
        <w:tabs>
          <w:tab w:leader="none" w:pos="1331"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symptoms and QOL as measured by E-RS** Total Score and SGRQ** Total Score in the ensifentrine group improved from baseline to greater than the minimal clinically important difference (“MCID”) of -2 units and -4 units, respectively, at week 24. Improvements in these measures were seen as early as 6 weeks and showed continued improvement at 12 and 24 weeks, numerically exceeding placebo at each measurement. Statistical significance was not achieved due to improvements observed in the placebo group over time.</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Favorable safety profile:</w:t>
      </w:r>
    </w:p>
    <w:p>
      <w:pPr>
        <w:spacing w:after="0" w:line="31" w:lineRule="exact"/>
        <w:rPr>
          <w:rFonts w:ascii="Times New Roman" w:cs="Times New Roman" w:eastAsia="Times New Roman" w:hAnsi="Times New Roman"/>
          <w:sz w:val="18"/>
          <w:szCs w:val="18"/>
          <w:b w:val="1"/>
          <w:bCs w:val="1"/>
          <w:color w:val="auto"/>
        </w:rPr>
      </w:pPr>
    </w:p>
    <w:p>
      <w:pPr>
        <w:ind w:left="660" w:right="880" w:hanging="4"/>
        <w:spacing w:after="0" w:line="234" w:lineRule="auto"/>
        <w:tabs>
          <w:tab w:leader="none" w:pos="1304" w:val="left"/>
        </w:tabs>
        <w:numPr>
          <w:ilvl w:val="2"/>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Ensifentrine was well tolerated with safety results similar to placebo, including occurrence of pneumonia, gastrointestinal and cardiovascular adverse events.</w:t>
      </w:r>
    </w:p>
    <w:p>
      <w:pPr>
        <w:spacing w:after="0" w:line="148" w:lineRule="exact"/>
        <w:rPr>
          <w:sz w:val="20"/>
          <w:szCs w:val="20"/>
          <w:color w:val="auto"/>
        </w:rPr>
      </w:pPr>
    </w:p>
    <w:p>
      <w:pPr>
        <w:ind w:right="1060"/>
        <w:spacing w:after="0" w:line="342" w:lineRule="auto"/>
        <w:rPr>
          <w:sz w:val="20"/>
          <w:szCs w:val="20"/>
          <w:color w:val="auto"/>
        </w:rPr>
      </w:pPr>
      <w:r>
        <w:rPr>
          <w:rFonts w:ascii="Times New Roman" w:cs="Times New Roman" w:eastAsia="Times New Roman" w:hAnsi="Times New Roman"/>
          <w:sz w:val="18"/>
          <w:szCs w:val="18"/>
          <w:color w:val="auto"/>
        </w:rPr>
        <w:t>*FEV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18"/>
          <w:szCs w:val="18"/>
          <w:color w:val="auto"/>
        </w:rPr>
        <w:t>: Forced Expiratory Volume in one second, a standard measure of lung function **E-RS, Evaluating Respiratory Symptoms, and SGRQ, St. George’s Respiratory Questionnaire, are validated patient reported outcome tools</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October 2022, we announced positive additional analyses from the ENHANCE-2 trial demonstrating that ensifentrine reduced rates of exacerbation across all subgroups analyzed over 24 weeks, including background medication, ICS use, smoking status and geographic region. Results of the subgroup analyses confirmed positive effects consistent with the 42% reduction in the rate of moderate to severe exacerbations observed in the overall population. ENHANCE-2 was not powered for exacerbation rate.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plan to release additional information from ENHANCE-2 at upcoming scientific conferences.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ENHANCE-1</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2022, we completed enrollment in our Phase 3 ENHANCE-1 clinical trial with more than 800 patients randomized. Based on our current models of study progress, we expect to report top-line data for ENHANCE-1 around the end of 2022.</w:t>
      </w:r>
    </w:p>
    <w:p>
      <w:pPr>
        <w:spacing w:after="0" w:line="4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two randomized, double-blind placebo-controlled studies (ENHANCE-1 and ENHANCE-2) evaluate the efficacy and safety of nebulized ensifentrine in subjects with COPD as monotherapy and added onto a single bronchodilator, either a LAMA or a LABA, compared to placebo, and up to approximately 20% of subjects may receive ICS. The two study designs replicate measurements of efficacy and safety data over 24 weeks and ENHANCE-1 also evaluates longer-term safety over 48 weeks. The primary endpoint of both studies is improvement in lung function, as measured by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18"/>
          <w:szCs w:val="18"/>
          <w:color w:val="auto"/>
        </w:rPr>
        <w:t xml:space="preserve"> area under curve (“AUC”) 0-12 hours post dose at week 12. Key secondary endpoints comprise measurements of COPD symptoms and health-related quality of life measures, including SGRQ and E-RS.</w:t>
      </w:r>
    </w:p>
    <w:p>
      <w:pPr>
        <w:spacing w:after="0" w:line="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design of the ENHANCE program was based on analysis of our two Phase 2b clinical trials, which each enrolled 400 subjects with moderate to severe COPD. The attributes of the patient population enrolled in the ENHANCE program are consistent with those enrolled in prior Phase 2b trials of ensifentrine including demographics and baseline COPD characteristics, including smoking history, lung function, symptoms and quality of life measures.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Nuance Pharma</w:t>
      </w:r>
    </w:p>
    <w:p>
      <w:pPr>
        <w:spacing w:after="0" w:line="1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August 2022, our development partner, Nuance Pharma, received clearance from China’s Center for Drug Evaluation to begin Phase 1 and Phase 3 studies with ensifentrine for COPD in mainland China. In 2021, we entered into an agreement with Nuance Pharma with a potential value of up to $219 million, granting Nuance Pharma exclusive rights to develop and commercialize ensifentrine in Greater China. See “Significant Agreements” for additional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 impact</w:t>
      </w:r>
    </w:p>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Whilst the impact of the COVID-19 pandemic and government and other measures in response have substantially reduced, we continue to monitor the pandemic and any potential impact on our operations and clinical trials. In addition, we continue to follow guidance from the FDA and other health regulatory authorities regarding the conduct of clinical trials during the pandemic to ensure the safety of study participants, minimize risks to study integrity, and maintain compliance with good clinical practice.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Russia-Ukraine conflict</w:t>
      </w:r>
    </w:p>
    <w:p>
      <w:pPr>
        <w:spacing w:after="0" w:line="2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are conducting ENHANCE-1 at a number of clinical trial sites in Russia. The sanctions and other restrictions imposed by the U.S. and other countries as a result of the current conflict between Russia and Ukraine are impacting our outsourced clinical research vendor’s ability to pay the clinical trial sites and investigators in Russia and may impact our clinical trial activities at sites in Russia. Management is closely monitoring the Russia-Ukraine conflict and will provide an update if we become aware of any meaningful disruption to the completion of our Phase 3 program or our plans to submit an NDA for ensifentrine.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update</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Following the positive data from ENHANCE-2, we accelerated our commercial launch preparation activities. We are executing on our strategy and, in September and October 2022, we added senior leadership across marketing, market access, commercial operations, IT, HR and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agreements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Ligand agreement</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2006 we acquired Rhinopharma and assumed contingent liabilities owed to Ligand UK Development Limited (“Ligand”) (formerly Vernalis Development Limited). We refer to the assignment and license agreement as the Ligand Agreement.</w:t>
      </w:r>
    </w:p>
    <w:p>
      <w:pPr>
        <w:spacing w:after="0" w:line="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Ligand assigned to us all of its rights to certain patents and patent applications relating to ensifentrine and related compounds (the “Ligand Patents”) and an exclusive, worldwide, royalty-bearing license under certain Ligand know-how to develop, manufacture and commercialize products (the ”Ligand Licensed Products”) developed using Ligand Patents, Ligand know-how and the physical stock of certain compounds.</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contingent liability comprises a milestone payment (the “Milestone Payment”) on obtaining the first approval of any regulatory authority for the commercialization of a Ligand Licensed Product, low single digit royalties based on the future sales performance of all Ligand Licensed Products and a portion equal to a mid-twenty percent of any consideration received from any sub-licensees for the Ligand Patents and for Ligand know-how.</w:t>
      </w:r>
    </w:p>
    <w:p>
      <w:pPr>
        <w:spacing w:after="0" w:line="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time of the acquisition the contingent liability was not recognized as part of the acquisition accounting as it was immaterial. We will therefore record as a research and development expense the Milestone Payment or royalties when they are probable.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2022 we entered into an Amendment Agreement (the “Amendment”) with Ligand whereby the Ligand Agreement was amended to clarify certain ambiguous terms in the Ligand Agreement. Pursuant to the Amendment:</w:t>
      </w:r>
    </w:p>
    <w:p>
      <w:pPr>
        <w:spacing w:after="0" w:line="41" w:lineRule="exact"/>
        <w:rPr>
          <w:sz w:val="20"/>
          <w:szCs w:val="20"/>
          <w:color w:val="auto"/>
        </w:rPr>
      </w:pPr>
    </w:p>
    <w:p>
      <w:pPr>
        <w:jc w:val="both"/>
        <w:ind w:firstLine="8"/>
        <w:spacing w:after="0"/>
        <w:tabs>
          <w:tab w:leader="none" w:pos="6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agreed to pay to Ligand (i) $2.0 million within five business days of the date of the Amendment and (ii) $15.0 million upon the first commercial sale of ensifentrine by us or a sub-licensee, which amount is payable in cash or, at the our discretion, by the issuance of Company equity of equivalent value, as determined based on the volume-weighted average price of the our American Depositary Shares on the Nasdaq Global Market over the ten (10) trading days including and prior to such milestone event;</w:t>
      </w:r>
    </w:p>
    <w:p>
      <w:pPr>
        <w:spacing w:after="0" w:line="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Ligand Agreement shall expire on March 24, 2042 unless terminated earlier by either party in accordance with its terms;</w:t>
      </w:r>
    </w:p>
    <w:p>
      <w:pPr>
        <w:spacing w:after="0" w:line="90" w:lineRule="exact"/>
        <w:rPr>
          <w:rFonts w:ascii="Times New Roman" w:cs="Times New Roman" w:eastAsia="Times New Roman" w:hAnsi="Times New Roman"/>
          <w:sz w:val="18"/>
          <w:szCs w:val="18"/>
          <w:color w:val="auto"/>
        </w:rPr>
      </w:pPr>
    </w:p>
    <w:p>
      <w:pPr>
        <w:ind w:firstLine="8"/>
        <w:spacing w:after="0" w:line="266" w:lineRule="auto"/>
        <w:tabs>
          <w:tab w:leader="none" w:pos="7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Ligand Agreement, any Sub-licensee (as defined in the Amendment) shall have the right to enter into a direct license agreement with Ligand for the portion of the Program IP (as defined in the Amendment) that was sub-licensed by such Sub-licensee;</w:t>
      </w:r>
    </w:p>
    <w:p>
      <w:pPr>
        <w:spacing w:after="0" w:line="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Milestone Payment may be paid in cash or, at our discretion, by issuing to Ligand shares in the Company of equivalent value; and</w:t>
      </w:r>
    </w:p>
    <w:p>
      <w:pPr>
        <w:spacing w:after="0" w:line="90" w:lineRule="exact"/>
        <w:rPr>
          <w:rFonts w:ascii="Times New Roman" w:cs="Times New Roman" w:eastAsia="Times New Roman" w:hAnsi="Times New Roman"/>
          <w:sz w:val="18"/>
          <w:szCs w:val="18"/>
          <w:color w:val="auto"/>
        </w:rPr>
      </w:pPr>
    </w:p>
    <w:p>
      <w:pPr>
        <w:ind w:firstLine="8"/>
        <w:spacing w:after="0" w:line="266" w:lineRule="auto"/>
        <w:tabs>
          <w:tab w:leader="none" w:pos="6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right to terminate the Ligand Agreement is conditioned upon such party obtaining a final judgment of the English High Court declaring that the other party is in material breach of its obligations under the Ligand Agreement.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Nuance agreement</w:t>
      </w:r>
    </w:p>
    <w:p>
      <w:pPr>
        <w:spacing w:after="0" w:line="9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entered into a collaboration and license agreement (the “Nuance Agreement”) with Nuance Pharma Limited (“Nuance Pharma”) effective June 9, 2021 (the “Effective Date”) under which we granted Nuance Pharma the exclusive rights to develop and commercialize ensifentrine in Greater China (China, Taiwan, Hong Kong and Macau). In return, we received an unconditional right to consideration aggregating $40.0 million consisting of $25.0 million in cash and an equity interest valued at $15.0 million as of the Effective Date in Nuance Biotech, the parent company of Nuance Pharma. We are eligible to receive future milestone payments of up to $179.0 million, triggered upon achievement of certain clinical, regulatory, and commercial milestones as well as tiered double-digit royalties on net sales in Greater China.</w:t>
      </w:r>
    </w:p>
    <w:p>
      <w:pPr>
        <w:spacing w:after="0" w:line="6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 of September 30, 2021, the $25.0 million cash payment and $15.0 million equity interest had been received and the holding in Nuance Biotech was recorded as Equity Interest on our unaudited condensed consolidated balance sheet. The equity interest is recorded at the fair value indicated by the last observable transaction in Nuance Biotech’s stock, which was a fund raising in November, 2020. As of September 30, 2022, there had been no other observable transactions to indicate any price changes in the value of Nuance Biotech’s stock, nor had there been any indications of impairment. The equity interest is therefore recorded at a value of $15.0 million.</w:t>
      </w:r>
    </w:p>
    <w:p>
      <w:pPr>
        <w:spacing w:after="0" w:line="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Nuance Pharma will be responsible for all costs related to clinical development and commercialization of ensifentrine in Greater China. A joint steering committee has been established between us and Nuance Pharma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oversee and coordinate the overall conduct of such clinical development and commercialization. We intend to use the joint steering committee to help ensure the clinical development of ensifentrine in Greater China aligns with our overall global development and commercialization strategy.</w:t>
      </w:r>
    </w:p>
    <w:p>
      <w:pPr>
        <w:spacing w:after="0" w:line="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Under the terms of the Nuance Agreement, at any time until three months prior to the expected submission of the first New Drug Application in Greater China, if (i) a third party is interested in partnering with us, either globally or in territory covering at least the United States or Europe, for the development and/or commercialization of ensifentrine or (ii) we undergo a change of control, we will have an exclusive option right to buy back the license granted to Nuance Pharma and all related assets. The price is agreed to be equal to the aggregate of (i) all prior amounts paid by Nuance Pharma to us in cash under the agreement and (ii) all development and regulatory costs incurred and paid by Nuance Pharma in connection with the development and commercialization of the ensifentrine under the Nuance Agreement multiplied by a single-digit factor range dependent upon achievement of certain milestones, subject to a specified maximum amount.</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reviewed the buy-back option and determined that because it is conditional on a third party we do not have the practical ability to exercise it and, accordingly, the contract is accounted for under ASC 606.</w:t>
      </w:r>
    </w:p>
    <w:p>
      <w:pPr>
        <w:spacing w:after="0" w:line="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transaction price at the Effective Date of the Nuance Agreement was $40.0 million consisting of the $25.0 million upfront cash payment and $15.0 million equity interest. Developmental and regulatory milestones, and the manufacture and supply of ensifentrine drug product, were not included in the transaction price as we determined that it is not probable that a significant reversal in the amount of cumulative revenue recognized will not occur. Commercial milestones and sales royalties were also excluded and will be recognized when the milestones are achieved or the sales occur in Greater China.</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performance obligations in the Nuance Agreement include the grant of the license (including the right to commercialize ensifentrine until the end of the term, the sharing of certain know how, and the sharing of certain clinical and regulatory data), and manufacture and supply of ensifentrine drug product. We have determined that the manufacturing and supply was not at a discount.</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have determined that the license and the know how shared with Nuance Pharma constitutes functional intellectual property and that revenue relating to this should be recognized at a point in time. Consequently, we have determined that we fulfilled our obligations to Nuance Pharma when we delivered the know how that will allow Nuance Pharma to file an investigational new drug application in Greater China. We delivered this know-how in the year ended December 31, 2021, and the $40.0 million revenue was therefore recognized as revenue in the year ended December 31, 2021. Revenue relating to the manufacture and supply obligations will be recognized when the drug product is delivered.</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the Nuance Agreement, see Note 6 to our unaudited condensed consolidated financial statements and related notes included elsewhere in this Quarterly Report on Form 10-Q.</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July 29, 2016, as part of a private placement we issued warrants to investors. The warrant holders could subscribe for an ordinary share at a per share exercise price of £1.7238. They could also opt for a cashless exercise of their warrants whereby they could choose to exchange the warrants held for a reduced number of warrants exercisable at nil consideration.</w:t>
      </w:r>
    </w:p>
    <w:p>
      <w:pPr>
        <w:spacing w:after="0" w:line="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If, after a transaction, should the warrants be exercisable for unlisted securities, the warrant holders were able to demand a cash payment instead of the delivery of the underlying securities. Accordingly, they were accounted for as a liability under ASC 480 “Distinguishing Liabilities from Equity” and recorded at fair value using the Black-Scholes valuation methodology, on recognition and at each reporting date. The warrants were exercisable by the holders until May 2, 2022. None of the warrants were exercised prior to their expiration.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and security agreement</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November 2020, we and Verona Pharma Inc. entered into a term loan facility of up to $30.0 million with Silicon Valley Bank (the “SVB Term Loan”). Subsequent to the quarter end, on October 14, 2022, we and Verona Pharma, Inc. entered into a term loan (the “Oxford Term Loan”) of up to $150.0 million with Oxford Finance Luxembourg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S.À R.L. (“Oxford”). This Oxford Term Loan replaced the existing term loan with Silicon Valley Bank. See “Indebtedness” for additional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U.S. (“U.S. GAAP”) requires management to make estimates and assumptions that affect the reported amounts of assets, liabilities, the disclosure of contingent assets and liabilities at the date of the financial statements and the reported amounts of expenses during the reporting periods. Significant estimates and assumptions reflected in these consolidated financial statements include, but are not limited to, the recognition of revenue, the accrual and prepayment of research and development expenses, the fair value of share-based compensation, the carrying value of the equity interest in Nuance Pharma, research and development tax credit and the fair value of warrants. Estimates are periodically reviewed in light of changes in circumstances, facts and experience. Changes in estimates are recorded in the period in which they become known. Actual results could differ from our estimates. The accounting policies considered to be critical to the judgments and estimates used in the preparation of our financial statements are disclosed in the Management’s Discussion and Analysis of Financial Condition and Results of Operations included in our 2021 Form 10-K. There have been no material changes to that information disclosed in our 2021 Form 10-K during the nine months ended September 30,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90" w:lineRule="exact"/>
        <w:rPr>
          <w:sz w:val="20"/>
          <w:szCs w:val="20"/>
          <w:color w:val="auto"/>
        </w:rPr>
      </w:pPr>
    </w:p>
    <w:p>
      <w:pPr>
        <w:ind w:left="340" w:hanging="332"/>
        <w:spacing w:after="0" w:line="266"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and scale-up manufacturing capabilities to potentially commercialize any products for which we may obtain regulatory approval;</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Phase 3 clinical trials for ensifentrine for the maintenance treatment of COPD;</w:t>
      </w:r>
    </w:p>
    <w:p>
      <w:pPr>
        <w:spacing w:after="0" w:line="9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clinical development of our DPI and pMDI formulations of ensifentrine and research and develop other formulations of or combinations with ensifentrine;</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further clinical trials for ensifentrine for the treatment of acute COPD, CF or any other indication;</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progress pre-clinical studies relating to other potential indications of ensifentrine;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of our product candidates that successfully complete clinical trials;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clinical, scientific, operational, financial and management information systems and personnel, including personnel to support our product development and potential future commercialization efforts and to support our continuing operations as a U.S. public company; or</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from any of the above, including but not limited to failed studies, complex results, safety issues or other regulatory challenges.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9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Research and development costs consist of salary and personnel related costs and third party costs for our research and development activities for ensifentrine. Personnel related costs include a share-based compensation charge relating to our stock option plan. The largest component of third party costs is for clinical trials, as well as manufacturing for clinical supplies and associated development, and pre-clinical studies. Research and development costs are expensed as incurred.</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the Phase 3 ENHANCE program is nearing completion, we expect our research and development costs to decrease over the next several quarters until we add new compounds or develop ensifentrine further in other delivery methods or indications. Due to the nature of research and development, the expected costs are inherently uncertain and may vary significantly from our current expectations.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Selling, general and administrative costs consist of salary and personnel related costs, including share-based compensation, expenses relating to operating as a public company, including professional fees, insurance and commercial related costs, as well as other operating expenses.</w:t>
      </w:r>
    </w:p>
    <w:p>
      <w:pPr>
        <w:spacing w:after="0" w:line="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expect commercial costs to increase as we continue to develop our commercial operations, prepare for a potential launch and, in the event of successful regulatory approval, incur sales force, marketing and other launch related costs. As we develop our knowledge of the market and refine our commercialization plans, expected costs may vary significantly from our current expectations.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income/(expense)</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income/(expense) are driven by interest income and expense, the fair value movement of the warrant liability until they expired on May 2, 2022, foreign exchange movements on cash and cash equivalents and taxes receivable, and the U.K. research and development tax credits.</w:t>
      </w:r>
    </w:p>
    <w:p>
      <w:pPr>
        <w:spacing w:after="0" w:line="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participate in the U.K. Small and Medium Enterprises research and development tax relief program. The tax credits are calculated as a percentage of qualifying research and development expenditure and are payable in cash by the U.K. government to us. Credits recorded in the 2021 financial year are expected to be received in the fourth quarter of 2022.</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subject to corporate taxation in the United States and the United Kingdom. We have generated losses since inception and have therefore not paid United Kingdom corporation tax. The income taxes presented in our consolidated statements of operations and comprehensive loss represents the tax impact from our operating activities in the United States, which generates taxable income based on intercompany service arrangements.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 losses may be carried forward indefinitely to be offset against future taxable profits, subject to various utilization criteria and restrictions.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that can be offset each year is limited to £5.0 million plus an incremental 50% of U.K. taxable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September 30, 2022 and 2021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statements of operations for the three months ended September 30, 2022 and 2021,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8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68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23"/>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0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(12,722)</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(18,315)</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(loss)/profit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(21,685)</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movement on warrants</w:t>
            </w:r>
          </w:p>
        </w:tc>
        <w:tc>
          <w:tcPr>
            <w:tcW w:w="2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 loss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(expense)/income, net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(5,076)</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(Loss)/profit before income taxes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(26,761)</w:t>
            </w:r>
          </w:p>
        </w:tc>
      </w:tr>
      <w:tr>
        <w:trPr>
          <w:trHeight w:val="230"/>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(loss)/profit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Revenue of $40.0 million for the three months ended September 30, 2021 is related to upfront consideration received under the Nuance Agreement. There was no revenue for the three months ended September 30, 2022.</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Research and development costs were $9.8 million for the three months ended September 30, 2022, compared to $22.6 million for the three months ended September 30, 2021, a decrease of $12.8 million. This decrease was primarily due to a $12.5 million decrease in clinical trial and other development costs, as we progressed to later stages of our Phase 3 ENHANCE program and a $0.6 million decrease in share-based compensation.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Selling, general and administrative costs were $5.3 million for the three months ended September 30, 2022, compared to $10.9 million for the three months ended September 30, 2021, a decrease of $5.6 million, primarily due to a $4.0 million broker fee relating to the Nuance Agreement in 2021 and a $1.6 million decrease in share-based compensation.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(expense)/income</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research and development tax credit for the three months ended September 30, 2022 was $2.1 million compared to $4.7 million for the three months ended September 30, 2021, a decrease of $2.6 million. This decrease was primarily due to a reduction in clinical trial and other development costs, as we progressed to later stages of our Phase 3 ENHANCE program.</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Foreign exchange loss for the three months ended September 30, 2022 was $3.2 million compared to $0.1 million for the three months ended September 30, 2021, an increase of $3.1 million. This loss was primarily due to a fall in the value of the British pound against the U.S. dollar affecting pound sterling bank balances and the R&amp;D tax credit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0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Net loss was $15.6 million for the three months ended September 30, 2022, compared to a net profit of $11.1 million for the three months ended September 30, 2021, because of the factors outlined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nine months ended September 30, 2022 and 2021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statements of operations for the nine months ended September 30, 2022 and 2021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8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68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23"/>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0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56,697</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(14,252)</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(9,894)</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84,847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(24,146)</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(15,854)</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movement on warrants</w:t>
            </w:r>
          </w:p>
        </w:tc>
        <w:tc>
          <w:tcPr>
            <w:tcW w:w="2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 (loss)/gain</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(10,096)</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(25,950)</w:t>
            </w:r>
          </w:p>
        </w:tc>
      </w:tr>
      <w:tr>
        <w:trPr>
          <w:trHeight w:val="229"/>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(25,943)</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Revenue of $40.0 million for the nine months ended September 30, 2021 is related to upfront consideration received under the Nuance Agreement. There was no revenue for the nine months ended September 30, 2022.</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1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Research and development costs were $42.4 million for the nine months ended September 30, 2022, compared to $56.7 million for the nine months ended September 30, 2021, a decrease of $14.3 million. This decrease was primarily due to a $11.1 million decrease in clinical trial and other development costs and a $4.3 million decrease in share-based compensation charges partially offset by a $1.1 million increase in consultant costs mainly relating to an increase in clinical trial site audit and NDA filing preparation costs.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1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Selling, general and administrative costs were $18.3 million for the nine months ended September 30, 2022 compared to $28.2 million for the nine months ended September 30, 2021, a decrease of $9.9 million. This decrease was driven primarily by a $7.3 million decrease in share-based compensation charges and a $2.0 million decrease due to a $4.0 million broker fee relating to the Nuance Agreement in 2021 offset by a $2.0 million charge related to the modification of the Ligand Agreement in 2022.</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income/(expense)</w:t>
      </w:r>
    </w:p>
    <w:p>
      <w:pPr>
        <w:spacing w:after="0" w:line="9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research and development tax credit for the nine months ended September 30, 2022 was $8.8 million compared to $10.7 million for the nine months ended September 30, 2021, a decrease of $1.9 million. This decrease is attributable to lower qualifying research and development expenditures in the nine months ended September 30, 2022, compared to the comparative 2021 period.</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recorded no income in the nine months ended September 30, 2022, compared to an income of $2.2 million in the comparative period relating to the fair value movements of the warrants. In the nine months ended September 30, 2021, there was a reduction in liability due to a decrease in the share price in that period and reduced volatility.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Foreign exchange loss for the nine months ended September 30, 2022 was $6.8 million compared to a gain of $0.1 million gain for the nine months ended September 30, 2021, an increase of $6.9 million. This loss was primarily due to a fall in the value of the British pound against the U.S. dollar affecting pound sterling bank balances and the R&amp;D tax credit receivable.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loss was $58.3 million for the nine months ended September 30, 2022, compared to $32.3 million for the nine months ended September 30, 2021, because of the factors outlined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2022 and 2021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8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8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the period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(39,606)</w:t>
            </w:r>
          </w:p>
        </w:tc>
        <w:tc>
          <w:tcPr>
            <w:tcW w:w="0" w:type="dxa"/>
            <w:vAlign w:val="bottom"/>
          </w:tcPr>
          <w:p>
            <w:pPr>
              <w:spacing w:after="0"/>
              <w:rPr>
                <w:sz w:val="1"/>
                <w:szCs w:val="1"/>
                <w:color w:val="auto"/>
              </w:rPr>
            </w:pP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(36,193)</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143,420</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period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231,701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166,547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65,154</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Net cash used in operating activities was $52.1 million in the nine months ended September 30, 2022, compared to $15.9 million during the nine months ended September 30, 2021, an increase of $36.2 million. In 2021, as part of the Nuance Agreement, we received $25.0 million cash. In 2022, clinical trial and other development costs decreased as we progressed to later stages of our Phase 3 ENHANCE program.</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cash provided by financing activities was $138.2 million in the nine months ended September 30, 2022, compared to $5.2 million net cash used in the nine months ended September 30, 2021. This increase in net cash received is driven primarily by the net proceeds from the August 2022 follow-on equity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do not currently have any approved products and have never generated any revenue from product sales. To date, we have financed our operations primarily through the issuances of our equity securities, including warrants, from borrowings under term loan facilities and from upfront payments from the Nuance Agreement. See “Significant Agreements” and “Indebtedness” for additional information.</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incurred recurring losses since inception, including net losses of $58.3 million for the nine months ended September 30, 2022, and $55.6 million for the year ended December 31, 2021. As of September 30, 2022, we had an accumulated deficit of $322.4 million. We expect to continue to generate operating losses for the foreseeable future.</w:t>
      </w:r>
    </w:p>
    <w:p>
      <w:pPr>
        <w:spacing w:after="0" w:line="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no ongoing material financing commitments, such as lines of credit or guarantees, that are expected to affect our liquidity over the next five years, other than leases and the Term Loan with Oxford. See “Indebtedness” for details on the Term Loan.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August 2022 follow-on equity offering</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August 15, 2022, we completed an upsized public offering of 14,260,000 ADSs, each representing eight of our ordinary shares, nominal value £0.05 per share, at a price to the public of $10.50 per ADS, which includes the exercise in full by the underwriters of their option to purchase an additional 1,860,000 ADSs. The aggregate net proceeds from the offering were approximately $140.1 million after deducting underwriting discounts and offering expenses.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 market sale agreement</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March 2021, we entered into an open market sale agreement with Jefferies LLC (“Jefferies”) to sell shares of our ordinary shares, in the form of ADSs, with aggregate gross sales proceeds of up to $100.0 million, from time to time, through an “at the market” equity offering program under which Jefferies will act as sales agent (the “ATM Program”).</w:t>
      </w:r>
    </w:p>
    <w:p>
      <w:pPr>
        <w:spacing w:after="0" w:line="5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During the nine months ended September 30, 2022, we sold 80,696 ordinary shares (equivalent to 10,087 ADSs) under the ATM Program, at an average price of approximately $0.86 per share (equivalent to $6.86 per ADS), raising aggregate net proceeds of approximately $0.1 million after deducting issuance costs. As of September 30, 2022, $99.2 million of ordinary shares, in the form of ADSs, remained available for sale under the ATM Program.</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2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November 2020, we and Verona Pharma, Inc. entered into a term loan facility of up to $30.0 million with Silicon Valley Bank, which we refer to as the Term Loan, consisting of term loan advances in an aggregate amount of $5.0 million funded at closing, a term loan advance of an aggregate amount of $10.0 million available subject to certain terms and conditions and the achievement of a specific clinical milestone, and a term loan advance of an aggregate amount of $15.0 million contingent upon achievement of a specific clinical development milestone and other specified conditions. As of September 30, 2022, we had $5.0 million principal outstanding under the Term Loan. Additional detail surrounding the Term Loan is included under the caption “Management’s Discussion and Analysis of Financial Condition and Results of Operations” in our 2021 Form 10-K. There have been no material changes to that information disclosed in our 2021 Form 10-K during the nine months ended September 30, 2022.</w:t>
      </w:r>
    </w:p>
    <w:p>
      <w:pPr>
        <w:spacing w:after="0" w:line="17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Subsequent to the quarter end, on October 14, 2022 (the “Effective Date”), we and Verona Pharma, Inc. (“Verona U.S.” and together with us, the “Borrowers”) entered into the Debt Facility with Oxford Finance Luxembourg S.À R.L. (“Oxford”) for an aggregate amount of up to $150.0 million (the “Oxford Term Loan”). The Oxford Term Loan provides for an initial term loan advance in an aggregate amount of $10.0 million to be funded on the Effective Date (the “Oxford Term A Loan”), and up to four additional term loan advances in an aggregate amount of $140.0 million, which are available as described below and subject to terms of the loan and security agreement (“Loan Agreement”). The proceeds from the Oxford Term Loan will be used for general corporate and working capital purposes, and a portion of the proceeds of the Oxford Term A Loan are being used to repay in full the existing outstanding indebtedness owed to SVB as discussed in Note 5 – Term Loan. The Oxford Term Loan has a maturity date of October 1, 2027.</w:t>
      </w:r>
    </w:p>
    <w:p>
      <w:pPr>
        <w:spacing w:after="0" w:line="80"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The four additional term loan advances under the Oxford Term Loan consists of a $10.0 million term loan advance (the “Oxford Term B Loan”) which is available at the option of Company from the Effective Date up to and including March 31, 2023; a $20.0 million term loan advance (the “Oxford Term C Loan”) available during the period commencing on the later of January 1, 2024 and the date on which we receive positive ENHANCE-1 data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Phase 3 clinical trial for ensifentrine sufficient to support the submission of a New Drug Application (“NDA”) with the United States Food and Drug Administration (the “FDA”) for ensifentrine through and including March 29, 2024; a $60.0 million term loan advance (the “Oxford Term D Loan”) available during the period commencing on the later of October 1, 2024 and the date on which we receive final approval from the FDA for our NDA for ensifentrine up to and including December 31, 2024; and a $50.0 million term loan advance (the “Oxford Term E Loan”) available during the interest-only period at our request and at Oxford’s sole discretion.</w:t>
      </w:r>
    </w:p>
    <w:p>
      <w:pPr>
        <w:spacing w:after="0" w:line="6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Each advance under the Oxford Term Loan accrues interest at a floating per annum rate equal to (a) the greater of (i) the 1-Month CME Term SOFR reference rate on the last business day of the month that immediately precedes the month in which the interest will accrue and (ii) 2.38%, plus (b) 5.50% (the “Basic Rate”). In no event shall the Basic Rate (x) for the Term A Loan be less than 7.88% and (y) for each other term loan be less than the Basic Rate on the business day immediately prior to the funding date of such term loan. The Basic Rate for the Term A Loan for the period from the Effective Date through and including October 31, 2022 shall be 8.54205% and the Basic Rate for each Term Loan shall not increase by more than 2.00% above the applicable Basic Rate as of the funding date of each such term loan. The Oxford Term Loan provides for interest-only payments on a monthly basis until the payment date immediately preceding December 1, 2025, if the Term D Loan is not made, and December 1, 2026, if the Term D Loan is made. Thereafter, amortization payments will be payable monthly in equal installments of principal plus accrued interest.</w:t>
      </w:r>
    </w:p>
    <w:p>
      <w:pPr>
        <w:spacing w:after="0" w:line="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Upon repayment, whether at maturity, upon acceleration or by prepayment or otherwise, we shall make a final payment to the lenders in an amount ranging from 1.30% to 3.00% of the aggregate principal balance, depending on the advances received under the Oxford Term Loan. We may prepay the Oxford Term Loan in full, or in part, in accordance with the terms of the Loan Agreement, which is subject to a prepayment fee of up to 2.00%, depending on the timing of the prepayment.</w:t>
      </w:r>
    </w:p>
    <w:p>
      <w:pPr>
        <w:spacing w:after="0" w:line="6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Oxford Term Loan is secured by a lien on substantially all our assets, other than intellectual property, but including any rights to payments and proceeds from the sale, licensing or disposition of intellectual property. We have also granted Oxford a negative pledge with respect to our intellectual property. The Loan Agreement contains customary covenants and representations, including but not limited to financial reporting obligations and limitations on dividends, dispositions, indebtedness, collateral, investments, distributions, transfers, mergers or acquisitions, taxes, corporate changes, deposit accounts, transactions with affiliates and subsidiaries. The Loan Agreement also contains other customary provisions, such as expense reimbursement, non- disclosure obligations as well as indemnification rights for the benefit of Oxford.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believe that our cash and cash equivalents as of September 30, 2022, together with, expected cash receipts from U.K. tax credits and additional funding expected to become available under the Oxford Term Loan, will enable us to fund our planned operating expenses and capital expenditure requirements through at least the end of 2025, including the planned commercial launch of nebulized ensifentrine for COPD maintenance treatment in the U.S. Future advances under the Oxford Term Loan are contingent upon achievement of certain clinical and regulatory milestones and other specified conditions.</w:t>
      </w:r>
    </w:p>
    <w:p>
      <w:pPr>
        <w:spacing w:after="0" w:line="1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may require additional capital to commercialize ensifentrine, to continue the clinical development of our DPI and pMDI formulations of ensifentrine and to research and develop additional formulations of or with ensifentrine. In addition, we may seek to initiate or conduct preclinical or clinical studies with ensifentrine in additional indications or to discover or in-license and develop additional product candidates. We may need to seek additional funding through public or private financings, debt financing, collaboration or licensing agreements and other arrangements. However, there is no guarantee that we will be successful in securing additional capital on acceptable terms, or at all.</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the ownership interest of our shareholders and ADS holders will be diluted, and the terms of these securities may include liquidation or other preferences that adversely affect such holders’ rights as a shareholder or ADS holder. 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our security holders’ ownership interests.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we may have to relinquish valuable rights to our technologies, future revenue streams, research programs or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for ensifentrine or any future product candidates will depend on many factors, including:</w:t>
      </w:r>
    </w:p>
    <w:p>
      <w:pPr>
        <w:spacing w:after="0" w:line="104" w:lineRule="exact"/>
        <w:rPr>
          <w:sz w:val="20"/>
          <w:szCs w:val="20"/>
          <w:color w:val="auto"/>
        </w:rPr>
      </w:pPr>
    </w:p>
    <w:p>
      <w:pPr>
        <w:ind w:left="340" w:hanging="332"/>
        <w:spacing w:after="0" w:line="250"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completion of pre-clinical testing and clinical trials for ensifentrine or any future product candidates and the potential that we may be required to conduct additional clinical trials for ensifentrine;</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potential new product candidates we decide to in-license and develop;</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our organization to the size needed to allow for the research, development and potential commercialization of ensifentrine or any future product candidates;</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patent applications and maintaining and enforcing patents or defending against claims or infringements raised by third parties;</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 for ensifentrine or any future product candidate we develop and any delays we may encounter as a result of evolving regulatory requirements or adverse results with respect to ensifentrine or any future product candidates;</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licensing or milestone fees we might have to pay during future development of ensifentrine or any future product candidates;</w:t>
      </w:r>
    </w:p>
    <w:p>
      <w:pPr>
        <w:spacing w:after="0" w:line="9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activities undertaken in connection with the anticipated commercialization of ensifentrine or any future product candidates, if approved, and costs involved in the creation of an effective sales and marketing organization; and</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if any, we may derive either directly or in the form of royalty payments from future sales of ensifentrine or any future product candidates, if approved.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commercial revenue, if any, will be derived from sales of products that we do not expect to be commercially available for several years, if ever.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may need to obtain substantial additional funds to achieve our business objectives.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For a discussion of pending and recently adopted accounting pronouncements, see Note 2 to our consolidated financial statements included in the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Exchange Act and are not required to provide the information otherwise required under this Item 3.</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94"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September 30, 2022, our disclosure controls and procedures were effective at the reasonable assurance level.</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quarter ended September 30,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20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the trading price of our securities. Except as disclosed below, our risk factors have not changed materially from those described in Part I, Item 1A of the 2021 Form 10-K under the heading “Risk Factors”.</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our credit facility place restrictions on our operating and financial flexibility, and our existing and any future indebtedness could adversely affect our ability to operate our business.</w:t>
      </w:r>
    </w:p>
    <w:p>
      <w:pPr>
        <w:spacing w:after="0" w:line="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October 2022, we and Verona Pharma, Inc. (“Verona U.S.”) entered into a loan and security agreement (the “Loan Agreement”), with Oxford Finance Luxembourg S.À R.L. (“Oxford”), pursuant to which a term loan facility in an aggregate amount of up to $150.0 million (the “Term Loan”) is available to us in five tranches. We received the first tranche of $10.0 million (the “Term A Loan”) at closing. Each advance under the Term Loan accrues interest at a floating per annum rate equal to (a) the greater of (i) the 1-Month CME Term SOFR reference rate on the last business day of the month that immediately precedes the month in which the interest will accrue and (ii) 2.38%, plus (b) 5.50% (the “Basic Rate”); provided, however, that in no event shall the Basic Rate (x) for the Term A Loan be less than 7.88% and (y) for each other advance be less than the Basic Rate on the business day immediately prior to the funding date of such advance.</w:t>
      </w:r>
    </w:p>
    <w:p>
      <w:pPr>
        <w:spacing w:after="0" w:line="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outstanding indebtedness, including any additional indebtedness beyond our borrowings from Oxford, combined with our other financial obligations and contractual commitments could have significant adverse consequences, including:</w:t>
      </w:r>
    </w:p>
    <w:p>
      <w:pPr>
        <w:spacing w:after="0" w:line="41" w:lineRule="exact"/>
        <w:rPr>
          <w:sz w:val="20"/>
          <w:szCs w:val="20"/>
          <w:color w:val="auto"/>
        </w:rPr>
      </w:pPr>
    </w:p>
    <w:p>
      <w:pPr>
        <w:ind w:left="340" w:hanging="332"/>
        <w:spacing w:after="0" w:line="266"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portion of our cash resources to the payment of interest and principal, reducing money available to fund working capital, capital expenditures, product candidate development and other general corporate purposes;</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changes in general economic, industry and market conditions;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restrictive covenants that may reduce our ability to take certain corporate actions or obtain further debt or equity financing;</w:t>
      </w:r>
    </w:p>
    <w:p>
      <w:pPr>
        <w:spacing w:after="0" w:line="104" w:lineRule="exact"/>
        <w:rPr>
          <w:sz w:val="20"/>
          <w:szCs w:val="20"/>
          <w:color w:val="auto"/>
        </w:rPr>
      </w:pPr>
    </w:p>
    <w:p>
      <w:pPr>
        <w:spacing w:after="0"/>
        <w:tabs>
          <w:tab w:leader="none" w:pos="300" w:val="left"/>
          <w:tab w:leader="none" w:pos="8220" w:val="left"/>
        </w:tabs>
        <w:rPr>
          <w:sz w:val="20"/>
          <w:szCs w:val="20"/>
          <w:color w:val="auto"/>
        </w:rPr>
      </w:pPr>
      <w:r>
        <w:rPr>
          <w:rFonts w:ascii="Times New Roman" w:cs="Times New Roman" w:eastAsia="Times New Roman" w:hAnsi="Times New Roman"/>
          <w:sz w:val="18"/>
          <w:szCs w:val="18"/>
          <w:color w:val="auto"/>
        </w:rPr>
        <w:t>•</w:t>
        <w:tab/>
        <w:t>limiting our flexibility in planning for, or reacting to, changes in our business and the industry in which we</w:t>
      </w:r>
      <w:r>
        <w:rPr>
          <w:sz w:val="20"/>
          <w:szCs w:val="20"/>
          <w:color w:val="auto"/>
        </w:rPr>
        <w:tab/>
      </w:r>
      <w:r>
        <w:rPr>
          <w:rFonts w:ascii="Times New Roman" w:cs="Times New Roman" w:eastAsia="Times New Roman" w:hAnsi="Times New Roman"/>
          <w:sz w:val="17"/>
          <w:szCs w:val="17"/>
          <w:color w:val="auto"/>
        </w:rPr>
        <w:t>compete; and</w:t>
      </w:r>
    </w:p>
    <w:p>
      <w:pPr>
        <w:spacing w:after="0" w:line="104"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or better debt servicing options.</w:t>
      </w:r>
    </w:p>
    <w:p>
      <w:pPr>
        <w:spacing w:after="0" w:line="9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intend to satisfy our current and future debt service obligations with our then existing cash and cash equivalents. However, we may not have sufficient funds, and may be unable to arrange for additional financing, to pay the amounts due under the Loan Agreement or any other debt instruments. Failure to make payments or comply with other covenants under the Loan Agreement or such other debt instruments could result in an event of default and acceleration of amounts due. For example, the affirmative covenants under our Loan Agreement include, among others, covenants requiring us (and us to cause our subsidiaries) to maintain our legal existence and governmental approvals, deliver certain financial reports and notifications, maintain proper books of record and account, timely file and pay tax returns, and maintain inventory and insurance coverage. Under the Loan Agreement, the occurrence of a material adverse change in our business, operations, or condition is an event of default. If an event of default occurs and Oxford accelerates the amounts due, we may not be able to make accelerated payments and Oxford could seek to enforce security interests in the collateral securing such indebtedness, which could potentially require us to renegotiate our agreement on terms less favorable to us or to immediately cease operations. Further, if we are liquidated, the lenders’ right to repayment would be senior to the rights of holders of our American Depositary Shares (“ADS”) or of our shareholders to receive any proceeds from the liquidation. Any declaration by Oxford of an event of default could significantly harm our business and prospects and could cause the price of our ADSs to decline. In addition, the covenants under the Loan Agreement, the pledge of our assets as collateral and the negative pledge with respect to our intellectual property could limit our ability to obtain additional debt financing. If we raise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additional debt financing, the terms of such additional debt could further restrict our operating and financial flexibility.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5" w:name="page36"/>
    <w:bookmarkEnd w:id="35"/>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0"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Incorporated by Reference to Filings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5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w:t>
            </w:r>
          </w:p>
        </w:tc>
        <w:tc>
          <w:tcPr>
            <w:tcW w:w="4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Exhibit Description</w:t>
            </w:r>
          </w:p>
        </w:tc>
        <w:tc>
          <w:tcPr>
            <w:tcW w:w="0" w:type="dxa"/>
            <w:vAlign w:val="bottom"/>
          </w:tcPr>
          <w:p>
            <w:pPr>
              <w:spacing w:after="0"/>
              <w:rPr>
                <w:sz w:val="1"/>
                <w:szCs w:val="1"/>
                <w:color w:val="auto"/>
              </w:rPr>
            </w:pPr>
          </w:p>
        </w:tc>
      </w:tr>
      <w:tr>
        <w:trPr>
          <w:trHeight w:val="297"/>
        </w:trPr>
        <w:tc>
          <w:tcPr>
            <w:tcW w:w="240" w:type="dxa"/>
            <w:vAlign w:val="bottom"/>
          </w:tcPr>
          <w:p>
            <w:pPr>
              <w:spacing w:after="0"/>
              <w:rPr>
                <w:rFonts w:ascii="Times New Roman" w:cs="Times New Roman" w:eastAsia="Times New Roman" w:hAnsi="Times New Roman"/>
                <w:sz w:val="18"/>
                <w:szCs w:val="18"/>
                <w:color w:val="0000FF"/>
                <w:w w:val="97"/>
              </w:rPr>
            </w:pPr>
            <w:hyperlink r:id="rId43">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80" w:type="dxa"/>
            <w:vAlign w:val="bottom"/>
            <w:gridSpan w:val="10"/>
          </w:tcPr>
          <w:p>
            <w:pPr>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Articles of Association, as amended and as currently in effect</w:t>
              </w:r>
            </w:hyperlink>
          </w:p>
        </w:tc>
        <w:tc>
          <w:tcPr>
            <w:tcW w:w="0" w:type="dxa"/>
            <w:vAlign w:val="bottom"/>
          </w:tcPr>
          <w:p>
            <w:pPr>
              <w:spacing w:after="0"/>
              <w:rPr>
                <w:sz w:val="1"/>
                <w:szCs w:val="1"/>
                <w:color w:val="auto"/>
              </w:rPr>
            </w:pPr>
          </w:p>
        </w:tc>
      </w:tr>
      <w:tr>
        <w:trPr>
          <w:trHeight w:val="426"/>
        </w:trPr>
        <w:tc>
          <w:tcPr>
            <w:tcW w:w="2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20" w:type="dxa"/>
            <w:vAlign w:val="bottom"/>
            <w:tcBorders>
              <w:top w:val="single" w:sz="8" w:color="0000FF"/>
            </w:tcBorders>
            <w:gridSpan w:val="9"/>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Loan and Security Agreement, dated as of October 14, 2022,</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20" w:type="dxa"/>
            <w:vAlign w:val="bottom"/>
            <w:gridSpan w:val="2"/>
            <w:vMerge w:val="restart"/>
          </w:tcPr>
          <w:p>
            <w:pPr>
              <w:spacing w:after="0"/>
              <w:rPr>
                <w:rFonts w:ascii="Times New Roman" w:cs="Times New Roman" w:eastAsia="Times New Roman" w:hAnsi="Times New Roman"/>
                <w:sz w:val="18"/>
                <w:szCs w:val="18"/>
                <w:color w:val="0000FF"/>
                <w:w w:val="95"/>
              </w:rPr>
            </w:pPr>
            <w:hyperlink r:id="rId44">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780" w:type="dxa"/>
            <w:vAlign w:val="bottom"/>
          </w:tcPr>
          <w:p>
            <w:pPr>
              <w:spacing w:after="0"/>
              <w:rPr>
                <w:sz w:val="13"/>
                <w:szCs w:val="13"/>
                <w:color w:val="auto"/>
              </w:rPr>
            </w:pPr>
          </w:p>
        </w:tc>
        <w:tc>
          <w:tcPr>
            <w:tcW w:w="438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by and among Verona Pharma plc, Verona Pharma, Inc.,</w:t>
              </w:r>
            </w:hyperlink>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0" w:type="dxa"/>
            <w:vAlign w:val="bottom"/>
            <w:tcBorders>
              <w:bottom w:val="single" w:sz="8" w:color="0000FF"/>
            </w:tcBorders>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278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Oxford Finance Luxembourg S.À R.L.</w:t>
              </w:r>
            </w:hyperlink>
          </w:p>
        </w:tc>
        <w:tc>
          <w:tcPr>
            <w:tcW w:w="10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419"/>
        </w:trPr>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780" w:type="dxa"/>
            <w:vAlign w:val="bottom"/>
          </w:tcPr>
          <w:p>
            <w:pPr>
              <w:spacing w:after="0"/>
              <w:rPr>
                <w:sz w:val="24"/>
                <w:szCs w:val="24"/>
                <w:color w:val="auto"/>
              </w:rPr>
            </w:pPr>
          </w:p>
        </w:tc>
        <w:tc>
          <w:tcPr>
            <w:tcW w:w="44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Executive</w:t>
            </w:r>
          </w:p>
        </w:tc>
        <w:tc>
          <w:tcPr>
            <w:tcW w:w="0" w:type="dxa"/>
            <w:vAlign w:val="bottom"/>
          </w:tcPr>
          <w:p>
            <w:pPr>
              <w:spacing w:after="0"/>
              <w:rPr>
                <w:sz w:val="1"/>
                <w:szCs w:val="1"/>
                <w:color w:val="auto"/>
              </w:rPr>
            </w:pPr>
          </w:p>
        </w:tc>
      </w:tr>
      <w:tr>
        <w:trPr>
          <w:trHeight w:val="175"/>
        </w:trPr>
        <w:tc>
          <w:tcPr>
            <w:tcW w:w="320" w:type="dxa"/>
            <w:vAlign w:val="bottom"/>
            <w:tcBorders>
              <w:bottom w:val="single" w:sz="8" w:color="0000FF"/>
            </w:tcBorders>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Officer</w:t>
            </w:r>
          </w:p>
        </w:tc>
        <w:tc>
          <w:tcPr>
            <w:tcW w:w="3680" w:type="dxa"/>
            <w:vAlign w:val="bottom"/>
            <w:tcBorders>
              <w:top w:val="single" w:sz="8" w:color="0000FF"/>
            </w:tcBorders>
            <w:gridSpan w:val="6"/>
          </w:tcPr>
          <w:p>
            <w:pPr>
              <w:spacing w:after="0"/>
              <w:rPr>
                <w:sz w:val="15"/>
                <w:szCs w:val="15"/>
                <w:color w:val="auto"/>
              </w:rPr>
            </w:pPr>
          </w:p>
        </w:tc>
        <w:tc>
          <w:tcPr>
            <w:tcW w:w="2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419"/>
        </w:trPr>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780" w:type="dxa"/>
            <w:vAlign w:val="bottom"/>
          </w:tcPr>
          <w:p>
            <w:pPr>
              <w:spacing w:after="0"/>
              <w:rPr>
                <w:sz w:val="24"/>
                <w:szCs w:val="24"/>
                <w:color w:val="auto"/>
              </w:rPr>
            </w:pPr>
          </w:p>
        </w:tc>
        <w:tc>
          <w:tcPr>
            <w:tcW w:w="44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Financial</w:t>
            </w:r>
          </w:p>
        </w:tc>
        <w:tc>
          <w:tcPr>
            <w:tcW w:w="0" w:type="dxa"/>
            <w:vAlign w:val="bottom"/>
          </w:tcPr>
          <w:p>
            <w:pPr>
              <w:spacing w:after="0"/>
              <w:rPr>
                <w:sz w:val="1"/>
                <w:szCs w:val="1"/>
                <w:color w:val="auto"/>
              </w:rPr>
            </w:pPr>
          </w:p>
        </w:tc>
      </w:tr>
      <w:tr>
        <w:trPr>
          <w:trHeight w:val="163"/>
        </w:trPr>
        <w:tc>
          <w:tcPr>
            <w:tcW w:w="320" w:type="dxa"/>
            <w:vAlign w:val="bottom"/>
            <w:tcBorders>
              <w:bottom w:val="single" w:sz="8" w:color="0000FF"/>
            </w:tcBorders>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382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Officer</w:t>
            </w:r>
          </w:p>
        </w:tc>
        <w:tc>
          <w:tcPr>
            <w:tcW w:w="340" w:type="dxa"/>
            <w:vAlign w:val="bottom"/>
            <w:tcBorders>
              <w:top w:val="single" w:sz="8" w:color="0000FF"/>
            </w:tcBorders>
            <w:gridSpan w:val="3"/>
          </w:tcPr>
          <w:p>
            <w:pPr>
              <w:spacing w:after="0"/>
              <w:rPr>
                <w:sz w:val="14"/>
                <w:szCs w:val="14"/>
                <w:color w:val="auto"/>
              </w:rPr>
            </w:pPr>
          </w:p>
        </w:tc>
        <w:tc>
          <w:tcPr>
            <w:tcW w:w="3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780" w:type="dxa"/>
            <w:vAlign w:val="bottom"/>
          </w:tcPr>
          <w:p>
            <w:pPr>
              <w:spacing w:after="0"/>
              <w:rPr>
                <w:sz w:val="24"/>
                <w:szCs w:val="24"/>
                <w:color w:val="auto"/>
              </w:rPr>
            </w:pPr>
          </w:p>
        </w:tc>
        <w:tc>
          <w:tcPr>
            <w:tcW w:w="44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Section 1350 Certification of Chief Executive Officer</w:t>
            </w:r>
          </w:p>
        </w:tc>
        <w:tc>
          <w:tcPr>
            <w:tcW w:w="0" w:type="dxa"/>
            <w:vAlign w:val="bottom"/>
          </w:tcPr>
          <w:p>
            <w:pPr>
              <w:spacing w:after="0"/>
              <w:rPr>
                <w:sz w:val="1"/>
                <w:szCs w:val="1"/>
                <w:color w:val="auto"/>
              </w:rPr>
            </w:pPr>
          </w:p>
        </w:tc>
      </w:tr>
      <w:tr>
        <w:trPr>
          <w:trHeight w:val="426"/>
        </w:trPr>
        <w:tc>
          <w:tcPr>
            <w:tcW w:w="3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780" w:type="dxa"/>
            <w:vAlign w:val="bottom"/>
          </w:tcPr>
          <w:p>
            <w:pPr>
              <w:spacing w:after="0"/>
              <w:rPr>
                <w:sz w:val="24"/>
                <w:szCs w:val="24"/>
                <w:color w:val="auto"/>
              </w:rPr>
            </w:pPr>
          </w:p>
        </w:tc>
        <w:tc>
          <w:tcPr>
            <w:tcW w:w="38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Chief Financial Officer</w:t>
            </w:r>
          </w:p>
        </w:tc>
        <w:tc>
          <w:tcPr>
            <w:tcW w:w="40" w:type="dxa"/>
            <w:vAlign w:val="bottom"/>
            <w:tcBorders>
              <w:top w:val="single" w:sz="8" w:color="0000FF"/>
            </w:tcBorders>
          </w:tcPr>
          <w:p>
            <w:pPr>
              <w:spacing w:after="0"/>
              <w:rPr>
                <w:sz w:val="24"/>
                <w:szCs w:val="24"/>
                <w:color w:val="auto"/>
              </w:rPr>
            </w:pPr>
          </w:p>
        </w:tc>
        <w:tc>
          <w:tcPr>
            <w:tcW w:w="6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4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29"/>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4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8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238"/>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4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229"/>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4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Inline XBRL Taxonomy Extension Label Linkbase Document</w:t>
            </w: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8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38"/>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4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8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243"/>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4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bl>
    <w:p>
      <w:pPr>
        <w:ind w:left="1120"/>
        <w:spacing w:after="0" w:line="221" w:lineRule="auto"/>
        <w:rPr>
          <w:sz w:val="20"/>
          <w:szCs w:val="20"/>
          <w:color w:val="auto"/>
        </w:rPr>
      </w:pPr>
      <w:r>
        <w:rPr>
          <w:rFonts w:ascii="Times New Roman" w:cs="Times New Roman" w:eastAsia="Times New Roman" w:hAnsi="Times New Roman"/>
          <w:sz w:val="18"/>
          <w:szCs w:val="18"/>
          <w:color w:val="auto"/>
        </w:rPr>
        <w:t>Cover Page Interactive Data File (formatted as Inline XBRL</w:t>
      </w:r>
    </w:p>
    <w:p>
      <w:pPr>
        <w:ind w:right="2460" w:firstLine="26"/>
        <w:spacing w:after="0" w:line="403" w:lineRule="auto"/>
        <w:tabs>
          <w:tab w:leader="none" w:pos="111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contained in Exhibit 101) * Filed herewith.</w:t>
      </w:r>
    </w:p>
    <w:p>
      <w:pPr>
        <w:ind w:left="360" w:hanging="352"/>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tabs>
          <w:tab w:leader="none" w:pos="1220" w:val="left"/>
          <w:tab w:leader="none" w:pos="3220" w:val="left"/>
        </w:tabs>
        <w:rPr>
          <w:sz w:val="20"/>
          <w:szCs w:val="20"/>
          <w:color w:val="auto"/>
        </w:rPr>
      </w:pPr>
      <w:r>
        <w:rPr>
          <w:rFonts w:ascii="Times New Roman" w:cs="Times New Roman" w:eastAsia="Times New Roman" w:hAnsi="Times New Roman"/>
          <w:sz w:val="18"/>
          <w:szCs w:val="18"/>
          <w:color w:val="auto"/>
        </w:rPr>
        <w:t>Form</w:t>
      </w:r>
      <w:r>
        <w:rPr>
          <w:sz w:val="20"/>
          <w:szCs w:val="20"/>
          <w:color w:val="auto"/>
        </w:rPr>
        <w:tab/>
      </w:r>
      <w:r>
        <w:rPr>
          <w:rFonts w:ascii="Times New Roman" w:cs="Times New Roman" w:eastAsia="Times New Roman" w:hAnsi="Times New Roman"/>
          <w:sz w:val="18"/>
          <w:szCs w:val="18"/>
          <w:color w:val="auto"/>
        </w:rPr>
        <w:t>File No.  Exhibit No.</w:t>
      </w:r>
      <w:r>
        <w:rPr>
          <w:sz w:val="20"/>
          <w:szCs w:val="20"/>
          <w:color w:val="auto"/>
        </w:rPr>
        <w:tab/>
      </w:r>
      <w:r>
        <w:rPr>
          <w:rFonts w:ascii="Times New Roman" w:cs="Times New Roman" w:eastAsia="Times New Roman" w:hAnsi="Times New Roman"/>
          <w:sz w:val="18"/>
          <w:szCs w:val="18"/>
          <w:color w:val="auto"/>
        </w:rPr>
        <w:t>Filing date</w:t>
      </w:r>
    </w:p>
    <w:p>
      <w:pPr>
        <w:spacing w:after="0" w:line="239" w:lineRule="exact"/>
        <w:rPr>
          <w:sz w:val="20"/>
          <w:szCs w:val="20"/>
          <w:color w:val="auto"/>
        </w:rPr>
      </w:pPr>
    </w:p>
    <w:p>
      <w:pPr>
        <w:ind w:left="100"/>
        <w:spacing w:after="0"/>
        <w:tabs>
          <w:tab w:leader="none" w:pos="1020" w:val="left"/>
          <w:tab w:leader="none" w:pos="2680" w:val="left"/>
          <w:tab w:leader="none" w:pos="3180" w:val="left"/>
        </w:tabs>
        <w:rPr>
          <w:sz w:val="20"/>
          <w:szCs w:val="20"/>
          <w:color w:val="auto"/>
        </w:rPr>
      </w:pPr>
      <w:r>
        <w:rPr>
          <w:rFonts w:ascii="Times New Roman" w:cs="Times New Roman" w:eastAsia="Times New Roman" w:hAnsi="Times New Roman"/>
          <w:sz w:val="18"/>
          <w:szCs w:val="18"/>
          <w:color w:val="auto"/>
        </w:rPr>
        <w:t>6-K</w:t>
      </w:r>
      <w:r>
        <w:rPr>
          <w:sz w:val="20"/>
          <w:szCs w:val="20"/>
          <w:color w:val="auto"/>
        </w:rPr>
        <w:tab/>
      </w:r>
      <w:r>
        <w:rPr>
          <w:rFonts w:ascii="Times New Roman" w:cs="Times New Roman" w:eastAsia="Times New Roman" w:hAnsi="Times New Roman"/>
          <w:sz w:val="18"/>
          <w:szCs w:val="18"/>
          <w:color w:val="auto"/>
        </w:rPr>
        <w:t>001-38067</w:t>
      </w:r>
      <w:r>
        <w:rPr>
          <w:sz w:val="20"/>
          <w:szCs w:val="20"/>
          <w:color w:val="auto"/>
        </w:rPr>
        <w:tab/>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12/30/2020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0"/>
        <w:spacing w:after="0"/>
        <w:tabs>
          <w:tab w:leader="none" w:pos="1020" w:val="left"/>
          <w:tab w:leader="none" w:pos="2400" w:val="left"/>
          <w:tab w:leader="none" w:pos="318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001-38067</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10/17/2022</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right"/>
        <w:spacing w:after="0" w:line="263" w:lineRule="auto"/>
        <w:rPr>
          <w:sz w:val="20"/>
          <w:szCs w:val="20"/>
          <w:color w:val="auto"/>
        </w:rPr>
      </w:pPr>
      <w:r>
        <w:rPr>
          <w:rFonts w:ascii="Times New Roman" w:cs="Times New Roman" w:eastAsia="Times New Roman" w:hAnsi="Times New Roman"/>
          <w:sz w:val="17"/>
          <w:szCs w:val="17"/>
          <w:color w:val="auto"/>
        </w:rPr>
        <w:t>Filed/Furnished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3">
            <w:col w:w="5720" w:space="300"/>
            <w:col w:w="4020" w:space="40"/>
            <w:col w:w="1140"/>
          </w:cols>
          <w:pgMar w:left="320" w:top="1440" w:right="359" w:bottom="1440" w:gutter="0" w:footer="0" w:header="0"/>
          <w:type w:val="continuous"/>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5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VERONA PHARMA PLC</w:t>
            </w:r>
          </w:p>
        </w:tc>
        <w:tc>
          <w:tcPr>
            <w:tcW w:w="3020" w:type="dxa"/>
            <w:vAlign w:val="bottom"/>
          </w:tcPr>
          <w:p>
            <w:pPr>
              <w:spacing w:after="0"/>
              <w:rPr>
                <w:sz w:val="20"/>
                <w:szCs w:val="20"/>
                <w:color w:val="auto"/>
              </w:rPr>
            </w:pPr>
          </w:p>
        </w:tc>
      </w:tr>
      <w:tr>
        <w:trPr>
          <w:trHeight w:val="53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9, 2022</w:t>
            </w:r>
          </w:p>
        </w:tc>
        <w:tc>
          <w:tcPr>
            <w:tcW w:w="45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Zaccardelli</w:t>
            </w:r>
          </w:p>
        </w:tc>
      </w:tr>
      <w:tr>
        <w:trPr>
          <w:trHeight w:val="243"/>
        </w:trPr>
        <w:tc>
          <w:tcPr>
            <w:tcW w:w="36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Zaccardelli, Pharm. D.</w:t>
            </w:r>
          </w:p>
        </w:tc>
      </w:tr>
      <w:tr>
        <w:trPr>
          <w:trHeight w:val="257"/>
        </w:trPr>
        <w:tc>
          <w:tcPr>
            <w:tcW w:w="36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911"/>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9, 2022</w:t>
            </w:r>
          </w:p>
        </w:tc>
        <w:tc>
          <w:tcPr>
            <w:tcW w:w="45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W. Hahn</w:t>
            </w:r>
          </w:p>
        </w:tc>
      </w:tr>
      <w:tr>
        <w:trPr>
          <w:trHeight w:val="243"/>
        </w:trPr>
        <w:tc>
          <w:tcPr>
            <w:tcW w:w="36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W. Hahn</w:t>
            </w:r>
          </w:p>
        </w:tc>
      </w:tr>
      <w:tr>
        <w:trPr>
          <w:trHeight w:val="364"/>
        </w:trPr>
        <w:tc>
          <w:tcPr>
            <w:tcW w:w="36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4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Zaccardelli, Pharm.D.,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Verona Pharma plc;</w:t>
      </w:r>
    </w:p>
    <w:p>
      <w:pPr>
        <w:spacing w:after="0" w:line="225" w:lineRule="exact"/>
        <w:rPr>
          <w:rFonts w:ascii="Times New Roman" w:cs="Times New Roman" w:eastAsia="Times New Roman" w:hAnsi="Times New Roman"/>
          <w:sz w:val="18"/>
          <w:szCs w:val="18"/>
          <w:color w:val="auto"/>
        </w:rPr>
      </w:pPr>
    </w:p>
    <w:p>
      <w:pPr>
        <w:ind w:left="340" w:right="460" w:hanging="332"/>
        <w:spacing w:after="0" w:line="266" w:lineRule="auto"/>
        <w:tabs>
          <w:tab w:leader="none" w:pos="1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540" w:hanging="332"/>
        <w:spacing w:after="0" w:line="282" w:lineRule="auto"/>
        <w:tabs>
          <w:tab w:leader="none" w:pos="1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1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00" w:right="200" w:hanging="451"/>
        <w:spacing w:after="0" w:line="266" w:lineRule="auto"/>
        <w:tabs>
          <w:tab w:leader="none" w:pos="839"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00" w:right="460" w:hanging="451"/>
        <w:spacing w:after="0" w:line="266" w:lineRule="auto"/>
        <w:tabs>
          <w:tab w:leader="none" w:pos="849"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right="620" w:hanging="451"/>
        <w:spacing w:after="0" w:line="312" w:lineRule="auto"/>
        <w:tabs>
          <w:tab w:leader="none" w:pos="839" w:val="left"/>
        </w:tabs>
        <w:numPr>
          <w:ilvl w:val="2"/>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00" w:right="180" w:hanging="451"/>
        <w:spacing w:after="0" w:line="266" w:lineRule="auto"/>
        <w:tabs>
          <w:tab w:leader="none" w:pos="849"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320" w:hanging="330"/>
        <w:spacing w:after="0" w:line="282" w:lineRule="auto"/>
        <w:tabs>
          <w:tab w:leader="none" w:pos="35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right="120" w:hanging="451"/>
        <w:spacing w:after="0" w:line="282" w:lineRule="auto"/>
        <w:tabs>
          <w:tab w:leader="none" w:pos="829"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right="60" w:hanging="451"/>
        <w:spacing w:after="0" w:line="282" w:lineRule="auto"/>
        <w:tabs>
          <w:tab w:leader="none" w:pos="839"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tabs>
          <w:tab w:leader="none" w:pos="4160" w:val="left"/>
          <w:tab w:leader="none" w:pos="6900" w:val="left"/>
        </w:tabs>
        <w:rPr>
          <w:sz w:val="20"/>
          <w:szCs w:val="20"/>
          <w:color w:val="auto"/>
        </w:rPr>
      </w:pPr>
      <w:r>
        <w:rPr>
          <w:rFonts w:ascii="Times New Roman" w:cs="Times New Roman" w:eastAsia="Times New Roman" w:hAnsi="Times New Roman"/>
          <w:sz w:val="18"/>
          <w:szCs w:val="18"/>
          <w:color w:val="auto"/>
        </w:rPr>
        <w:t>Date: November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43180</wp:posOffset>
            </wp:positionV>
            <wp:extent cx="39179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3917950" cy="8890"/>
                    </a:xfrm>
                    <a:prstGeom prst="rect">
                      <a:avLst/>
                    </a:prstGeom>
                    <a:noFill/>
                  </pic:spPr>
                </pic:pic>
              </a:graphicData>
            </a:graphic>
          </wp:anchor>
        </w:drawing>
      </w:r>
    </w:p>
    <w:p>
      <w:pPr>
        <w:spacing w:after="0" w:line="7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David Zaccardelli, Pharm.D.</w:t>
      </w:r>
    </w:p>
    <w:p>
      <w:pPr>
        <w:spacing w:after="0" w:line="7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13" w:right="339" w:bottom="1440" w:gutter="0" w:footer="0" w:header="0"/>
        </w:sectPr>
      </w:pPr>
    </w:p>
    <w:bookmarkStart w:id="38" w:name="page39"/>
    <w:bookmarkEnd w:id="38"/>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 Hahn, certify that:</w:t>
      </w:r>
    </w:p>
    <w:p>
      <w:pPr>
        <w:spacing w:after="0" w:line="225" w:lineRule="exact"/>
        <w:rPr>
          <w:sz w:val="20"/>
          <w:szCs w:val="20"/>
          <w:color w:val="auto"/>
        </w:rPr>
      </w:pPr>
    </w:p>
    <w:p>
      <w:pPr>
        <w:ind w:left="520" w:hanging="188"/>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Verona Pharma plc;</w:t>
      </w:r>
    </w:p>
    <w:p>
      <w:pPr>
        <w:spacing w:after="0" w:line="225"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5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5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w:t>
      </w:r>
    </w:p>
    <w:p>
      <w:pPr>
        <w:spacing w:after="0" w:line="27" w:lineRule="exact"/>
        <w:rPr>
          <w:sz w:val="20"/>
          <w:szCs w:val="20"/>
          <w:color w:val="auto"/>
        </w:rPr>
      </w:pPr>
    </w:p>
    <w:p>
      <w:pPr>
        <w:ind w:left="660" w:right="300"/>
        <w:spacing w:after="0" w:line="260" w:lineRule="auto"/>
        <w:rPr>
          <w:sz w:val="20"/>
          <w:szCs w:val="20"/>
          <w:color w:val="auto"/>
        </w:rPr>
      </w:pPr>
      <w:r>
        <w:rPr>
          <w:rFonts w:ascii="Times New Roman" w:cs="Times New Roman" w:eastAsia="Times New Roman" w:hAnsi="Times New Roman"/>
          <w:sz w:val="18"/>
          <w:szCs w:val="18"/>
          <w:color w:val="auto"/>
        </w:rPr>
        <w:t>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900" w:right="200" w:hanging="451"/>
        <w:spacing w:after="0" w:line="266" w:lineRule="auto"/>
        <w:tabs>
          <w:tab w:leader="none" w:pos="83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00" w:right="460" w:hanging="451"/>
        <w:spacing w:after="0" w:line="266" w:lineRule="auto"/>
        <w:tabs>
          <w:tab w:leader="none" w:pos="84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right="620" w:hanging="451"/>
        <w:spacing w:after="0" w:line="312" w:lineRule="auto"/>
        <w:tabs>
          <w:tab w:leader="none" w:pos="839"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00" w:right="180" w:hanging="451"/>
        <w:spacing w:after="0" w:line="266" w:lineRule="auto"/>
        <w:tabs>
          <w:tab w:leader="none" w:pos="84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5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right="120" w:hanging="451"/>
        <w:spacing w:after="0" w:line="282" w:lineRule="auto"/>
        <w:tabs>
          <w:tab w:leader="none" w:pos="82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right="60" w:hanging="451"/>
        <w:spacing w:after="0" w:line="282" w:lineRule="auto"/>
        <w:tabs>
          <w:tab w:leader="none" w:pos="83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tabs>
          <w:tab w:leader="none" w:pos="3120" w:val="left"/>
          <w:tab w:leader="none" w:pos="6780" w:val="left"/>
        </w:tabs>
        <w:rPr>
          <w:sz w:val="20"/>
          <w:szCs w:val="20"/>
          <w:color w:val="auto"/>
        </w:rPr>
      </w:pPr>
      <w:r>
        <w:rPr>
          <w:rFonts w:ascii="Times New Roman" w:cs="Times New Roman" w:eastAsia="Times New Roman" w:hAnsi="Times New Roman"/>
          <w:sz w:val="18"/>
          <w:szCs w:val="18"/>
          <w:color w:val="auto"/>
        </w:rPr>
        <w:t>Date: November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43180</wp:posOffset>
            </wp:positionV>
            <wp:extent cx="47231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70"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Mark W. Hahn</w:t>
      </w:r>
    </w:p>
    <w:p>
      <w:pPr>
        <w:spacing w:after="0" w:line="75"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Verona Pharma plc (the “Company”) for the period ended September 30, 2022 as filed with the Securities and Exchange Commission on the date hereof (the “Report”), I certify, pursuant to 18 U.S.C. § 1350, as adopted pursuant to § 906 of the Sarbanes-Oxley Act of 2002, that, to the best of my knowledge:</w:t>
      </w:r>
    </w:p>
    <w:p>
      <w:pPr>
        <w:spacing w:after="0" w:line="176" w:lineRule="exact"/>
        <w:rPr>
          <w:sz w:val="20"/>
          <w:szCs w:val="20"/>
          <w:color w:val="auto"/>
        </w:rPr>
      </w:pPr>
    </w:p>
    <w:p>
      <w:pPr>
        <w:ind w:left="840" w:hanging="391"/>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00" w:right="740" w:hanging="451"/>
        <w:spacing w:after="0" w:line="282" w:lineRule="auto"/>
        <w:tabs>
          <w:tab w:leader="none" w:pos="8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ind w:left="20"/>
        <w:spacing w:after="0"/>
        <w:tabs>
          <w:tab w:leader="none" w:pos="4160" w:val="left"/>
          <w:tab w:leader="none" w:pos="6900" w:val="left"/>
        </w:tabs>
        <w:rPr>
          <w:sz w:val="20"/>
          <w:szCs w:val="20"/>
          <w:color w:val="auto"/>
        </w:rPr>
      </w:pPr>
      <w:r>
        <w:rPr>
          <w:rFonts w:ascii="Times New Roman" w:cs="Times New Roman" w:eastAsia="Times New Roman" w:hAnsi="Times New Roman"/>
          <w:sz w:val="18"/>
          <w:szCs w:val="18"/>
          <w:color w:val="auto"/>
        </w:rPr>
        <w:t>Date: November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43180</wp:posOffset>
            </wp:positionV>
            <wp:extent cx="39179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917950" cy="8255"/>
                    </a:xfrm>
                    <a:prstGeom prst="rect">
                      <a:avLst/>
                    </a:prstGeom>
                    <a:noFill/>
                  </pic:spPr>
                </pic:pic>
              </a:graphicData>
            </a:graphic>
          </wp:anchor>
        </w:drawing>
      </w:r>
    </w:p>
    <w:p>
      <w:pPr>
        <w:spacing w:after="0" w:line="7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David Zaccardelli, Pharm.D.</w:t>
      </w:r>
    </w:p>
    <w:p>
      <w:pPr>
        <w:spacing w:after="0" w:line="7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13" w:right="339" w:bottom="1440" w:gutter="0" w:footer="0" w:header="0"/>
        </w:sectPr>
      </w:pPr>
    </w:p>
    <w:bookmarkStart w:id="40" w:name="page41"/>
    <w:bookmarkEnd w:id="40"/>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Verona Pharma plc (the “Company”) for the period ended September 30, 2022 as filed with the Securities and Exchange Commission on the date hereof (the “Report”), I certify, pursuant to 18 U.S.C. § 1350, as adopted pursuant to § 906 of the Sarbanes-Oxley Act of 2002, that, to the best of my knowledge:</w:t>
      </w:r>
    </w:p>
    <w:p>
      <w:pPr>
        <w:spacing w:after="0" w:line="176" w:lineRule="exact"/>
        <w:rPr>
          <w:sz w:val="20"/>
          <w:szCs w:val="20"/>
          <w:color w:val="auto"/>
        </w:rPr>
      </w:pPr>
    </w:p>
    <w:p>
      <w:pPr>
        <w:ind w:left="840" w:hanging="391"/>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00" w:right="740" w:hanging="451"/>
        <w:spacing w:after="0" w:line="282" w:lineRule="auto"/>
        <w:tabs>
          <w:tab w:leader="none" w:pos="8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ind w:left="20"/>
        <w:spacing w:after="0"/>
        <w:tabs>
          <w:tab w:leader="none" w:pos="3120" w:val="left"/>
          <w:tab w:leader="none" w:pos="6780" w:val="left"/>
        </w:tabs>
        <w:rPr>
          <w:sz w:val="20"/>
          <w:szCs w:val="20"/>
          <w:color w:val="auto"/>
        </w:rPr>
      </w:pPr>
      <w:r>
        <w:rPr>
          <w:rFonts w:ascii="Times New Roman" w:cs="Times New Roman" w:eastAsia="Times New Roman" w:hAnsi="Times New Roman"/>
          <w:sz w:val="18"/>
          <w:szCs w:val="18"/>
          <w:color w:val="auto"/>
        </w:rPr>
        <w:t>Date: November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43180</wp:posOffset>
            </wp:positionV>
            <wp:extent cx="47231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70"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Mark W. Hahn</w:t>
      </w:r>
    </w:p>
    <w:p>
      <w:pPr>
        <w:spacing w:after="0" w:line="75"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lvl w:ilvl="1">
      <w:lvlJc w:val="left"/>
      <w:lvlText w:val="%2"/>
      <w:numFmt w:val="decimal"/>
      <w:start w:val="104"/>
    </w:lvl>
  </w:abstractNum>
  <w:abstractNum w:abstractNumId="12">
    <w:nsid w:val="6B68079A"/>
    <w:multiLevelType w:val="hybridMultilevel"/>
    <w:lvl w:ilvl="0">
      <w:lvlJc w:val="left"/>
      <w:lvlText w:val="**"/>
      <w:numFmt w:val="bullet"/>
      <w:start w:val="1"/>
    </w:lvl>
    <w:lvl w:ilvl="1">
      <w:lvlJc w:val="left"/>
      <w:lvlText w:val="%2"/>
      <w:numFmt w:val="decimal"/>
      <w:start w:val="1"/>
    </w:lvl>
  </w:abstractNum>
  <w:abstractNum w:abstractNumId="13">
    <w:nsid w:val="4E6AFB66"/>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5"/>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43" Type="http://schemas.openxmlformats.org/officeDocument/2006/relationships/hyperlink" Target="https://www.sec.gov/Archives/edgar/data/1657312/000110465920140541/tm2039594d1_ex1.htm" TargetMode="External"/><Relationship Id="rId44" Type="http://schemas.openxmlformats.org/officeDocument/2006/relationships/hyperlink" Target="https://www.sec.gov/ix?doc=/Archives/edgar/data/1657312/000110465922108980/tm2227932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2022-11-09T07:15:14Z</dcterms:created>
  <dcterms:modified xsi:type="dcterms:W3CDTF">2022-11-09T07:15:14Z</dcterms:modified>
</cp:coreProperties>
</file>