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429604-2_4seq1.xml.htm"/>
      <w:bookmarkStart w:id="1" w:name="kstm2429604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ZACCARDELLI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MORE LONDON RIVERSIDE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VRNA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5"/>
        <w:gridCol w:w="774"/>
        <w:gridCol w:w="601"/>
        <w:gridCol w:w="348"/>
        <w:gridCol w:w="845"/>
        <w:gridCol w:w="453"/>
        <w:gridCol w:w="616"/>
        <w:gridCol w:w="1408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/>
              <w:t xml:space="preserve"> 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15,200,752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in this Form 4 was effected pursuant to a Rule 10b5-1 instruction adopted on March 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(i) 3,000,000 Ordinary Shares underlying Restricted Share Units, each of which represents a contingent right to receive one (1) Ordinary Share of the Issuer (which are represented by 375,000 ADSs); and (ii) 12,200,752 Ordinary Shares underlying 1,525,094 ADSs.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Fisher, Attorney-in-fact for David Zaccardelli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7642" TargetMode="External"/><Relationship Id="rId5" Type="http://schemas.openxmlformats.org/officeDocument/2006/relationships/hyperlink" Target="http://www.sec.gov/cgi-bin/browse-edgar?action=getcompany&amp;CIK=0001657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3526</Characters>
  <CharactersWithSpaces>4114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