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319405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0"/>
          <w:szCs w:val="40"/>
          <w:b w:val="1"/>
          <w:bCs w:val="1"/>
          <w:color w:val="auto"/>
        </w:rPr>
        <w:t>VERONA PHARMA PLC</w:t>
      </w:r>
    </w:p>
    <w:p>
      <w:pPr>
        <w:spacing w:after="0" w:line="3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925050106**</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July 22, 2020</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4" w:hanging="213"/>
        <w:spacing w:after="0"/>
        <w:tabs>
          <w:tab w:leader="none" w:pos="1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4" w:hanging="213"/>
        <w:spacing w:after="0"/>
        <w:tabs>
          <w:tab w:leader="none" w:pos="1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4" w:hanging="213"/>
        <w:spacing w:after="0"/>
        <w:tabs>
          <w:tab w:leader="none" w:pos="1204"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24" w:right="40" w:hanging="432"/>
        <w:spacing w:after="0" w:line="274"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ind w:left="424"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CUSIP number is for the American Depositary Shares that trade on the NASDAQ Global Market, each representing eight ordinary shares. No CUSIP number has been assigned to the ordinary shares.</w:t>
      </w:r>
    </w:p>
    <w:p>
      <w:pPr>
        <w:spacing w:after="0" w:line="18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The information required on the remainder of this cover page shall not be deemed to be “filed” for the purpose of Section 18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-827405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 w:lineRule="exact"/>
        <w:rPr>
          <w:sz w:val="24"/>
          <w:szCs w:val="24"/>
          <w:color w:val="auto"/>
        </w:rPr>
      </w:pPr>
    </w:p>
    <w:p>
      <w:pPr>
        <w:ind w:left="4" w:right="20"/>
        <w:spacing w:after="0" w:line="260" w:lineRule="auto"/>
        <w:rPr>
          <w:sz w:val="20"/>
          <w:szCs w:val="20"/>
          <w:color w:val="auto"/>
        </w:rPr>
      </w:pPr>
      <w:r>
        <w:rPr>
          <w:rFonts w:ascii="Arial" w:cs="Arial" w:eastAsia="Arial" w:hAnsi="Arial"/>
          <w:sz w:val="18"/>
          <w:szCs w:val="18"/>
          <w:color w:val="auto"/>
        </w:rPr>
        <w:t>Exchange Act of 1934, as amended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517" w:right="47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13G</w:t>
      </w:r>
    </w:p>
    <w:p>
      <w:pPr>
        <w:spacing w:after="0" w:line="131"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8"/>
          <w:szCs w:val="18"/>
          <w:color w:val="auto"/>
        </w:rPr>
        <w:t>CUSIP No. 925050106</w:t>
      </w:r>
      <w:r>
        <w:rPr>
          <w:sz w:val="20"/>
          <w:szCs w:val="20"/>
          <w:color w:val="auto"/>
        </w:rPr>
        <w:tab/>
      </w:r>
      <w:r>
        <w:rPr>
          <w:rFonts w:ascii="Arial" w:cs="Arial" w:eastAsia="Arial" w:hAnsi="Arial"/>
          <w:sz w:val="16"/>
          <w:szCs w:val="16"/>
          <w:color w:val="auto"/>
        </w:rPr>
        <w:t>Page 2 of 9</w:t>
      </w:r>
    </w:p>
    <w:p>
      <w:pPr>
        <w:spacing w:after="0" w:line="144" w:lineRule="exact"/>
        <w:rPr>
          <w:sz w:val="20"/>
          <w:szCs w:val="20"/>
          <w:color w:val="auto"/>
        </w:rPr>
      </w:pPr>
    </w:p>
    <w:p>
      <w:pPr>
        <w:ind w:left="704" w:hanging="457"/>
        <w:spacing w:after="0"/>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5237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2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AI Biotechnology LLC</w:t>
      </w:r>
    </w:p>
    <w:p>
      <w:pPr>
        <w:spacing w:after="0" w:line="24" w:lineRule="exact"/>
        <w:rPr>
          <w:sz w:val="20"/>
          <w:szCs w:val="20"/>
          <w:color w:val="auto"/>
        </w:rPr>
      </w:pPr>
    </w:p>
    <w:p>
      <w:pPr>
        <w:ind w:left="704" w:hanging="457"/>
        <w:spacing w:after="0"/>
        <w:tabs>
          <w:tab w:leader="none" w:pos="70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04"/>
        <w:spacing w:after="0" w:line="207" w:lineRule="exact"/>
        <w:tabs>
          <w:tab w:leader="none" w:pos="148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04" w:hanging="457"/>
        <w:spacing w:after="0"/>
        <w:tabs>
          <w:tab w:leader="none" w:pos="70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04" w:hanging="457"/>
        <w:spacing w:after="0"/>
        <w:tabs>
          <w:tab w:leader="none" w:pos="70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State of Delaware</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25" w:hanging="325"/>
        <w:spacing w:after="0"/>
        <w:tabs>
          <w:tab w:leader="none" w:pos="325"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25" w:hanging="325"/>
        <w:spacing w:after="0"/>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44,444,448</w:t>
      </w:r>
    </w:p>
    <w:p>
      <w:pPr>
        <w:spacing w:after="0" w:line="24" w:lineRule="exact"/>
        <w:rPr>
          <w:sz w:val="20"/>
          <w:szCs w:val="20"/>
          <w:color w:val="auto"/>
        </w:rPr>
      </w:pPr>
    </w:p>
    <w:p>
      <w:pPr>
        <w:ind w:left="325" w:hanging="325"/>
        <w:spacing w:after="0"/>
        <w:tabs>
          <w:tab w:leader="none" w:pos="3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25" w:hanging="325"/>
        <w:spacing w:after="0"/>
        <w:tabs>
          <w:tab w:leader="none" w:pos="3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545"/>
        <w:spacing w:after="0"/>
        <w:rPr>
          <w:sz w:val="20"/>
          <w:szCs w:val="20"/>
          <w:color w:val="auto"/>
        </w:rPr>
      </w:pPr>
      <w:r>
        <w:rPr>
          <w:rFonts w:ascii="Arial" w:cs="Arial" w:eastAsia="Arial" w:hAnsi="Arial"/>
          <w:sz w:val="22"/>
          <w:szCs w:val="22"/>
          <w:color w:val="auto"/>
        </w:rPr>
        <w:t>44,444,448</w:t>
      </w:r>
    </w:p>
    <w:p>
      <w:pPr>
        <w:spacing w:after="0" w:line="24" w:lineRule="exact"/>
        <w:rPr>
          <w:sz w:val="20"/>
          <w:szCs w:val="20"/>
          <w:color w:val="auto"/>
        </w:rPr>
      </w:pPr>
    </w:p>
    <w:p>
      <w:pPr>
        <w:sectPr>
          <w:pgSz w:w="11900" w:h="16838" w:orient="portrait"/>
          <w:cols w:equalWidth="0" w:num="2">
            <w:col w:w="1424" w:space="115"/>
            <w:col w:w="9485"/>
          </w:cols>
          <w:pgMar w:left="436" w:top="274" w:right="439" w:bottom="1440" w:gutter="0" w:footer="0" w:header="0"/>
          <w:type w:val="continuous"/>
        </w:sectPr>
      </w:pPr>
    </w:p>
    <w:p>
      <w:pPr>
        <w:ind w:left="704" w:hanging="457"/>
        <w:spacing w:after="0"/>
        <w:tabs>
          <w:tab w:leader="none" w:pos="7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44,444,448</w:t>
      </w:r>
    </w:p>
    <w:p>
      <w:pPr>
        <w:spacing w:after="0" w:line="21" w:lineRule="exact"/>
        <w:rPr>
          <w:sz w:val="20"/>
          <w:szCs w:val="20"/>
          <w:color w:val="auto"/>
        </w:rPr>
      </w:pPr>
    </w:p>
    <w:p>
      <w:pPr>
        <w:ind w:left="704" w:hanging="547"/>
        <w:spacing w:after="0" w:line="207" w:lineRule="exact"/>
        <w:tabs>
          <w:tab w:leader="none" w:pos="7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704" w:hanging="547"/>
        <w:spacing w:after="0"/>
        <w:tabs>
          <w:tab w:leader="none" w:pos="7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10.7%</w:t>
      </w:r>
      <w:r>
        <w:rPr>
          <w:rFonts w:ascii="Arial" w:cs="Arial" w:eastAsia="Arial" w:hAnsi="Arial"/>
          <w:sz w:val="18"/>
          <w:szCs w:val="18"/>
          <w:color w:val="auto"/>
        </w:rPr>
        <w:t>(1)</w:t>
      </w:r>
    </w:p>
    <w:p>
      <w:pPr>
        <w:spacing w:after="0" w:line="24" w:lineRule="exact"/>
        <w:rPr>
          <w:sz w:val="20"/>
          <w:szCs w:val="20"/>
          <w:color w:val="auto"/>
        </w:rPr>
      </w:pPr>
    </w:p>
    <w:p>
      <w:pPr>
        <w:ind w:left="704" w:hanging="547"/>
        <w:spacing w:after="0"/>
        <w:tabs>
          <w:tab w:leader="none" w:pos="7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4" w:lineRule="exact"/>
        <w:rPr>
          <w:rFonts w:ascii="Arial" w:cs="Arial" w:eastAsia="Arial" w:hAnsi="Arial"/>
          <w:sz w:val="18"/>
          <w:szCs w:val="18"/>
          <w:color w:val="auto"/>
        </w:rPr>
      </w:pPr>
    </w:p>
    <w:p>
      <w:pPr>
        <w:ind w:left="1284" w:hanging="366"/>
        <w:spacing w:after="0"/>
        <w:tabs>
          <w:tab w:leader="none" w:pos="1284" w:val="left"/>
        </w:tabs>
        <w:numPr>
          <w:ilvl w:val="2"/>
          <w:numId w:val="14"/>
        </w:numPr>
        <w:rPr>
          <w:rFonts w:ascii="Arial" w:cs="Arial" w:eastAsia="Arial" w:hAnsi="Arial"/>
          <w:sz w:val="22"/>
          <w:szCs w:val="22"/>
          <w:color w:val="auto"/>
        </w:rPr>
      </w:pPr>
      <w:r>
        <w:rPr>
          <w:rFonts w:ascii="Arial" w:cs="Arial" w:eastAsia="Arial" w:hAnsi="Arial"/>
          <w:sz w:val="22"/>
          <w:szCs w:val="22"/>
          <w:color w:val="auto"/>
        </w:rPr>
        <w:t>(Limited Liability Company)</w:t>
      </w:r>
    </w:p>
    <w:p>
      <w:pPr>
        <w:spacing w:after="0" w:line="267" w:lineRule="exact"/>
        <w:rPr>
          <w:rFonts w:ascii="Arial" w:cs="Arial" w:eastAsia="Arial" w:hAnsi="Arial"/>
          <w:sz w:val="22"/>
          <w:szCs w:val="22"/>
          <w:color w:val="auto"/>
        </w:rPr>
      </w:pPr>
    </w:p>
    <w:p>
      <w:pPr>
        <w:ind w:left="424" w:right="58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414,278,294 of the Issuer’s voting Ordinary Shares outstanding as of July 22, 2020, as reported in the Issuer’s press release dated July 22, 2020.</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2 of 9</w:t>
      </w:r>
    </w:p>
    <w:p>
      <w:pPr>
        <w:sectPr>
          <w:pgSz w:w="11900" w:h="16838" w:orient="portrait"/>
          <w:cols w:equalWidth="0" w:num="1">
            <w:col w:w="11024"/>
          </w:cols>
          <w:pgMar w:left="436" w:top="274" w:right="439" w:bottom="1440" w:gutter="0" w:footer="0" w:header="0"/>
          <w:type w:val="continuous"/>
        </w:sectPr>
      </w:pPr>
    </w:p>
    <w:bookmarkStart w:id="2" w:name="page3"/>
    <w:bookmarkEnd w:id="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13G</w:t>
      </w:r>
    </w:p>
    <w:p>
      <w:pPr>
        <w:spacing w:after="0" w:line="131"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8"/>
          <w:szCs w:val="18"/>
          <w:color w:val="auto"/>
        </w:rPr>
        <w:t>CUSIP No. 925050106</w:t>
      </w:r>
      <w:r>
        <w:rPr>
          <w:sz w:val="20"/>
          <w:szCs w:val="20"/>
          <w:color w:val="auto"/>
        </w:rPr>
        <w:tab/>
      </w:r>
      <w:r>
        <w:rPr>
          <w:rFonts w:ascii="Arial" w:cs="Arial" w:eastAsia="Arial" w:hAnsi="Arial"/>
          <w:sz w:val="16"/>
          <w:szCs w:val="16"/>
          <w:color w:val="auto"/>
        </w:rPr>
        <w:t>Page 3 of 9</w:t>
      </w:r>
    </w:p>
    <w:p>
      <w:pPr>
        <w:spacing w:after="0" w:line="144" w:lineRule="exact"/>
        <w:rPr>
          <w:sz w:val="20"/>
          <w:szCs w:val="20"/>
          <w:color w:val="auto"/>
        </w:rPr>
      </w:pPr>
    </w:p>
    <w:p>
      <w:pPr>
        <w:ind w:left="704" w:hanging="457"/>
        <w:spacing w:after="0"/>
        <w:tabs>
          <w:tab w:leader="none" w:pos="7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5237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2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Access Industries Holdings LLC</w:t>
      </w:r>
    </w:p>
    <w:p>
      <w:pPr>
        <w:spacing w:after="0" w:line="24" w:lineRule="exact"/>
        <w:rPr>
          <w:sz w:val="20"/>
          <w:szCs w:val="20"/>
          <w:color w:val="auto"/>
        </w:rPr>
      </w:pPr>
    </w:p>
    <w:p>
      <w:pPr>
        <w:ind w:left="704" w:hanging="457"/>
        <w:spacing w:after="0"/>
        <w:tabs>
          <w:tab w:leader="none" w:pos="7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04"/>
        <w:spacing w:after="0" w:line="207" w:lineRule="exact"/>
        <w:tabs>
          <w:tab w:leader="none" w:pos="148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04" w:hanging="457"/>
        <w:spacing w:after="0"/>
        <w:tabs>
          <w:tab w:leader="none" w:pos="7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04" w:hanging="457"/>
        <w:spacing w:after="0"/>
        <w:tabs>
          <w:tab w:leader="none" w:pos="7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State of Delaware</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25" w:hanging="325"/>
        <w:spacing w:after="0"/>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25" w:hanging="325"/>
        <w:spacing w:after="0"/>
        <w:tabs>
          <w:tab w:leader="none" w:pos="3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44,444,448</w:t>
      </w:r>
    </w:p>
    <w:p>
      <w:pPr>
        <w:spacing w:after="0" w:line="24" w:lineRule="exact"/>
        <w:rPr>
          <w:sz w:val="20"/>
          <w:szCs w:val="20"/>
          <w:color w:val="auto"/>
        </w:rPr>
      </w:pPr>
    </w:p>
    <w:p>
      <w:pPr>
        <w:ind w:left="325" w:hanging="325"/>
        <w:spacing w:after="0"/>
        <w:tabs>
          <w:tab w:leader="none" w:pos="3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25" w:hanging="325"/>
        <w:spacing w:after="0"/>
        <w:tabs>
          <w:tab w:leader="none" w:pos="3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545"/>
        <w:spacing w:after="0"/>
        <w:rPr>
          <w:sz w:val="20"/>
          <w:szCs w:val="20"/>
          <w:color w:val="auto"/>
        </w:rPr>
      </w:pPr>
      <w:r>
        <w:rPr>
          <w:rFonts w:ascii="Arial" w:cs="Arial" w:eastAsia="Arial" w:hAnsi="Arial"/>
          <w:sz w:val="22"/>
          <w:szCs w:val="22"/>
          <w:color w:val="auto"/>
        </w:rPr>
        <w:t>44,444,448</w:t>
      </w:r>
    </w:p>
    <w:p>
      <w:pPr>
        <w:spacing w:after="0" w:line="24" w:lineRule="exact"/>
        <w:rPr>
          <w:sz w:val="20"/>
          <w:szCs w:val="20"/>
          <w:color w:val="auto"/>
        </w:rPr>
      </w:pPr>
    </w:p>
    <w:p>
      <w:pPr>
        <w:sectPr>
          <w:pgSz w:w="11900" w:h="16838" w:orient="portrait"/>
          <w:cols w:equalWidth="0" w:num="2">
            <w:col w:w="1424" w:space="115"/>
            <w:col w:w="9485"/>
          </w:cols>
          <w:pgMar w:left="436" w:top="274" w:right="439" w:bottom="1440" w:gutter="0" w:footer="0" w:header="0"/>
          <w:type w:val="continuous"/>
        </w:sectPr>
      </w:pPr>
    </w:p>
    <w:p>
      <w:pPr>
        <w:ind w:left="704" w:hanging="457"/>
        <w:spacing w:after="0"/>
        <w:tabs>
          <w:tab w:leader="none" w:pos="7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44,444,448</w:t>
      </w:r>
    </w:p>
    <w:p>
      <w:pPr>
        <w:spacing w:after="0" w:line="21" w:lineRule="exact"/>
        <w:rPr>
          <w:sz w:val="20"/>
          <w:szCs w:val="20"/>
          <w:color w:val="auto"/>
        </w:rPr>
      </w:pPr>
    </w:p>
    <w:p>
      <w:pPr>
        <w:ind w:left="704" w:hanging="547"/>
        <w:spacing w:after="0" w:line="207" w:lineRule="exact"/>
        <w:tabs>
          <w:tab w:leader="none" w:pos="7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704" w:hanging="547"/>
        <w:spacing w:after="0"/>
        <w:tabs>
          <w:tab w:leader="none" w:pos="7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10.7%</w:t>
      </w:r>
      <w:r>
        <w:rPr>
          <w:rFonts w:ascii="Arial" w:cs="Arial" w:eastAsia="Arial" w:hAnsi="Arial"/>
          <w:sz w:val="18"/>
          <w:szCs w:val="18"/>
          <w:color w:val="auto"/>
        </w:rPr>
        <w:t>(1)</w:t>
      </w:r>
    </w:p>
    <w:p>
      <w:pPr>
        <w:spacing w:after="0" w:line="24" w:lineRule="exact"/>
        <w:rPr>
          <w:sz w:val="20"/>
          <w:szCs w:val="20"/>
          <w:color w:val="auto"/>
        </w:rPr>
      </w:pPr>
    </w:p>
    <w:p>
      <w:pPr>
        <w:ind w:left="704" w:hanging="547"/>
        <w:spacing w:after="0"/>
        <w:tabs>
          <w:tab w:leader="none" w:pos="7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4" w:lineRule="exact"/>
        <w:rPr>
          <w:rFonts w:ascii="Arial" w:cs="Arial" w:eastAsia="Arial" w:hAnsi="Arial"/>
          <w:sz w:val="18"/>
          <w:szCs w:val="18"/>
          <w:color w:val="auto"/>
        </w:rPr>
      </w:pPr>
    </w:p>
    <w:p>
      <w:pPr>
        <w:ind w:left="1284" w:hanging="366"/>
        <w:spacing w:after="0"/>
        <w:tabs>
          <w:tab w:leader="none" w:pos="1284" w:val="left"/>
        </w:tabs>
        <w:numPr>
          <w:ilvl w:val="2"/>
          <w:numId w:val="25"/>
        </w:numPr>
        <w:rPr>
          <w:rFonts w:ascii="Arial" w:cs="Arial" w:eastAsia="Arial" w:hAnsi="Arial"/>
          <w:sz w:val="22"/>
          <w:szCs w:val="22"/>
          <w:color w:val="auto"/>
        </w:rPr>
      </w:pPr>
      <w:r>
        <w:rPr>
          <w:rFonts w:ascii="Arial" w:cs="Arial" w:eastAsia="Arial" w:hAnsi="Arial"/>
          <w:sz w:val="22"/>
          <w:szCs w:val="22"/>
          <w:color w:val="auto"/>
        </w:rPr>
        <w:t>(Limited Liability Company)</w:t>
      </w:r>
    </w:p>
    <w:p>
      <w:pPr>
        <w:spacing w:after="0" w:line="267" w:lineRule="exact"/>
        <w:rPr>
          <w:rFonts w:ascii="Arial" w:cs="Arial" w:eastAsia="Arial" w:hAnsi="Arial"/>
          <w:sz w:val="22"/>
          <w:szCs w:val="22"/>
          <w:color w:val="auto"/>
        </w:rPr>
      </w:pPr>
    </w:p>
    <w:p>
      <w:pPr>
        <w:ind w:left="424" w:right="580" w:hanging="424"/>
        <w:spacing w:after="0" w:line="277"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414,278,294 of the Issuer’s voting Ordinary Shares outstanding as of July 22, 2020, as reported in the Issuer’s press release dated July 22, 2020.</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3 of 9</w:t>
      </w:r>
    </w:p>
    <w:p>
      <w:pPr>
        <w:sectPr>
          <w:pgSz w:w="11900" w:h="16838" w:orient="portrait"/>
          <w:cols w:equalWidth="0" w:num="1">
            <w:col w:w="11024"/>
          </w:cols>
          <w:pgMar w:left="436" w:top="274" w:right="439" w:bottom="1440" w:gutter="0" w:footer="0" w:header="0"/>
          <w:type w:val="continuous"/>
        </w:sectPr>
      </w:pPr>
    </w:p>
    <w:bookmarkStart w:id="3" w:name="page4"/>
    <w:bookmarkEnd w:id="3"/>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13G</w:t>
      </w:r>
    </w:p>
    <w:p>
      <w:pPr>
        <w:spacing w:after="0" w:line="131"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8"/>
          <w:szCs w:val="18"/>
          <w:color w:val="auto"/>
        </w:rPr>
        <w:t>CUSIP No. 925050106</w:t>
      </w:r>
      <w:r>
        <w:rPr>
          <w:sz w:val="20"/>
          <w:szCs w:val="20"/>
          <w:color w:val="auto"/>
        </w:rPr>
        <w:tab/>
      </w:r>
      <w:r>
        <w:rPr>
          <w:rFonts w:ascii="Arial" w:cs="Arial" w:eastAsia="Arial" w:hAnsi="Arial"/>
          <w:sz w:val="16"/>
          <w:szCs w:val="16"/>
          <w:color w:val="auto"/>
        </w:rPr>
        <w:t>Page 4 of 9</w:t>
      </w:r>
    </w:p>
    <w:p>
      <w:pPr>
        <w:spacing w:after="0" w:line="144" w:lineRule="exact"/>
        <w:rPr>
          <w:sz w:val="20"/>
          <w:szCs w:val="20"/>
          <w:color w:val="auto"/>
        </w:rPr>
      </w:pPr>
    </w:p>
    <w:p>
      <w:pPr>
        <w:ind w:left="704" w:hanging="457"/>
        <w:spacing w:after="0"/>
        <w:tabs>
          <w:tab w:leader="none" w:pos="7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5237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2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Access Industries Management, LLC</w:t>
      </w:r>
    </w:p>
    <w:p>
      <w:pPr>
        <w:spacing w:after="0" w:line="24" w:lineRule="exact"/>
        <w:rPr>
          <w:sz w:val="20"/>
          <w:szCs w:val="20"/>
          <w:color w:val="auto"/>
        </w:rPr>
      </w:pPr>
    </w:p>
    <w:p>
      <w:pPr>
        <w:ind w:left="704" w:hanging="457"/>
        <w:spacing w:after="0"/>
        <w:tabs>
          <w:tab w:leader="none" w:pos="7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04"/>
        <w:spacing w:after="0" w:line="207" w:lineRule="exact"/>
        <w:tabs>
          <w:tab w:leader="none" w:pos="148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04" w:hanging="457"/>
        <w:spacing w:after="0"/>
        <w:tabs>
          <w:tab w:leader="none" w:pos="7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04" w:hanging="457"/>
        <w:spacing w:after="0"/>
        <w:tabs>
          <w:tab w:leader="none" w:pos="7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State of Delaware</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25" w:hanging="325"/>
        <w:spacing w:after="0"/>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25" w:hanging="325"/>
        <w:spacing w:after="0"/>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44,444,448</w:t>
      </w:r>
    </w:p>
    <w:p>
      <w:pPr>
        <w:spacing w:after="0" w:line="24" w:lineRule="exact"/>
        <w:rPr>
          <w:sz w:val="20"/>
          <w:szCs w:val="20"/>
          <w:color w:val="auto"/>
        </w:rPr>
      </w:pPr>
    </w:p>
    <w:p>
      <w:pPr>
        <w:ind w:left="325" w:hanging="325"/>
        <w:spacing w:after="0"/>
        <w:tabs>
          <w:tab w:leader="none" w:pos="3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25" w:hanging="325"/>
        <w:spacing w:after="0"/>
        <w:tabs>
          <w:tab w:leader="none" w:pos="325" w:val="left"/>
        </w:tabs>
        <w:numPr>
          <w:ilvl w:val="0"/>
          <w:numId w:val="33"/>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545"/>
        <w:spacing w:after="0"/>
        <w:rPr>
          <w:sz w:val="20"/>
          <w:szCs w:val="20"/>
          <w:color w:val="auto"/>
        </w:rPr>
      </w:pPr>
      <w:r>
        <w:rPr>
          <w:rFonts w:ascii="Arial" w:cs="Arial" w:eastAsia="Arial" w:hAnsi="Arial"/>
          <w:sz w:val="22"/>
          <w:szCs w:val="22"/>
          <w:color w:val="auto"/>
        </w:rPr>
        <w:t>44,444,448</w:t>
      </w:r>
    </w:p>
    <w:p>
      <w:pPr>
        <w:spacing w:after="0" w:line="24" w:lineRule="exact"/>
        <w:rPr>
          <w:sz w:val="20"/>
          <w:szCs w:val="20"/>
          <w:color w:val="auto"/>
        </w:rPr>
      </w:pPr>
    </w:p>
    <w:p>
      <w:pPr>
        <w:sectPr>
          <w:pgSz w:w="11900" w:h="16838" w:orient="portrait"/>
          <w:cols w:equalWidth="0" w:num="2">
            <w:col w:w="1424" w:space="115"/>
            <w:col w:w="9485"/>
          </w:cols>
          <w:pgMar w:left="436" w:top="274" w:right="439" w:bottom="1440" w:gutter="0" w:footer="0" w:header="0"/>
          <w:type w:val="continuous"/>
        </w:sectPr>
      </w:pPr>
    </w:p>
    <w:p>
      <w:pPr>
        <w:ind w:left="704" w:hanging="457"/>
        <w:spacing w:after="0"/>
        <w:tabs>
          <w:tab w:leader="none" w:pos="7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44,444,448</w:t>
      </w:r>
    </w:p>
    <w:p>
      <w:pPr>
        <w:spacing w:after="0" w:line="21" w:lineRule="exact"/>
        <w:rPr>
          <w:sz w:val="20"/>
          <w:szCs w:val="20"/>
          <w:color w:val="auto"/>
        </w:rPr>
      </w:pPr>
    </w:p>
    <w:p>
      <w:pPr>
        <w:ind w:left="704" w:hanging="547"/>
        <w:spacing w:after="0" w:line="207" w:lineRule="exact"/>
        <w:tabs>
          <w:tab w:leader="none" w:pos="7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704" w:hanging="547"/>
        <w:spacing w:after="0"/>
        <w:tabs>
          <w:tab w:leader="none" w:pos="7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10.7%</w:t>
      </w:r>
      <w:r>
        <w:rPr>
          <w:rFonts w:ascii="Arial" w:cs="Arial" w:eastAsia="Arial" w:hAnsi="Arial"/>
          <w:sz w:val="18"/>
          <w:szCs w:val="18"/>
          <w:color w:val="auto"/>
        </w:rPr>
        <w:t>(1)</w:t>
      </w:r>
    </w:p>
    <w:p>
      <w:pPr>
        <w:spacing w:after="0" w:line="24" w:lineRule="exact"/>
        <w:rPr>
          <w:sz w:val="20"/>
          <w:szCs w:val="20"/>
          <w:color w:val="auto"/>
        </w:rPr>
      </w:pPr>
    </w:p>
    <w:p>
      <w:pPr>
        <w:ind w:left="704" w:hanging="547"/>
        <w:spacing w:after="0"/>
        <w:tabs>
          <w:tab w:leader="none" w:pos="7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4" w:lineRule="exact"/>
        <w:rPr>
          <w:rFonts w:ascii="Arial" w:cs="Arial" w:eastAsia="Arial" w:hAnsi="Arial"/>
          <w:sz w:val="18"/>
          <w:szCs w:val="18"/>
          <w:color w:val="auto"/>
        </w:rPr>
      </w:pPr>
    </w:p>
    <w:p>
      <w:pPr>
        <w:ind w:left="1284" w:hanging="366"/>
        <w:spacing w:after="0"/>
        <w:tabs>
          <w:tab w:leader="none" w:pos="1284" w:val="left"/>
        </w:tabs>
        <w:numPr>
          <w:ilvl w:val="2"/>
          <w:numId w:val="36"/>
        </w:numPr>
        <w:rPr>
          <w:rFonts w:ascii="Arial" w:cs="Arial" w:eastAsia="Arial" w:hAnsi="Arial"/>
          <w:sz w:val="22"/>
          <w:szCs w:val="22"/>
          <w:color w:val="auto"/>
        </w:rPr>
      </w:pPr>
      <w:r>
        <w:rPr>
          <w:rFonts w:ascii="Arial" w:cs="Arial" w:eastAsia="Arial" w:hAnsi="Arial"/>
          <w:sz w:val="22"/>
          <w:szCs w:val="22"/>
          <w:color w:val="auto"/>
        </w:rPr>
        <w:t>(Limited Liability Company)</w:t>
      </w:r>
    </w:p>
    <w:p>
      <w:pPr>
        <w:spacing w:after="0" w:line="267" w:lineRule="exact"/>
        <w:rPr>
          <w:rFonts w:ascii="Arial" w:cs="Arial" w:eastAsia="Arial" w:hAnsi="Arial"/>
          <w:sz w:val="22"/>
          <w:szCs w:val="22"/>
          <w:color w:val="auto"/>
        </w:rPr>
      </w:pPr>
    </w:p>
    <w:p>
      <w:pPr>
        <w:ind w:left="424" w:right="580" w:hanging="424"/>
        <w:spacing w:after="0" w:line="277"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414,278,294 of the Issuer’s voting Ordinary Shares outstanding as of July 22, 2020, as reported in the Issuer’s press release dated July 22, 2020.</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4 of 9</w:t>
      </w:r>
    </w:p>
    <w:p>
      <w:pPr>
        <w:sectPr>
          <w:pgSz w:w="11900" w:h="16838" w:orient="portrait"/>
          <w:cols w:equalWidth="0" w:num="1">
            <w:col w:w="11024"/>
          </w:cols>
          <w:pgMar w:left="436" w:top="274" w:right="439" w:bottom="1440" w:gutter="0" w:footer="0" w:header="0"/>
          <w:type w:val="continuous"/>
        </w:sectPr>
      </w:pPr>
    </w:p>
    <w:bookmarkStart w:id="4" w:name="page5"/>
    <w:bookmarkEnd w:id="4"/>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13G</w:t>
      </w:r>
    </w:p>
    <w:p>
      <w:pPr>
        <w:spacing w:after="0" w:line="131"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8"/>
          <w:szCs w:val="18"/>
          <w:color w:val="auto"/>
        </w:rPr>
        <w:t>CUSIP No. 925050106</w:t>
      </w:r>
      <w:r>
        <w:rPr>
          <w:sz w:val="20"/>
          <w:szCs w:val="20"/>
          <w:color w:val="auto"/>
        </w:rPr>
        <w:tab/>
      </w:r>
      <w:r>
        <w:rPr>
          <w:rFonts w:ascii="Arial" w:cs="Arial" w:eastAsia="Arial" w:hAnsi="Arial"/>
          <w:sz w:val="16"/>
          <w:szCs w:val="16"/>
          <w:color w:val="auto"/>
        </w:rPr>
        <w:t>Page 5 of 9</w:t>
      </w:r>
    </w:p>
    <w:p>
      <w:pPr>
        <w:spacing w:after="0" w:line="144" w:lineRule="exact"/>
        <w:rPr>
          <w:sz w:val="20"/>
          <w:szCs w:val="20"/>
          <w:color w:val="auto"/>
        </w:rPr>
      </w:pPr>
    </w:p>
    <w:p>
      <w:pPr>
        <w:ind w:left="704" w:hanging="457"/>
        <w:spacing w:after="0"/>
        <w:tabs>
          <w:tab w:leader="none" w:pos="7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5237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2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Len Blavatnik</w:t>
      </w:r>
    </w:p>
    <w:p>
      <w:pPr>
        <w:spacing w:after="0" w:line="24" w:lineRule="exact"/>
        <w:rPr>
          <w:sz w:val="20"/>
          <w:szCs w:val="20"/>
          <w:color w:val="auto"/>
        </w:rPr>
      </w:pPr>
    </w:p>
    <w:p>
      <w:pPr>
        <w:ind w:left="704" w:hanging="457"/>
        <w:spacing w:after="0"/>
        <w:tabs>
          <w:tab w:leader="none" w:pos="7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04"/>
        <w:spacing w:after="0" w:line="207" w:lineRule="exact"/>
        <w:tabs>
          <w:tab w:leader="none" w:pos="148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04" w:hanging="457"/>
        <w:spacing w:after="0"/>
        <w:tabs>
          <w:tab w:leader="none" w:pos="7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04" w:hanging="457"/>
        <w:spacing w:after="0"/>
        <w:tabs>
          <w:tab w:leader="none" w:pos="7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United States of America</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25" w:hanging="325"/>
        <w:spacing w:after="0"/>
        <w:tabs>
          <w:tab w:leader="none" w:pos="3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25" w:hanging="325"/>
        <w:spacing w:after="0"/>
        <w:tabs>
          <w:tab w:leader="none" w:pos="32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44,444,448</w:t>
      </w:r>
    </w:p>
    <w:p>
      <w:pPr>
        <w:spacing w:after="0" w:line="24" w:lineRule="exact"/>
        <w:rPr>
          <w:sz w:val="20"/>
          <w:szCs w:val="20"/>
          <w:color w:val="auto"/>
        </w:rPr>
      </w:pPr>
    </w:p>
    <w:p>
      <w:pPr>
        <w:ind w:left="325" w:hanging="325"/>
        <w:spacing w:after="0"/>
        <w:tabs>
          <w:tab w:leader="none" w:pos="3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54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25" w:hanging="325"/>
        <w:spacing w:after="0"/>
        <w:tabs>
          <w:tab w:leader="none" w:pos="325" w:val="left"/>
        </w:tabs>
        <w:numPr>
          <w:ilvl w:val="0"/>
          <w:numId w:val="44"/>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545"/>
        <w:spacing w:after="0"/>
        <w:rPr>
          <w:sz w:val="20"/>
          <w:szCs w:val="20"/>
          <w:color w:val="auto"/>
        </w:rPr>
      </w:pPr>
      <w:r>
        <w:rPr>
          <w:rFonts w:ascii="Arial" w:cs="Arial" w:eastAsia="Arial" w:hAnsi="Arial"/>
          <w:sz w:val="22"/>
          <w:szCs w:val="22"/>
          <w:color w:val="auto"/>
        </w:rPr>
        <w:t>44,444,448</w:t>
      </w:r>
    </w:p>
    <w:p>
      <w:pPr>
        <w:spacing w:after="0" w:line="24" w:lineRule="exact"/>
        <w:rPr>
          <w:sz w:val="20"/>
          <w:szCs w:val="20"/>
          <w:color w:val="auto"/>
        </w:rPr>
      </w:pPr>
    </w:p>
    <w:p>
      <w:pPr>
        <w:sectPr>
          <w:pgSz w:w="11900" w:h="16838" w:orient="portrait"/>
          <w:cols w:equalWidth="0" w:num="2">
            <w:col w:w="1424" w:space="115"/>
            <w:col w:w="9485"/>
          </w:cols>
          <w:pgMar w:left="436" w:top="274" w:right="439" w:bottom="1440" w:gutter="0" w:footer="0" w:header="0"/>
          <w:type w:val="continuous"/>
        </w:sectPr>
      </w:pPr>
    </w:p>
    <w:p>
      <w:pPr>
        <w:ind w:left="704" w:hanging="457"/>
        <w:spacing w:after="0"/>
        <w:tabs>
          <w:tab w:leader="none" w:pos="7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44,444,448</w:t>
      </w:r>
    </w:p>
    <w:p>
      <w:pPr>
        <w:spacing w:after="0" w:line="21" w:lineRule="exact"/>
        <w:rPr>
          <w:sz w:val="20"/>
          <w:szCs w:val="20"/>
          <w:color w:val="auto"/>
        </w:rPr>
      </w:pPr>
    </w:p>
    <w:p>
      <w:pPr>
        <w:ind w:left="704" w:hanging="547"/>
        <w:spacing w:after="0" w:line="207" w:lineRule="exact"/>
        <w:tabs>
          <w:tab w:leader="none" w:pos="7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704" w:hanging="547"/>
        <w:spacing w:after="0"/>
        <w:tabs>
          <w:tab w:leader="none" w:pos="7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924"/>
        <w:spacing w:after="0"/>
        <w:rPr>
          <w:sz w:val="20"/>
          <w:szCs w:val="20"/>
          <w:color w:val="auto"/>
        </w:rPr>
      </w:pPr>
      <w:r>
        <w:rPr>
          <w:rFonts w:ascii="Arial" w:cs="Arial" w:eastAsia="Arial" w:hAnsi="Arial"/>
          <w:sz w:val="22"/>
          <w:szCs w:val="22"/>
          <w:color w:val="auto"/>
        </w:rPr>
        <w:t>10.7%</w:t>
      </w:r>
      <w:r>
        <w:rPr>
          <w:rFonts w:ascii="Arial" w:cs="Arial" w:eastAsia="Arial" w:hAnsi="Arial"/>
          <w:sz w:val="18"/>
          <w:szCs w:val="18"/>
          <w:color w:val="auto"/>
        </w:rPr>
        <w:t>(1)</w:t>
      </w:r>
    </w:p>
    <w:p>
      <w:pPr>
        <w:spacing w:after="0" w:line="24" w:lineRule="exact"/>
        <w:rPr>
          <w:sz w:val="20"/>
          <w:szCs w:val="20"/>
          <w:color w:val="auto"/>
        </w:rPr>
      </w:pPr>
    </w:p>
    <w:p>
      <w:pPr>
        <w:ind w:left="704" w:hanging="547"/>
        <w:spacing w:after="0"/>
        <w:tabs>
          <w:tab w:leader="none" w:pos="70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4" w:lineRule="exact"/>
        <w:rPr>
          <w:rFonts w:ascii="Arial" w:cs="Arial" w:eastAsia="Arial" w:hAnsi="Arial"/>
          <w:sz w:val="18"/>
          <w:szCs w:val="18"/>
          <w:color w:val="auto"/>
        </w:rPr>
      </w:pPr>
    </w:p>
    <w:p>
      <w:pPr>
        <w:ind w:left="1284" w:hanging="366"/>
        <w:spacing w:after="0"/>
        <w:tabs>
          <w:tab w:leader="none" w:pos="1284" w:val="left"/>
        </w:tabs>
        <w:numPr>
          <w:ilvl w:val="2"/>
          <w:numId w:val="47"/>
        </w:numPr>
        <w:rPr>
          <w:rFonts w:ascii="Arial" w:cs="Arial" w:eastAsia="Arial" w:hAnsi="Arial"/>
          <w:sz w:val="22"/>
          <w:szCs w:val="22"/>
          <w:color w:val="auto"/>
        </w:rPr>
      </w:pPr>
      <w:r>
        <w:rPr>
          <w:rFonts w:ascii="Arial" w:cs="Arial" w:eastAsia="Arial" w:hAnsi="Arial"/>
          <w:sz w:val="22"/>
          <w:szCs w:val="22"/>
          <w:color w:val="auto"/>
        </w:rPr>
        <w:t>(Limited Liability Company)</w:t>
      </w:r>
    </w:p>
    <w:p>
      <w:pPr>
        <w:spacing w:after="0" w:line="267" w:lineRule="exact"/>
        <w:rPr>
          <w:rFonts w:ascii="Arial" w:cs="Arial" w:eastAsia="Arial" w:hAnsi="Arial"/>
          <w:sz w:val="22"/>
          <w:szCs w:val="22"/>
          <w:color w:val="auto"/>
        </w:rPr>
      </w:pPr>
    </w:p>
    <w:p>
      <w:pPr>
        <w:ind w:left="424" w:right="580" w:hanging="424"/>
        <w:spacing w:after="0" w:line="277"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414,278,294 of the Issuer’s voting Ordinary Shares outstanding as of July 22, 2020, as reported in the Issuer’s press release dated July 22, 2020.</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5 of 9</w:t>
      </w:r>
    </w:p>
    <w:p>
      <w:pPr>
        <w:sectPr>
          <w:pgSz w:w="11900" w:h="16838" w:orient="portrait"/>
          <w:cols w:equalWidth="0" w:num="1">
            <w:col w:w="11024"/>
          </w:cols>
          <w:pgMar w:left="436" w:top="274" w:right="4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925050106</w:t>
      </w:r>
      <w:r>
        <w:rPr>
          <w:sz w:val="20"/>
          <w:szCs w:val="20"/>
          <w:color w:val="auto"/>
        </w:rPr>
        <w:tab/>
      </w:r>
      <w:r>
        <w:rPr>
          <w:rFonts w:ascii="Arial" w:cs="Arial" w:eastAsia="Arial" w:hAnsi="Arial"/>
          <w:sz w:val="16"/>
          <w:szCs w:val="16"/>
          <w:color w:val="auto"/>
        </w:rPr>
        <w:t>Page 6 of 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1" w:lineRule="exact"/>
        <w:rPr>
          <w:sz w:val="20"/>
          <w:szCs w:val="20"/>
          <w:color w:val="auto"/>
        </w:rPr>
      </w:pPr>
    </w:p>
    <w:p>
      <w:pPr>
        <w:ind w:left="960" w:hanging="532"/>
        <w:spacing w:after="0"/>
        <w:tabs>
          <w:tab w:leader="none" w:pos="9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Verona Pharma Plc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369" w:lineRule="exact"/>
        <w:rPr>
          <w:rFonts w:ascii="Arial" w:cs="Arial" w:eastAsia="Arial" w:hAnsi="Arial"/>
          <w:sz w:val="18"/>
          <w:szCs w:val="18"/>
          <w:b w:val="1"/>
          <w:bCs w:val="1"/>
          <w:color w:val="auto"/>
        </w:rPr>
      </w:pPr>
    </w:p>
    <w:p>
      <w:pPr>
        <w:ind w:left="960" w:hanging="532"/>
        <w:spacing w:after="0"/>
        <w:tabs>
          <w:tab w:leader="none" w:pos="9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980" w:right="8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3 More London Riverside London SE1 2RE United Kingdom</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21" w:lineRule="exact"/>
        <w:rPr>
          <w:sz w:val="20"/>
          <w:szCs w:val="20"/>
          <w:color w:val="auto"/>
        </w:rPr>
      </w:pPr>
    </w:p>
    <w:p>
      <w:pPr>
        <w:ind w:left="440" w:right="280" w:firstLine="423"/>
        <w:spacing w:after="0" w:line="277" w:lineRule="auto"/>
        <w:rPr>
          <w:sz w:val="20"/>
          <w:szCs w:val="20"/>
          <w:color w:val="auto"/>
        </w:rPr>
      </w:pPr>
      <w:r>
        <w:rPr>
          <w:rFonts w:ascii="Arial" w:cs="Arial" w:eastAsia="Arial" w:hAnsi="Arial"/>
          <w:sz w:val="18"/>
          <w:szCs w:val="18"/>
          <w:color w:val="auto"/>
        </w:rPr>
        <w:t>Each of the following is referred to herein as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This statement is filed on behalf of:</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AI Biotechnology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Access Industries Holdings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Access Industries Management,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Len Blavatnik</w:t>
      </w:r>
    </w:p>
    <w:p>
      <w:pPr>
        <w:spacing w:after="0" w:line="355" w:lineRule="exact"/>
        <w:rPr>
          <w:sz w:val="20"/>
          <w:szCs w:val="20"/>
          <w:color w:val="auto"/>
        </w:rPr>
      </w:pPr>
    </w:p>
    <w:p>
      <w:pPr>
        <w:ind w:left="960" w:hanging="532"/>
        <w:spacing w:after="0"/>
        <w:tabs>
          <w:tab w:leader="none" w:pos="9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each of the Reporting Persons is: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Access Industries, Inc.</w:t>
      </w:r>
    </w:p>
    <w:p>
      <w:pPr>
        <w:spacing w:after="0" w:line="2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40 West 57</w:t>
      </w:r>
      <w:r>
        <w:rPr>
          <w:rFonts w:ascii="Arial" w:cs="Arial" w:eastAsia="Arial" w:hAnsi="Arial"/>
          <w:sz w:val="15"/>
          <w:szCs w:val="15"/>
          <w:color w:val="auto"/>
        </w:rPr>
        <w:t>th</w:t>
      </w:r>
      <w:r>
        <w:rPr>
          <w:rFonts w:ascii="Arial" w:cs="Arial" w:eastAsia="Arial" w:hAnsi="Arial"/>
          <w:sz w:val="18"/>
          <w:szCs w:val="18"/>
          <w:color w:val="auto"/>
        </w:rPr>
        <w:t xml:space="preserve"> Street, 28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w:t>
      </w:r>
    </w:p>
    <w:p>
      <w:pPr>
        <w:spacing w:after="0" w:line="355" w:lineRule="exact"/>
        <w:rPr>
          <w:sz w:val="20"/>
          <w:szCs w:val="20"/>
          <w:color w:val="auto"/>
        </w:rPr>
      </w:pPr>
    </w:p>
    <w:p>
      <w:pPr>
        <w:ind w:left="960" w:hanging="532"/>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98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Mr. Blavatnik is a citizen of the United States of America. Each of the other Reporting Persons is organized under the laws of the State of Delaware.</w:t>
      </w:r>
    </w:p>
    <w:p>
      <w:pPr>
        <w:spacing w:after="0" w:line="314" w:lineRule="exact"/>
        <w:rPr>
          <w:rFonts w:ascii="Arial" w:cs="Arial" w:eastAsia="Arial" w:hAnsi="Arial"/>
          <w:sz w:val="18"/>
          <w:szCs w:val="18"/>
          <w:b w:val="1"/>
          <w:bCs w:val="1"/>
          <w:color w:val="auto"/>
        </w:rPr>
      </w:pPr>
    </w:p>
    <w:p>
      <w:pPr>
        <w:ind w:left="960" w:hanging="532"/>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Ordinary Shares, nominal value £0.05 per share (“</w:t>
      </w:r>
      <w:r>
        <w:rPr>
          <w:rFonts w:ascii="Arial" w:cs="Arial" w:eastAsia="Arial" w:hAnsi="Arial"/>
          <w:sz w:val="18"/>
          <w:szCs w:val="18"/>
          <w:u w:val="single" w:color="auto"/>
          <w:color w:val="auto"/>
        </w:rPr>
        <w:t>Ordinary Shares</w:t>
      </w:r>
      <w:r>
        <w:rPr>
          <w:rFonts w:ascii="Arial" w:cs="Arial" w:eastAsia="Arial" w:hAnsi="Arial"/>
          <w:sz w:val="18"/>
          <w:szCs w:val="18"/>
          <w:color w:val="auto"/>
        </w:rPr>
        <w:t>”)</w:t>
      </w:r>
    </w:p>
    <w:p>
      <w:pPr>
        <w:spacing w:after="0" w:line="369" w:lineRule="exact"/>
        <w:rPr>
          <w:rFonts w:ascii="Arial" w:cs="Arial" w:eastAsia="Arial" w:hAnsi="Arial"/>
          <w:sz w:val="18"/>
          <w:szCs w:val="18"/>
          <w:b w:val="1"/>
          <w:bCs w:val="1"/>
          <w:color w:val="auto"/>
        </w:rPr>
      </w:pPr>
    </w:p>
    <w:p>
      <w:pPr>
        <w:ind w:left="980" w:right="8760" w:hanging="552"/>
        <w:spacing w:after="0" w:line="445" w:lineRule="auto"/>
        <w:tabs>
          <w:tab w:leader="none" w:pos="961"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925050106</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9</w:t>
      </w:r>
    </w:p>
    <w:p>
      <w:pPr>
        <w:sectPr>
          <w:pgSz w:w="11900" w:h="16838" w:orient="portrait"/>
          <w:cols w:equalWidth="0" w:num="1">
            <w:col w:w="11020"/>
          </w:cols>
          <w:pgMar w:left="440" w:top="274"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13G</w:t>
      </w:r>
    </w:p>
    <w:p>
      <w:pPr>
        <w:sectPr>
          <w:pgSz w:w="11900" w:h="16838" w:orient="portrait"/>
          <w:cols w:equalWidth="0" w:num="1">
            <w:col w:w="11020"/>
          </w:cols>
          <w:pgMar w:left="440" w:top="274" w:right="4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CUSIP No. 925050106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Page 7 of 9</w:t>
      </w:r>
    </w:p>
    <w:p>
      <w:pPr>
        <w:spacing w:after="0" w:line="177" w:lineRule="exact"/>
        <w:rPr>
          <w:sz w:val="20"/>
          <w:szCs w:val="20"/>
          <w:color w:val="auto"/>
        </w:rPr>
      </w:pPr>
    </w:p>
    <w:p>
      <w:pPr>
        <w:sectPr>
          <w:pgSz w:w="11900" w:h="16838" w:orient="portrait"/>
          <w:cols w:equalWidth="0" w:num="2">
            <w:col w:w="9480" w:space="720"/>
            <w:col w:w="82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w:t>
      </w:r>
    </w:p>
    <w:p>
      <w:pPr>
        <w:spacing w:after="0" w:line="140" w:lineRule="exact"/>
        <w:rPr>
          <w:sz w:val="20"/>
          <w:szCs w:val="20"/>
          <w:color w:val="auto"/>
        </w:rPr>
      </w:pPr>
    </w:p>
    <w:p>
      <w:pPr>
        <w:sectPr>
          <w:pgSz w:w="11900" w:h="16838" w:orient="portrait"/>
          <w:cols w:equalWidth="0" w:num="2">
            <w:col w:w="540" w:space="440"/>
            <w:col w:w="10040"/>
          </w:cols>
          <w:pgMar w:left="440" w:top="274" w:right="439" w:bottom="1440" w:gutter="0" w:footer="0" w:header="0"/>
          <w:type w:val="continuous"/>
        </w:sectPr>
      </w:pPr>
    </w:p>
    <w:p>
      <w:pPr>
        <w:ind w:left="440"/>
        <w:spacing w:after="0"/>
        <w:rPr>
          <w:sz w:val="20"/>
          <w:szCs w:val="20"/>
          <w:color w:val="auto"/>
        </w:rPr>
      </w:pPr>
      <w:r>
        <w:rPr>
          <w:rFonts w:ascii="Arial" w:cs="Arial" w:eastAsia="Arial" w:hAnsi="Arial"/>
          <w:sz w:val="18"/>
          <w:szCs w:val="18"/>
          <w:b w:val="1"/>
          <w:bCs w:val="1"/>
          <w:color w:val="auto"/>
        </w:rPr>
        <w:t>(a-c)</w:t>
      </w:r>
    </w:p>
    <w:p>
      <w:pPr>
        <w:spacing w:after="0" w:line="121" w:lineRule="exact"/>
        <w:rPr>
          <w:sz w:val="20"/>
          <w:szCs w:val="20"/>
          <w:color w:val="auto"/>
        </w:rPr>
      </w:pPr>
    </w:p>
    <w:p>
      <w:pPr>
        <w:ind w:right="660" w:firstLine="440"/>
        <w:spacing w:after="0" w:line="342" w:lineRule="auto"/>
        <w:rPr>
          <w:sz w:val="20"/>
          <w:szCs w:val="20"/>
          <w:color w:val="auto"/>
        </w:rPr>
      </w:pPr>
      <w:r>
        <w:rPr>
          <w:rFonts w:ascii="Arial" w:cs="Arial" w:eastAsia="Arial" w:hAnsi="Arial"/>
          <w:sz w:val="16"/>
          <w:szCs w:val="16"/>
          <w:color w:val="auto"/>
        </w:rPr>
        <w:t>The ownership information presented below represents beneficial ownership of the Issuer’s Ordinary Shares as of July 21, 2020, based on 414,278,294 of the Issuer’s voting ordinary shares outstanding as of July 22, 2020, as reported in the Issuer’s press release dated July 22,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Sole</w:t>
            </w:r>
          </w:p>
        </w:tc>
        <w:tc>
          <w:tcPr>
            <w:tcW w:w="1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Sole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w:t>
            </w:r>
          </w:p>
        </w:tc>
        <w:tc>
          <w:tcPr>
            <w:tcW w:w="1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vote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340" w:type="dxa"/>
            <w:vAlign w:val="bottom"/>
            <w:vMerge w:val="restart"/>
          </w:tcPr>
          <w:p>
            <w:pPr>
              <w:jc w:val="center"/>
              <w:ind w:left="1138"/>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to</w:t>
            </w:r>
          </w:p>
        </w:tc>
        <w:tc>
          <w:tcPr>
            <w:tcW w:w="1100" w:type="dxa"/>
            <w:vAlign w:val="bottom"/>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direct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Percent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direct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 vote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340" w:type="dxa"/>
            <w:vAlign w:val="bottom"/>
          </w:tcPr>
          <w:p>
            <w:pPr>
              <w:jc w:val="center"/>
              <w:ind w:left="1138"/>
              <w:spacing w:after="0" w:line="149" w:lineRule="exact"/>
              <w:rPr>
                <w:sz w:val="20"/>
                <w:szCs w:val="20"/>
                <w:color w:val="auto"/>
              </w:rPr>
            </w:pPr>
            <w:r>
              <w:rPr>
                <w:rFonts w:ascii="Arial" w:cs="Arial" w:eastAsia="Arial" w:hAnsi="Arial"/>
                <w:sz w:val="14"/>
                <w:szCs w:val="14"/>
                <w:b w:val="1"/>
                <w:bCs w:val="1"/>
                <w:color w:val="auto"/>
                <w:w w:val="94"/>
              </w:rPr>
              <w:t>beneficially</w:t>
            </w:r>
          </w:p>
        </w:tc>
        <w:tc>
          <w:tcPr>
            <w:tcW w:w="880" w:type="dxa"/>
            <w:vAlign w:val="bottom"/>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to direct</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76"/>
        </w:trPr>
        <w:tc>
          <w:tcPr>
            <w:tcW w:w="4060" w:type="dxa"/>
            <w:vAlign w:val="bottom"/>
            <w:vMerge w:val="continue"/>
          </w:tcPr>
          <w:p>
            <w:pPr>
              <w:spacing w:after="0"/>
              <w:rPr>
                <w:sz w:val="15"/>
                <w:szCs w:val="15"/>
                <w:color w:val="auto"/>
              </w:rPr>
            </w:pPr>
          </w:p>
        </w:tc>
        <w:tc>
          <w:tcPr>
            <w:tcW w:w="2340" w:type="dxa"/>
            <w:vAlign w:val="bottom"/>
          </w:tcPr>
          <w:p>
            <w:pPr>
              <w:jc w:val="center"/>
              <w:ind w:left="1138"/>
              <w:spacing w:after="0"/>
              <w:rPr>
                <w:sz w:val="20"/>
                <w:szCs w:val="20"/>
                <w:color w:val="auto"/>
              </w:rPr>
            </w:pPr>
            <w:r>
              <w:rPr>
                <w:rFonts w:ascii="Arial" w:cs="Arial" w:eastAsia="Arial" w:hAnsi="Arial"/>
                <w:sz w:val="14"/>
                <w:szCs w:val="14"/>
                <w:b w:val="1"/>
                <w:bCs w:val="1"/>
                <w:color w:val="auto"/>
                <w:w w:val="90"/>
              </w:rPr>
              <w:t>owned</w:t>
            </w:r>
          </w:p>
        </w:tc>
        <w:tc>
          <w:tcPr>
            <w:tcW w:w="880" w:type="dxa"/>
            <w:vAlign w:val="bottom"/>
          </w:tcPr>
          <w:p>
            <w:pPr>
              <w:jc w:val="right"/>
              <w:ind w:right="176"/>
              <w:spacing w:after="0"/>
              <w:rPr>
                <w:sz w:val="20"/>
                <w:szCs w:val="20"/>
                <w:color w:val="auto"/>
              </w:rPr>
            </w:pPr>
            <w:r>
              <w:rPr>
                <w:rFonts w:ascii="Arial" w:cs="Arial" w:eastAsia="Arial" w:hAnsi="Arial"/>
                <w:sz w:val="14"/>
                <w:szCs w:val="14"/>
                <w:b w:val="1"/>
                <w:bCs w:val="1"/>
                <w:color w:val="auto"/>
              </w:rPr>
              <w:t>of class: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the vote: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AI Biotechnology LLC</w:t>
            </w:r>
          </w:p>
        </w:tc>
        <w:tc>
          <w:tcPr>
            <w:tcW w:w="23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44,444,448</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10.7%</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44,444,448</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44,444,448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Access Industries Holdings LLC</w:t>
            </w:r>
          </w:p>
        </w:tc>
        <w:tc>
          <w:tcPr>
            <w:tcW w:w="2340" w:type="dxa"/>
            <w:vAlign w:val="bottom"/>
          </w:tcPr>
          <w:p>
            <w:pPr>
              <w:jc w:val="right"/>
              <w:ind w:right="38"/>
              <w:spacing w:after="0"/>
              <w:rPr>
                <w:sz w:val="20"/>
                <w:szCs w:val="20"/>
                <w:color w:val="auto"/>
              </w:rPr>
            </w:pPr>
            <w:r>
              <w:rPr>
                <w:rFonts w:ascii="Arial" w:cs="Arial" w:eastAsia="Arial" w:hAnsi="Arial"/>
                <w:sz w:val="18"/>
                <w:szCs w:val="18"/>
                <w:color w:val="auto"/>
              </w:rPr>
              <w:t>44,444,448</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10.7%</w:t>
            </w:r>
          </w:p>
        </w:tc>
        <w:tc>
          <w:tcPr>
            <w:tcW w:w="68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44,444,448</w:t>
            </w: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44,444,448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Access Industries Management, LLC</w:t>
            </w:r>
          </w:p>
        </w:tc>
        <w:tc>
          <w:tcPr>
            <w:tcW w:w="23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44,444,448</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10.7%</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44,444,448</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44,444,448</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Len Blavatnik</w:t>
            </w:r>
          </w:p>
        </w:tc>
        <w:tc>
          <w:tcPr>
            <w:tcW w:w="2340" w:type="dxa"/>
            <w:vAlign w:val="bottom"/>
          </w:tcPr>
          <w:p>
            <w:pPr>
              <w:jc w:val="right"/>
              <w:ind w:right="38"/>
              <w:spacing w:after="0"/>
              <w:rPr>
                <w:sz w:val="20"/>
                <w:szCs w:val="20"/>
                <w:color w:val="auto"/>
              </w:rPr>
            </w:pPr>
            <w:r>
              <w:rPr>
                <w:rFonts w:ascii="Arial" w:cs="Arial" w:eastAsia="Arial" w:hAnsi="Arial"/>
                <w:sz w:val="18"/>
                <w:szCs w:val="18"/>
                <w:color w:val="auto"/>
              </w:rPr>
              <w:t>44,444,448</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10.7%</w:t>
            </w:r>
          </w:p>
        </w:tc>
        <w:tc>
          <w:tcPr>
            <w:tcW w:w="68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44,444,448</w:t>
            </w: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44,444,448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Each of Access Industries Holdings LLC, Access Industries Management, LLC and Len Blavatnik may be deemed to beneficially own the shares of the Issuer’s Ordinary Shares beneficially owned by AI Biotechnology LLC, a subsidiary in a multi-tier corporate structure of which Access Industries Holdings LLC is the parent holding company and is ultimately managed by Access Industries Management, LLC and controlled by Mr. Blavatnik.</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72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By signing below the Reporting Persons certify that, to the best of their knowledge and belief, the securities referred to above were not acquired and are not held for the purpose of or with the effect of changing or influencing the control of the Issuer and were not acquired and are not held in connection with or as a participant in any transaction having that purpose or effect, other than activities solely in connection with a nomination under Exchange Act Rule 14a-11.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9</w:t>
      </w:r>
    </w:p>
    <w:p>
      <w:pPr>
        <w:sectPr>
          <w:pgSz w:w="11900" w:h="16838" w:orient="portrait"/>
          <w:cols w:equalWidth="0" w:num="1">
            <w:col w:w="11020"/>
          </w:cols>
          <w:pgMar w:left="440" w:top="274" w:right="439" w:bottom="1440" w:gutter="0" w:footer="0" w:header="0"/>
          <w:type w:val="continuous"/>
        </w:sectPr>
      </w:pPr>
    </w:p>
    <w:bookmarkStart w:id="7" w:name="page8"/>
    <w:bookmarkEnd w:id="7"/>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904"/>
          </w:cols>
          <w:pgMar w:left="436" w:top="270" w:right="559" w:bottom="1440" w:gutter="0" w:footer="0" w:header="0"/>
        </w:sectPr>
      </w:pP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July 24, 2020</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AI BIOTECHNOLOGY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ACCESS INDUSTRIES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
        <w:spacing w:after="0"/>
        <w:rPr>
          <w:sz w:val="20"/>
          <w:szCs w:val="20"/>
          <w:color w:val="auto"/>
        </w:rPr>
      </w:pPr>
      <w:r>
        <w:rPr>
          <w:rFonts w:ascii="Arial" w:cs="Arial" w:eastAsia="Arial" w:hAnsi="Arial"/>
          <w:sz w:val="17"/>
          <w:szCs w:val="17"/>
          <w:color w:val="auto"/>
        </w:rPr>
        <w:t>ACCESS INDUSTRIES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1959610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Access Industries Management, LLC, Its Manager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Alejandro Moreno /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By: Access Industries Management, LLC, Its Manager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Alejandro Moreno /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Alejandro Moreno /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 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98" w:lineRule="exact"/>
        <w:rPr>
          <w:sz w:val="20"/>
          <w:szCs w:val="20"/>
          <w:color w:val="auto"/>
        </w:rPr>
      </w:pPr>
    </w:p>
    <w:p>
      <w:pPr>
        <w:sectPr>
          <w:pgSz w:w="11900" w:h="16838" w:orient="portrait"/>
          <w:cols w:equalWidth="0" w:num="2">
            <w:col w:w="5124" w:space="720"/>
            <w:col w:w="5060"/>
          </w:cols>
          <w:pgMar w:left="436" w:top="270" w:right="559" w:bottom="1440" w:gutter="0" w:footer="0" w:header="0"/>
          <w:type w:val="continuous"/>
        </w:sectPr>
      </w:pPr>
    </w:p>
    <w:p>
      <w:pPr>
        <w:jc w:val="both"/>
        <w:ind w:left="224" w:right="640" w:hanging="224"/>
        <w:spacing w:after="0" w:line="342" w:lineRule="auto"/>
        <w:tabs>
          <w:tab w:leader="none" w:pos="2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undersigned, by signing his name hereto, executes this Joint Filing Agreement pursuant to the Power of Attorney executed on behalf of Mr. Blavatnik (filed as Exhibit 99.2 to his Schedule 13G related to the common stock of Pandion Therapeutics, Inc. filed on July 24, 2020).</w:t>
      </w:r>
    </w:p>
    <w:p>
      <w:pPr>
        <w:spacing w:after="0" w:line="151"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0904"/>
          </w:cols>
          <w:pgMar w:left="436" w:top="270" w:right="55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The undersigned agree that the attached Schedule 13G dated July 24, 2020 relating to the ordinary shares, nominal value £0.05 per share, of Verona Pharma Plc shall be filed on behalf of the undersigned.</w:t>
      </w:r>
    </w:p>
    <w:p>
      <w:pPr>
        <w:sectPr>
          <w:pgSz w:w="11900" w:h="16838" w:orient="portrait"/>
          <w:cols w:equalWidth="0" w:num="1">
            <w:col w:w="11024"/>
          </w:cols>
          <w:pgMar w:left="436" w:top="121" w:right="439" w:bottom="1440" w:gutter="0" w:footer="0" w:header="0"/>
        </w:sectPr>
      </w:pP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July 24, 2020</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AI BIOTECHNOLOGY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ACCESS INDUSTRIES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
        <w:spacing w:after="0"/>
        <w:rPr>
          <w:sz w:val="20"/>
          <w:szCs w:val="20"/>
          <w:color w:val="auto"/>
        </w:rPr>
      </w:pPr>
      <w:r>
        <w:rPr>
          <w:rFonts w:ascii="Arial" w:cs="Arial" w:eastAsia="Arial" w:hAnsi="Arial"/>
          <w:sz w:val="17"/>
          <w:szCs w:val="17"/>
          <w:color w:val="auto"/>
        </w:rPr>
        <w:t>ACCESS INDUSTRIES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1959610</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Access Industries Management, LLC, Its Manager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Alejandro Moreno /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By: Access Industries Management, LLC, Its Manager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Alejandro Moreno /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Alejandro Moreno /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 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98" w:lineRule="exact"/>
        <w:rPr>
          <w:sz w:val="20"/>
          <w:szCs w:val="20"/>
          <w:color w:val="auto"/>
        </w:rPr>
      </w:pPr>
    </w:p>
    <w:p>
      <w:pPr>
        <w:sectPr>
          <w:pgSz w:w="11900" w:h="16838" w:orient="portrait"/>
          <w:cols w:equalWidth="0" w:num="2">
            <w:col w:w="5124" w:space="720"/>
            <w:col w:w="5180"/>
          </w:cols>
          <w:pgMar w:left="436" w:top="121" w:right="439" w:bottom="1440" w:gutter="0" w:footer="0" w:header="0"/>
          <w:type w:val="continuous"/>
        </w:sectPr>
      </w:pPr>
    </w:p>
    <w:p>
      <w:pPr>
        <w:jc w:val="both"/>
        <w:ind w:left="224" w:right="760" w:hanging="224"/>
        <w:spacing w:after="0" w:line="342" w:lineRule="auto"/>
        <w:tabs>
          <w:tab w:leader="none" w:pos="22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undersigned, by signing his name hereto, executes this Joint Filing Agreement pursuant to the Power of Attorney executed on behalf of Mr. Blavatnik (filed as Exhibit 99.2 to his Schedule 13G related to the common stock of Pandion Therapeutics, Inc. filed on July 24, 2020).</w:t>
      </w:r>
    </w:p>
    <w:p>
      <w:pPr>
        <w:spacing w:after="0" w:line="151"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Attorney-in-Fact</w:t>
      </w:r>
    </w:p>
    <w:sectPr>
      <w:pgSz w:w="11900" w:h="16838" w:orient="portrait"/>
      <w:cols w:equalWidth="0" w:num="1">
        <w:col w:w="11024"/>
      </w:cols>
      <w:pgMar w:left="436"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
      <w:numFmt w:val="bullet"/>
      <w:start w:val="1"/>
    </w:lvl>
  </w:abstractNum>
  <w:abstractNum w:abstractNumId="3">
    <w:nsid w:val="2901D82"/>
    <w:multiLevelType w:val="hybridMultilevel"/>
    <w:lvl w:ilvl="0">
      <w:lvlJc w:val="left"/>
      <w:lvlText w:val="**"/>
      <w:numFmt w:val="bullet"/>
      <w:start w:val="1"/>
    </w:lvl>
    <w:lvl w:ilvl="1">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2"/>
    </w:lvl>
  </w:abstractNum>
  <w:abstractNum w:abstractNumId="6">
    <w:nsid w:val="1E7FF521"/>
    <w:multiLevelType w:val="hybridMultilevel"/>
    <w:lvl w:ilvl="0">
      <w:lvlJc w:val="left"/>
      <w:lvlText w:val="%1."/>
      <w:numFmt w:val="decimal"/>
      <w:start w:val="3"/>
    </w:lvl>
  </w:abstractNum>
  <w:abstractNum w:abstractNumId="7">
    <w:nsid w:val="7C3DBD3D"/>
    <w:multiLevelType w:val="hybridMultilevel"/>
    <w:lvl w:ilvl="0">
      <w:lvlJc w:val="left"/>
      <w:lvlText w:val="%1."/>
      <w:numFmt w:val="decimal"/>
      <w:start w:val="5"/>
    </w:lvl>
  </w:abstractNum>
  <w:abstractNum w:abstractNumId="8">
    <w:nsid w:val="737B8DDC"/>
    <w:multiLevelType w:val="hybridMultilevel"/>
    <w:lvl w:ilvl="0">
      <w:lvlJc w:val="left"/>
      <w:lvlText w:val="%1."/>
      <w:numFmt w:val="decimal"/>
      <w:start w:val="6"/>
    </w:lvl>
  </w:abstractNum>
  <w:abstractNum w:abstractNumId="9">
    <w:nsid w:val="6CEAF087"/>
    <w:multiLevelType w:val="hybridMultilevel"/>
    <w:lvl w:ilvl="0">
      <w:lvlJc w:val="left"/>
      <w:lvlText w:val="%1."/>
      <w:numFmt w:val="decimal"/>
      <w:start w:val="7"/>
    </w:lvl>
  </w:abstractNum>
  <w:abstractNum w:abstractNumId="10">
    <w:nsid w:val="22221A70"/>
    <w:multiLevelType w:val="hybridMultilevel"/>
    <w:lvl w:ilvl="0">
      <w:lvlJc w:val="left"/>
      <w:lvlText w:val="%1."/>
      <w:numFmt w:val="decimal"/>
      <w:start w:val="8"/>
    </w:lvl>
  </w:abstractNum>
  <w:abstractNum w:abstractNumId="11">
    <w:nsid w:val="4516DDE9"/>
    <w:multiLevelType w:val="hybridMultilevel"/>
    <w:lvl w:ilvl="0">
      <w:lvlJc w:val="left"/>
      <w:lvlText w:val="%1."/>
      <w:numFmt w:val="decimal"/>
      <w:start w:val="9"/>
    </w:lvl>
  </w:abstractNum>
  <w:abstractNum w:abstractNumId="12">
    <w:nsid w:val="3006C83E"/>
    <w:multiLevelType w:val="hybridMultilevel"/>
    <w:lvl w:ilvl="0">
      <w:lvlJc w:val="left"/>
      <w:lvlText w:val="%1."/>
      <w:numFmt w:val="decimal"/>
      <w:start w:val="10"/>
    </w:lvl>
  </w:abstractNum>
  <w:abstractNum w:abstractNumId="13">
    <w:nsid w:val="614FD4A1"/>
    <w:multiLevelType w:val="hybridMultilevel"/>
    <w:lvl w:ilvl="0">
      <w:lvlJc w:val="left"/>
      <w:lvlText w:val="%1"/>
      <w:numFmt w:val="decimal"/>
      <w:start w:val="1"/>
    </w:lvl>
    <w:lvl w:ilvl="1">
      <w:lvlJc w:val="left"/>
      <w:lvlText w:val="%2."/>
      <w:numFmt w:val="decimal"/>
      <w:start w:val="12"/>
    </w:lvl>
    <w:lvl w:ilvl="2">
      <w:lvlJc w:val="left"/>
      <w:lvlText w:val="%3"/>
      <w:numFmt w:val="upperLetter"/>
      <w:start w:val="41"/>
    </w:lvl>
  </w:abstractNum>
  <w:abstractNum w:abstractNumId="14">
    <w:nsid w:val="419AC241"/>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2"/>
    </w:lvl>
  </w:abstractNum>
  <w:abstractNum w:abstractNumId="17">
    <w:nsid w:val="5072367"/>
    <w:multiLevelType w:val="hybridMultilevel"/>
    <w:lvl w:ilvl="0">
      <w:lvlJc w:val="left"/>
      <w:lvlText w:val="%1."/>
      <w:numFmt w:val="decimal"/>
      <w:start w:val="3"/>
    </w:lvl>
  </w:abstractNum>
  <w:abstractNum w:abstractNumId="18">
    <w:nsid w:val="3804823E"/>
    <w:multiLevelType w:val="hybridMultilevel"/>
    <w:lvl w:ilvl="0">
      <w:lvlJc w:val="left"/>
      <w:lvlText w:val="%1."/>
      <w:numFmt w:val="decimal"/>
      <w:start w:val="5"/>
    </w:lvl>
  </w:abstractNum>
  <w:abstractNum w:abstractNumId="19">
    <w:nsid w:val="77465F01"/>
    <w:multiLevelType w:val="hybridMultilevel"/>
    <w:lvl w:ilvl="0">
      <w:lvlJc w:val="left"/>
      <w:lvlText w:val="%1."/>
      <w:numFmt w:val="decimal"/>
      <w:start w:val="6"/>
    </w:lvl>
  </w:abstractNum>
  <w:abstractNum w:abstractNumId="20">
    <w:nsid w:val="7724C67E"/>
    <w:multiLevelType w:val="hybridMultilevel"/>
    <w:lvl w:ilvl="0">
      <w:lvlJc w:val="left"/>
      <w:lvlText w:val="%1."/>
      <w:numFmt w:val="decimal"/>
      <w:start w:val="7"/>
    </w:lvl>
  </w:abstractNum>
  <w:abstractNum w:abstractNumId="21">
    <w:nsid w:val="5C482A97"/>
    <w:multiLevelType w:val="hybridMultilevel"/>
    <w:lvl w:ilvl="0">
      <w:lvlJc w:val="left"/>
      <w:lvlText w:val="%1."/>
      <w:numFmt w:val="decimal"/>
      <w:start w:val="8"/>
    </w:lvl>
  </w:abstractNum>
  <w:abstractNum w:abstractNumId="22">
    <w:nsid w:val="2463B9EA"/>
    <w:multiLevelType w:val="hybridMultilevel"/>
    <w:lvl w:ilvl="0">
      <w:lvlJc w:val="left"/>
      <w:lvlText w:val="%1."/>
      <w:numFmt w:val="decimal"/>
      <w:start w:val="9"/>
    </w:lvl>
  </w:abstractNum>
  <w:abstractNum w:abstractNumId="23">
    <w:nsid w:val="5E884ADC"/>
    <w:multiLevelType w:val="hybridMultilevel"/>
    <w:lvl w:ilvl="0">
      <w:lvlJc w:val="left"/>
      <w:lvlText w:val="%1."/>
      <w:numFmt w:val="decimal"/>
      <w:start w:val="10"/>
    </w:lvl>
  </w:abstractNum>
  <w:abstractNum w:abstractNumId="24">
    <w:nsid w:val="51EAD36B"/>
    <w:multiLevelType w:val="hybridMultilevel"/>
    <w:lvl w:ilvl="0">
      <w:lvlJc w:val="left"/>
      <w:lvlText w:val="%1"/>
      <w:numFmt w:val="decimal"/>
      <w:start w:val="1"/>
    </w:lvl>
    <w:lvl w:ilvl="1">
      <w:lvlJc w:val="left"/>
      <w:lvlText w:val="%2."/>
      <w:numFmt w:val="decimal"/>
      <w:start w:val="12"/>
    </w:lvl>
    <w:lvl w:ilvl="2">
      <w:lvlJc w:val="left"/>
      <w:lvlText w:val="%3"/>
      <w:numFmt w:val="upperLetter"/>
      <w:start w:val="41"/>
    </w:lvl>
  </w:abstractNum>
  <w:abstractNum w:abstractNumId="25">
    <w:nsid w:val="2D517796"/>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2"/>
    </w:lvl>
  </w:abstractNum>
  <w:abstractNum w:abstractNumId="28">
    <w:nsid w:val="3855585C"/>
    <w:multiLevelType w:val="hybridMultilevel"/>
    <w:lvl w:ilvl="0">
      <w:lvlJc w:val="left"/>
      <w:lvlText w:val="%1."/>
      <w:numFmt w:val="decimal"/>
      <w:start w:val="3"/>
    </w:lvl>
  </w:abstractNum>
  <w:abstractNum w:abstractNumId="29">
    <w:nsid w:val="70A64E2A"/>
    <w:multiLevelType w:val="hybridMultilevel"/>
    <w:lvl w:ilvl="0">
      <w:lvlJc w:val="left"/>
      <w:lvlText w:val="%1."/>
      <w:numFmt w:val="decimal"/>
      <w:start w:val="5"/>
    </w:lvl>
  </w:abstractNum>
  <w:abstractNum w:abstractNumId="30">
    <w:nsid w:val="6A2342EC"/>
    <w:multiLevelType w:val="hybridMultilevel"/>
    <w:lvl w:ilvl="0">
      <w:lvlJc w:val="left"/>
      <w:lvlText w:val="%1."/>
      <w:numFmt w:val="decimal"/>
      <w:start w:val="6"/>
    </w:lvl>
  </w:abstractNum>
  <w:abstractNum w:abstractNumId="31">
    <w:nsid w:val="2A487CB0"/>
    <w:multiLevelType w:val="hybridMultilevel"/>
    <w:lvl w:ilvl="0">
      <w:lvlJc w:val="left"/>
      <w:lvlText w:val="%1."/>
      <w:numFmt w:val="decimal"/>
      <w:start w:val="7"/>
    </w:lvl>
  </w:abstractNum>
  <w:abstractNum w:abstractNumId="32">
    <w:nsid w:val="1D4ED43B"/>
    <w:multiLevelType w:val="hybridMultilevel"/>
    <w:lvl w:ilvl="0">
      <w:lvlJc w:val="left"/>
      <w:lvlText w:val="%1."/>
      <w:numFmt w:val="decimal"/>
      <w:start w:val="8"/>
    </w:lvl>
  </w:abstractNum>
  <w:abstractNum w:abstractNumId="33">
    <w:nsid w:val="725A06FB"/>
    <w:multiLevelType w:val="hybridMultilevel"/>
    <w:lvl w:ilvl="0">
      <w:lvlJc w:val="left"/>
      <w:lvlText w:val="%1."/>
      <w:numFmt w:val="decimal"/>
      <w:start w:val="9"/>
    </w:lvl>
  </w:abstractNum>
  <w:abstractNum w:abstractNumId="34">
    <w:nsid w:val="2CD89A32"/>
    <w:multiLevelType w:val="hybridMultilevel"/>
    <w:lvl w:ilvl="0">
      <w:lvlJc w:val="left"/>
      <w:lvlText w:val="%1."/>
      <w:numFmt w:val="decimal"/>
      <w:start w:val="10"/>
    </w:lvl>
  </w:abstractNum>
  <w:abstractNum w:abstractNumId="35">
    <w:nsid w:val="57E4CCAF"/>
    <w:multiLevelType w:val="hybridMultilevel"/>
    <w:lvl w:ilvl="0">
      <w:lvlJc w:val="left"/>
      <w:lvlText w:val="%1"/>
      <w:numFmt w:val="decimal"/>
      <w:start w:val="1"/>
    </w:lvl>
    <w:lvl w:ilvl="1">
      <w:lvlJc w:val="left"/>
      <w:lvlText w:val="%2."/>
      <w:numFmt w:val="decimal"/>
      <w:start w:val="12"/>
    </w:lvl>
    <w:lvl w:ilvl="2">
      <w:lvlJc w:val="left"/>
      <w:lvlText w:val="%3"/>
      <w:numFmt w:val="upperLetter"/>
      <w:start w:val="41"/>
    </w:lvl>
  </w:abstractNum>
  <w:abstractNum w:abstractNumId="36">
    <w:nsid w:val="7A6D8D3C"/>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2"/>
    </w:lvl>
  </w:abstractNum>
  <w:abstractNum w:abstractNumId="39">
    <w:nsid w:val="6DE91B18"/>
    <w:multiLevelType w:val="hybridMultilevel"/>
    <w:lvl w:ilvl="0">
      <w:lvlJc w:val="left"/>
      <w:lvlText w:val="%1."/>
      <w:numFmt w:val="decimal"/>
      <w:start w:val="3"/>
    </w:lvl>
  </w:abstractNum>
  <w:abstractNum w:abstractNumId="40">
    <w:nsid w:val="38437FDB"/>
    <w:multiLevelType w:val="hybridMultilevel"/>
    <w:lvl w:ilvl="0">
      <w:lvlJc w:val="left"/>
      <w:lvlText w:val="%1."/>
      <w:numFmt w:val="decimal"/>
      <w:start w:val="5"/>
    </w:lvl>
  </w:abstractNum>
  <w:abstractNum w:abstractNumId="41">
    <w:nsid w:val="7644A45C"/>
    <w:multiLevelType w:val="hybridMultilevel"/>
    <w:lvl w:ilvl="0">
      <w:lvlJc w:val="left"/>
      <w:lvlText w:val="%1."/>
      <w:numFmt w:val="decimal"/>
      <w:start w:val="6"/>
    </w:lvl>
  </w:abstractNum>
  <w:abstractNum w:abstractNumId="42">
    <w:nsid w:val="32FFF902"/>
    <w:multiLevelType w:val="hybridMultilevel"/>
    <w:lvl w:ilvl="0">
      <w:lvlJc w:val="left"/>
      <w:lvlText w:val="%1."/>
      <w:numFmt w:val="decimal"/>
      <w:start w:val="7"/>
    </w:lvl>
  </w:abstractNum>
  <w:abstractNum w:abstractNumId="43">
    <w:nsid w:val="684A481A"/>
    <w:multiLevelType w:val="hybridMultilevel"/>
    <w:lvl w:ilvl="0">
      <w:lvlJc w:val="left"/>
      <w:lvlText w:val="%1."/>
      <w:numFmt w:val="decimal"/>
      <w:start w:val="8"/>
    </w:lvl>
  </w:abstractNum>
  <w:abstractNum w:abstractNumId="44">
    <w:nsid w:val="579478FE"/>
    <w:multiLevelType w:val="hybridMultilevel"/>
    <w:lvl w:ilvl="0">
      <w:lvlJc w:val="left"/>
      <w:lvlText w:val="%1."/>
      <w:numFmt w:val="decimal"/>
      <w:start w:val="9"/>
    </w:lvl>
  </w:abstractNum>
  <w:abstractNum w:abstractNumId="45">
    <w:nsid w:val="749ABB43"/>
    <w:multiLevelType w:val="hybridMultilevel"/>
    <w:lvl w:ilvl="0">
      <w:lvlJc w:val="left"/>
      <w:lvlText w:val="%1."/>
      <w:numFmt w:val="decimal"/>
      <w:start w:val="10"/>
    </w:lvl>
  </w:abstractNum>
  <w:abstractNum w:abstractNumId="46">
    <w:nsid w:val="3DC240FB"/>
    <w:multiLevelType w:val="hybridMultilevel"/>
    <w:lvl w:ilvl="0">
      <w:lvlJc w:val="left"/>
      <w:lvlText w:val="%1"/>
      <w:numFmt w:val="decimal"/>
      <w:start w:val="1"/>
    </w:lvl>
    <w:lvl w:ilvl="1">
      <w:lvlJc w:val="left"/>
      <w:lvlText w:val="%2."/>
      <w:numFmt w:val="decimal"/>
      <w:start w:val="12"/>
    </w:lvl>
    <w:lvl w:ilvl="2">
      <w:lvlJc w:val="left"/>
      <w:lvlText w:val="%3"/>
      <w:numFmt w:val="upperLetter"/>
      <w:start w:val="41"/>
    </w:lvl>
  </w:abstractNum>
  <w:abstractNum w:abstractNumId="47">
    <w:nsid w:val="1BA026FA"/>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lowerLetter"/>
      <w:start w:val="2"/>
    </w:lvl>
  </w:abstractNum>
  <w:abstractNum w:abstractNumId="51">
    <w:nsid w:val="70C6A529"/>
    <w:multiLevelType w:val="hybridMultilevel"/>
    <w:lvl w:ilvl="0">
      <w:lvlJc w:val="left"/>
      <w:lvlText w:val="(%1)"/>
      <w:numFmt w:val="lowerLetter"/>
      <w:start w:val="3"/>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2020-07-24T16:22:31Z</dcterms:created>
  <dcterms:modified xsi:type="dcterms:W3CDTF">2020-07-24T16:22:31Z</dcterms:modified>
</cp:coreProperties>
</file>