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ORBIMED ADVISORS LLC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100"/>
              <w:spacing w:after="0"/>
              <w:rPr>
                <w:sz w:val="20"/>
                <w:szCs w:val="20"/>
                <w:color w:val="auto"/>
              </w:rPr>
            </w:pPr>
            <w:r>
              <w:rPr>
                <w:rFonts w:ascii="Arial" w:cs="Arial" w:eastAsia="Arial" w:hAnsi="Arial"/>
                <w:sz w:val="14"/>
                <w:szCs w:val="14"/>
                <w:color w:val="auto"/>
              </w:rPr>
              <w:t>(First)</w:t>
            </w:r>
          </w:p>
        </w:tc>
        <w:tc>
          <w:tcPr>
            <w:tcW w:w="138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601 LEXINGTON AVENUE</w:t>
            </w:r>
          </w:p>
        </w:tc>
        <w:tc>
          <w:tcPr>
            <w:tcW w:w="13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54TH FLOOR</w:t>
            </w:r>
          </w:p>
        </w:tc>
        <w:tc>
          <w:tcPr>
            <w:tcW w:w="11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NEW YORK</w:t>
            </w:r>
          </w:p>
        </w:tc>
        <w:tc>
          <w:tcPr>
            <w:tcW w:w="1120" w:type="dxa"/>
            <w:vAlign w:val="bottom"/>
          </w:tcPr>
          <w:p>
            <w:pPr>
              <w:ind w:left="100"/>
              <w:spacing w:after="0"/>
              <w:rPr>
                <w:sz w:val="20"/>
                <w:szCs w:val="20"/>
                <w:color w:val="auto"/>
              </w:rPr>
            </w:pPr>
            <w:r>
              <w:rPr>
                <w:rFonts w:ascii="Arial" w:cs="Arial" w:eastAsia="Arial" w:hAnsi="Arial"/>
                <w:sz w:val="18"/>
                <w:szCs w:val="18"/>
                <w:color w:val="0000FF"/>
              </w:rPr>
              <w:t>NY</w:t>
            </w:r>
          </w:p>
        </w:tc>
        <w:tc>
          <w:tcPr>
            <w:tcW w:w="1380" w:type="dxa"/>
            <w:vAlign w:val="bottom"/>
          </w:tcPr>
          <w:p>
            <w:pPr>
              <w:ind w:left="20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00"/>
              <w:spacing w:after="0"/>
              <w:rPr>
                <w:sz w:val="20"/>
                <w:szCs w:val="20"/>
                <w:color w:val="auto"/>
              </w:rPr>
            </w:pPr>
            <w:r>
              <w:rPr>
                <w:rFonts w:ascii="Arial" w:cs="Arial" w:eastAsia="Arial" w:hAnsi="Arial"/>
                <w:sz w:val="14"/>
                <w:szCs w:val="14"/>
                <w:color w:val="auto"/>
              </w:rPr>
              <w:t>(State)</w:t>
            </w:r>
          </w:p>
        </w:tc>
        <w:tc>
          <w:tcPr>
            <w:tcW w:w="1380" w:type="dxa"/>
            <w:vAlign w:val="bottom"/>
          </w:tcPr>
          <w:p>
            <w:pPr>
              <w:ind w:left="2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Verona Pharma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VRNA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2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0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ind w:left="5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220" w:type="dxa"/>
            <w:vAlign w:val="bottom"/>
          </w:tcPr>
          <w:p>
            <w:pPr>
              <w:spacing w:after="0"/>
              <w:rPr>
                <w:sz w:val="18"/>
                <w:szCs w:val="18"/>
                <w:color w:val="auto"/>
              </w:rPr>
            </w:pPr>
          </w:p>
        </w:tc>
        <w:tc>
          <w:tcPr>
            <w:tcW w:w="156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0000FF"/>
              </w:rPr>
              <w:t>05/11/2023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1"/>
              <w:spacing w:after="0"/>
              <w:rPr>
                <w:sz w:val="20"/>
                <w:szCs w:val="20"/>
                <w:color w:val="auto"/>
              </w:rPr>
            </w:pPr>
            <w:r>
              <w:rPr>
                <w:rFonts w:ascii="Arial" w:cs="Arial" w:eastAsia="Arial" w:hAnsi="Arial"/>
                <w:sz w:val="18"/>
                <w:szCs w:val="18"/>
                <w:color w:val="0000FF"/>
                <w:w w:val="84"/>
              </w:rPr>
              <w:t>80,000</w:t>
            </w:r>
            <w:r>
              <w:rPr>
                <w:rFonts w:ascii="Arial" w:cs="Arial" w:eastAsia="Arial" w:hAnsi="Arial"/>
                <w:sz w:val="22"/>
                <w:szCs w:val="22"/>
                <w:color w:val="008000"/>
                <w:w w:val="84"/>
                <w:vertAlign w:val="superscript"/>
              </w:rPr>
              <w:t>(1)</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jc w:val="center"/>
              <w:ind w:left="8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22.26</w:t>
            </w:r>
          </w:p>
        </w:tc>
        <w:tc>
          <w:tcPr>
            <w:tcW w:w="160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0000FF"/>
              </w:rPr>
              <w:t>4,180,691</w:t>
            </w:r>
            <w:r>
              <w:rPr>
                <w:rFonts w:ascii="Arial" w:cs="Arial" w:eastAsia="Arial" w:hAnsi="Arial"/>
                <w:sz w:val="22"/>
                <w:szCs w:val="22"/>
                <w:color w:val="008000"/>
                <w:vertAlign w:val="superscript"/>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220" w:type="dxa"/>
            <w:vAlign w:val="bottom"/>
          </w:tcPr>
          <w:p>
            <w:pPr>
              <w:spacing w:after="0"/>
              <w:rPr>
                <w:sz w:val="22"/>
                <w:szCs w:val="22"/>
                <w:color w:val="auto"/>
              </w:rPr>
            </w:pPr>
          </w:p>
        </w:tc>
        <w:tc>
          <w:tcPr>
            <w:tcW w:w="156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0000FF"/>
              </w:rPr>
              <w:t>05/12/2023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1"/>
              <w:spacing w:after="0"/>
              <w:rPr>
                <w:sz w:val="20"/>
                <w:szCs w:val="20"/>
                <w:color w:val="auto"/>
              </w:rPr>
            </w:pPr>
            <w:r>
              <w:rPr>
                <w:rFonts w:ascii="Arial" w:cs="Arial" w:eastAsia="Arial" w:hAnsi="Arial"/>
                <w:sz w:val="18"/>
                <w:szCs w:val="18"/>
                <w:color w:val="0000FF"/>
                <w:w w:val="84"/>
              </w:rPr>
              <w:t>43,200</w:t>
            </w:r>
            <w:r>
              <w:rPr>
                <w:rFonts w:ascii="Arial" w:cs="Arial" w:eastAsia="Arial" w:hAnsi="Arial"/>
                <w:sz w:val="22"/>
                <w:szCs w:val="22"/>
                <w:color w:val="008000"/>
                <w:w w:val="84"/>
                <w:vertAlign w:val="superscript"/>
              </w:rPr>
              <w:t>(1)</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jc w:val="center"/>
              <w:ind w:left="8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21.64</w:t>
            </w:r>
          </w:p>
        </w:tc>
        <w:tc>
          <w:tcPr>
            <w:tcW w:w="160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0000FF"/>
              </w:rPr>
              <w:t>4,137,491</w:t>
            </w:r>
            <w:r>
              <w:rPr>
                <w:rFonts w:ascii="Arial" w:cs="Arial" w:eastAsia="Arial" w:hAnsi="Arial"/>
                <w:sz w:val="22"/>
                <w:szCs w:val="22"/>
                <w:color w:val="008000"/>
                <w:vertAlign w:val="superscript"/>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220" w:type="dxa"/>
            <w:vAlign w:val="bottom"/>
          </w:tcPr>
          <w:p>
            <w:pPr>
              <w:spacing w:after="0"/>
              <w:rPr>
                <w:sz w:val="22"/>
                <w:szCs w:val="22"/>
                <w:color w:val="auto"/>
              </w:rPr>
            </w:pPr>
          </w:p>
        </w:tc>
        <w:tc>
          <w:tcPr>
            <w:tcW w:w="156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0000FF"/>
              </w:rPr>
              <w:t>05/15/2023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1"/>
              <w:spacing w:after="0"/>
              <w:rPr>
                <w:sz w:val="20"/>
                <w:szCs w:val="20"/>
                <w:color w:val="auto"/>
              </w:rPr>
            </w:pPr>
            <w:r>
              <w:rPr>
                <w:rFonts w:ascii="Arial" w:cs="Arial" w:eastAsia="Arial" w:hAnsi="Arial"/>
                <w:sz w:val="18"/>
                <w:szCs w:val="18"/>
                <w:color w:val="0000FF"/>
                <w:w w:val="84"/>
              </w:rPr>
              <w:t>14,400</w:t>
            </w:r>
            <w:r>
              <w:rPr>
                <w:rFonts w:ascii="Arial" w:cs="Arial" w:eastAsia="Arial" w:hAnsi="Arial"/>
                <w:sz w:val="22"/>
                <w:szCs w:val="22"/>
                <w:color w:val="008000"/>
                <w:w w:val="84"/>
                <w:vertAlign w:val="superscript"/>
              </w:rPr>
              <w:t>(1)</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jc w:val="center"/>
              <w:ind w:left="8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21.96</w:t>
            </w:r>
          </w:p>
        </w:tc>
        <w:tc>
          <w:tcPr>
            <w:tcW w:w="160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0000FF"/>
              </w:rPr>
              <w:t>4,123,091</w:t>
            </w:r>
            <w:r>
              <w:rPr>
                <w:rFonts w:ascii="Arial" w:cs="Arial" w:eastAsia="Arial" w:hAnsi="Arial"/>
                <w:sz w:val="22"/>
                <w:szCs w:val="22"/>
                <w:color w:val="008000"/>
                <w:vertAlign w:val="superscript"/>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220" w:type="dxa"/>
            <w:vAlign w:val="bottom"/>
          </w:tcPr>
          <w:p>
            <w:pPr>
              <w:spacing w:after="0"/>
              <w:rPr>
                <w:sz w:val="22"/>
                <w:szCs w:val="22"/>
                <w:color w:val="auto"/>
              </w:rPr>
            </w:pPr>
          </w:p>
        </w:tc>
        <w:tc>
          <w:tcPr>
            <w:tcW w:w="156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0000FF"/>
              </w:rPr>
              <w:t>05/15/2023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1"/>
              <w:spacing w:after="0"/>
              <w:rPr>
                <w:sz w:val="20"/>
                <w:szCs w:val="20"/>
                <w:color w:val="auto"/>
              </w:rPr>
            </w:pPr>
            <w:r>
              <w:rPr>
                <w:rFonts w:ascii="Arial" w:cs="Arial" w:eastAsia="Arial" w:hAnsi="Arial"/>
                <w:sz w:val="18"/>
                <w:szCs w:val="18"/>
                <w:color w:val="0000FF"/>
                <w:w w:val="84"/>
              </w:rPr>
              <w:t>345,313</w:t>
            </w:r>
            <w:r>
              <w:rPr>
                <w:rFonts w:ascii="Arial" w:cs="Arial" w:eastAsia="Arial" w:hAnsi="Arial"/>
                <w:sz w:val="22"/>
                <w:szCs w:val="22"/>
                <w:color w:val="008000"/>
                <w:w w:val="84"/>
                <w:vertAlign w:val="superscript"/>
              </w:rPr>
              <w:t>(1)</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00" w:type="dxa"/>
            <w:vAlign w:val="bottom"/>
            <w:vMerge w:val="restart"/>
          </w:tcPr>
          <w:p>
            <w:pPr>
              <w:jc w:val="center"/>
              <w:ind w:left="167"/>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w:t>
            </w:r>
          </w:p>
        </w:tc>
        <w:tc>
          <w:tcPr>
            <w:tcW w:w="60" w:type="dxa"/>
            <w:vAlign w:val="bottom"/>
          </w:tcPr>
          <w:p>
            <w:pPr>
              <w:spacing w:after="0"/>
              <w:rPr>
                <w:sz w:val="22"/>
                <w:szCs w:val="22"/>
                <w:color w:val="auto"/>
              </w:rPr>
            </w:pPr>
          </w:p>
        </w:tc>
        <w:tc>
          <w:tcPr>
            <w:tcW w:w="160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0000FF"/>
              </w:rPr>
              <w:t>3,777,778</w:t>
            </w:r>
            <w:r>
              <w:rPr>
                <w:rFonts w:ascii="Arial" w:cs="Arial" w:eastAsia="Arial" w:hAnsi="Arial"/>
                <w:sz w:val="22"/>
                <w:szCs w:val="22"/>
                <w:color w:val="008000"/>
                <w:vertAlign w:val="superscript"/>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13"/>
          </w:tcPr>
          <w:p>
            <w:pPr>
              <w:jc w:val="right"/>
              <w:ind w:right="75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60" w:type="dxa"/>
            <w:vAlign w:val="bottom"/>
            <w:gridSpan w:val="11"/>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0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4"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ORBIMED ADVISORS LLC</w:t>
              </w:r>
            </w:hyperlink>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4"/>
                <w:szCs w:val="14"/>
                <w:color w:val="auto"/>
              </w:rPr>
              <w:t>(First)</w:t>
            </w:r>
          </w:p>
        </w:tc>
        <w:tc>
          <w:tcPr>
            <w:tcW w:w="1080" w:type="dxa"/>
            <w:vAlign w:val="bottom"/>
          </w:tcPr>
          <w:p>
            <w:pPr>
              <w:ind w:left="20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-2569845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0" w:lineRule="exact"/>
        <w:rPr>
          <w:sz w:val="24"/>
          <w:szCs w:val="24"/>
          <w:color w:val="auto"/>
        </w:rPr>
      </w:pPr>
    </w:p>
    <w:p>
      <w:pPr>
        <w:ind w:left="120" w:right="8900" w:firstLine="10"/>
        <w:spacing w:after="0" w:line="403" w:lineRule="auto"/>
        <w:tabs>
          <w:tab w:leader="none" w:pos="428" w:val="left"/>
        </w:tabs>
        <w:numPr>
          <w:ilvl w:val="0"/>
          <w:numId w:val="1"/>
        </w:numPr>
        <w:rPr>
          <w:rFonts w:ascii="Arial" w:cs="Arial" w:eastAsia="Arial" w:hAnsi="Arial"/>
          <w:sz w:val="16"/>
          <w:szCs w:val="16"/>
          <w:color w:val="0000FF"/>
        </w:rPr>
      </w:pPr>
      <w:r>
        <w:rPr>
          <w:rFonts w:ascii="Arial" w:cs="Arial" w:eastAsia="Arial" w:hAnsi="Arial"/>
          <w:sz w:val="16"/>
          <w:szCs w:val="16"/>
          <w:color w:val="0000FF"/>
        </w:rPr>
        <w:t>LEXINGTON AVENUE 54TH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20"/>
              <w:spacing w:after="0"/>
              <w:rPr>
                <w:sz w:val="20"/>
                <w:szCs w:val="20"/>
                <w:color w:val="auto"/>
              </w:rPr>
            </w:pPr>
            <w:r>
              <w:rPr>
                <w:rFonts w:ascii="Arial" w:cs="Arial" w:eastAsia="Arial" w:hAnsi="Arial"/>
                <w:sz w:val="18"/>
                <w:szCs w:val="18"/>
                <w:color w:val="0000FF"/>
              </w:rPr>
              <w:t>NY</w:t>
            </w:r>
          </w:p>
        </w:tc>
        <w:tc>
          <w:tcPr>
            <w:tcW w:w="1840" w:type="dxa"/>
            <w:vAlign w:val="bottom"/>
          </w:tcPr>
          <w:p>
            <w:pPr>
              <w:ind w:left="48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2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50"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OrbiMed Capital GP VI LLC</w:t>
        </w:r>
      </w:hyperlink>
    </w:p>
    <w:p>
      <w:pPr>
        <w:sectPr>
          <w:pgSz w:w="11900" w:h="16838" w:orient="portrait"/>
          <w:cols w:equalWidth="0" w:num="1">
            <w:col w:w="11080"/>
          </w:cols>
          <w:pgMar w:left="460" w:top="226" w:right="359" w:bottom="0" w:gutter="0" w:footer="0" w:header="0"/>
          <w:type w:val="continuous"/>
        </w:sectPr>
      </w:pPr>
    </w:p>
    <w:p>
      <w:pPr>
        <w:spacing w:after="0" w:line="308"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26" w:right="359" w:bottom="0" w:gutter="0" w:footer="0" w:header="0"/>
          <w:type w:val="continuous"/>
        </w:sectPr>
      </w:pPr>
    </w:p>
    <w:bookmarkStart w:id="1" w:name="page2"/>
    <w:bookmarkEnd w:id="1"/>
    <w:p>
      <w:pPr>
        <w:ind w:left="80" w:right="8740" w:firstLine="10"/>
        <w:spacing w:after="0" w:line="403" w:lineRule="auto"/>
        <w:tabs>
          <w:tab w:leader="none" w:pos="388" w:val="left"/>
        </w:tabs>
        <w:numPr>
          <w:ilvl w:val="0"/>
          <w:numId w:val="2"/>
        </w:numPr>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page">
              <wp:posOffset>284480</wp:posOffset>
            </wp:positionH>
            <wp:positionV relativeFrom="page">
              <wp:posOffset>88900</wp:posOffset>
            </wp:positionV>
            <wp:extent cx="2794000" cy="1163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00" cy="1163320"/>
                    </a:xfrm>
                    <a:prstGeom prst="rect">
                      <a:avLst/>
                    </a:prstGeom>
                    <a:noFill/>
                  </pic:spPr>
                </pic:pic>
              </a:graphicData>
            </a:graphic>
          </wp:anchor>
        </w:drawing>
        <w:t>LEXINGTON AVENUE 54TH FLOOR</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20"/>
              <w:spacing w:after="0"/>
              <w:rPr>
                <w:sz w:val="20"/>
                <w:szCs w:val="20"/>
                <w:color w:val="auto"/>
              </w:rPr>
            </w:pPr>
            <w:r>
              <w:rPr>
                <w:rFonts w:ascii="Arial" w:cs="Arial" w:eastAsia="Arial" w:hAnsi="Arial"/>
                <w:sz w:val="18"/>
                <w:szCs w:val="18"/>
                <w:color w:val="0000FF"/>
              </w:rPr>
              <w:t>NY</w:t>
            </w:r>
          </w:p>
        </w:tc>
        <w:tc>
          <w:tcPr>
            <w:tcW w:w="1840" w:type="dxa"/>
            <w:vAlign w:val="bottom"/>
          </w:tcPr>
          <w:p>
            <w:pPr>
              <w:ind w:left="48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2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140" w:hanging="131"/>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Consists of American Depository Shares ("ADSs") held of record by OrbiMed Private Investments VI, LP ("OPI VI"). Each ADS represents eight Ordinary Shares of the Issuer.</w:t>
      </w:r>
    </w:p>
    <w:p>
      <w:pPr>
        <w:spacing w:after="0" w:line="64" w:lineRule="exact"/>
        <w:rPr>
          <w:rFonts w:ascii="Arial" w:cs="Arial" w:eastAsia="Arial" w:hAnsi="Arial"/>
          <w:sz w:val="12"/>
          <w:szCs w:val="12"/>
          <w:color w:val="008000"/>
        </w:rPr>
      </w:pPr>
    </w:p>
    <w:p>
      <w:pPr>
        <w:ind w:right="120" w:firstLine="9"/>
        <w:spacing w:after="0" w:line="278"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securities are held of record by OPI VI. OrbiMed Capital GP VI LLC ("OrbiMed GP") is the general partner of OPI VI, and OrbiMed Advisors LLC ("OrbiMed Advisors") is the managing member of OrbiMed GP. By virtue of such relationships, OrbiMed GP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9" w:lineRule="exact"/>
        <w:rPr>
          <w:rFonts w:ascii="Arial" w:cs="Arial" w:eastAsia="Arial" w:hAnsi="Arial"/>
          <w:sz w:val="12"/>
          <w:szCs w:val="12"/>
          <w:color w:val="008000"/>
        </w:rPr>
      </w:pPr>
    </w:p>
    <w:p>
      <w:pPr>
        <w:ind w:firstLine="9"/>
        <w:spacing w:after="0" w:line="230" w:lineRule="auto"/>
        <w:tabs>
          <w:tab w:leader="none" w:pos="133"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report on Form 4 is jointly filed by OrbiMed Advisors and OrbiMed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Rishi Gupta, an employee of OrbiMed Advisors, to serve on the Issuer's board of directors. This report shall not be deemed an admission that any such entity or person is a beneficial owner of such securities for purposes of Section 16 of the Exchange Act, or for any other purpose.</w:t>
      </w:r>
    </w:p>
    <w:p>
      <w:pPr>
        <w:sectPr>
          <w:pgSz w:w="11900" w:h="16838" w:orient="portrait"/>
          <w:cols w:equalWidth="0" w:num="1">
            <w:col w:w="10880"/>
          </w:cols>
          <w:pgMar w:left="500" w:top="172" w:right="519" w:bottom="1440" w:gutter="0" w:footer="0" w:header="0"/>
        </w:sectPr>
      </w:pPr>
    </w:p>
    <w:p>
      <w:pPr>
        <w:spacing w:after="0" w:line="6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Carl L. Gordon,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252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193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93800" cy="8890"/>
                    </a:xfrm>
                    <a:prstGeom prst="rect">
                      <a:avLst/>
                    </a:prstGeom>
                    <a:noFill/>
                  </pic:spPr>
                </pic:pic>
              </a:graphicData>
            </a:graphic>
          </wp:anchor>
        </w:drawing>
      </w:r>
    </w:p>
    <w:p>
      <w:pPr>
        <w:spacing w:after="0" w:line="60"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Carl L. Gordon,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252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of OrbiMed Capital GP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189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8999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210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8520" w:space="220"/>
            <w:col w:w="2140"/>
          </w:cols>
          <w:pgMar w:left="500" w:top="172"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6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7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01"/>
    </w:lvl>
  </w:abstractNum>
  <w:abstractNum w:abstractNumId="1">
    <w:nsid w:val="19495CFF"/>
    <w:multiLevelType w:val="hybridMultilevel"/>
    <w:lvl w:ilvl="0">
      <w:lvlJc w:val="left"/>
      <w:lvlText w:val="%1"/>
      <w:numFmt w:val="decimal"/>
      <w:start w:val="60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657312" TargetMode="External"/><Relationship Id="rId15" Type="http://schemas.openxmlformats.org/officeDocument/2006/relationships/hyperlink" Target="http://www.sec.gov/cgi-bin/browse-edgar?action=getcompany&amp;CIK=0001682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2023-05-15T17:13:56Z</dcterms:created>
  <dcterms:modified xsi:type="dcterms:W3CDTF">2023-05-15T17:13:56Z</dcterms:modified>
</cp:coreProperties>
</file>