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15,381,520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the Form 4 was effected pursuant to a Rule 10b5-1 instruction solely with the intent to cover taxes in connection with the vesting of certain previously reported Restricted Share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8,191,744 Ordinary Shares underlying Restricted Share Units, each of which represents a contingent right to receive one (1) Ordinary Share of the Issuer (which are represented by 1,023,968 ADSs); and (ii) 7,189,776 Ordinary Shares underlying 898,722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2022-05-05T18:20:50Z</dcterms:created>
  <dcterms:modified xsi:type="dcterms:W3CDTF">2022-05-05T18:20:50Z</dcterms:modified>
</cp:coreProperties>
</file>