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1"/>
          <w:szCs w:val="11"/>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2" w:lineRule="exact"/>
        <w:rPr>
          <w:sz w:val="24"/>
          <w:szCs w:val="24"/>
          <w:color w:val="auto"/>
        </w:rPr>
      </w:pPr>
    </w:p>
    <w:p>
      <w:pPr>
        <w:ind w:left="1660" w:hanging="316"/>
        <w:spacing w:after="0"/>
        <w:tabs>
          <w:tab w:leader="none" w:pos="166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ANNUAL REPORT PURSUANT TO SECTION 13 OR 15(d) OF THE SECURITIES EXCHANGE ACT OF 1934</w:t>
      </w:r>
    </w:p>
    <w:p>
      <w:pPr>
        <w:jc w:val="center"/>
        <w:spacing w:after="0"/>
        <w:rPr>
          <w:sz w:val="20"/>
          <w:szCs w:val="20"/>
          <w:color w:val="auto"/>
        </w:rPr>
      </w:pPr>
      <w:r>
        <w:rPr>
          <w:rFonts w:ascii="Arial" w:cs="Arial" w:eastAsia="Arial" w:hAnsi="Arial"/>
          <w:sz w:val="11"/>
          <w:szCs w:val="11"/>
          <w:b w:val="1"/>
          <w:bCs w:val="1"/>
          <w:color w:val="auto"/>
        </w:rPr>
        <w:t>For the fiscal year ended December 31, 2021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6" w:lineRule="exact"/>
        <w:rPr>
          <w:sz w:val="24"/>
          <w:szCs w:val="24"/>
          <w:color w:val="auto"/>
        </w:rPr>
      </w:pPr>
    </w:p>
    <w:p>
      <w:pPr>
        <w:ind w:left="1480" w:hanging="314"/>
        <w:spacing w:after="0"/>
        <w:tabs>
          <w:tab w:leader="none" w:pos="14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78" w:lineRule="exact"/>
        <w:rPr>
          <w:sz w:val="24"/>
          <w:szCs w:val="24"/>
          <w:color w:val="auto"/>
        </w:rPr>
      </w:pPr>
    </w:p>
    <w:p>
      <w:pPr>
        <w:ind w:left="3900"/>
        <w:spacing w:after="0"/>
        <w:rPr>
          <w:sz w:val="20"/>
          <w:szCs w:val="20"/>
          <w:color w:val="auto"/>
        </w:rPr>
      </w:pPr>
      <w:r>
        <w:rPr>
          <w:rFonts w:ascii="Arial" w:cs="Arial" w:eastAsia="Arial" w:hAnsi="Arial"/>
          <w:sz w:val="11"/>
          <w:szCs w:val="11"/>
          <w:b w:val="1"/>
          <w:bCs w:val="1"/>
          <w:color w:val="auto"/>
        </w:rPr>
        <w:t>FOR THE TRANSITION PERIOD FROM __________ TO __________</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001-38067</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Verona Pharma plc</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jc w:val="center"/>
              <w:ind w:left="1355"/>
              <w:spacing w:after="0"/>
              <w:rPr>
                <w:sz w:val="20"/>
                <w:szCs w:val="20"/>
                <w:color w:val="auto"/>
              </w:rPr>
            </w:pPr>
            <w:r>
              <w:rPr>
                <w:rFonts w:ascii="Arial" w:cs="Arial" w:eastAsia="Arial" w:hAnsi="Arial"/>
                <w:sz w:val="14"/>
                <w:szCs w:val="14"/>
                <w:b w:val="1"/>
                <w:bCs w:val="1"/>
                <w:color w:val="auto"/>
                <w:w w:val="92"/>
              </w:rPr>
              <w:t>United Kingdom</w:t>
            </w:r>
          </w:p>
        </w:tc>
        <w:tc>
          <w:tcPr>
            <w:tcW w:w="3640" w:type="dxa"/>
            <w:vAlign w:val="bottom"/>
          </w:tcPr>
          <w:p>
            <w:pPr>
              <w:spacing w:after="0"/>
              <w:rPr>
                <w:sz w:val="16"/>
                <w:szCs w:val="16"/>
                <w:color w:val="auto"/>
              </w:rPr>
            </w:pPr>
          </w:p>
        </w:tc>
        <w:tc>
          <w:tcPr>
            <w:tcW w:w="3840" w:type="dxa"/>
            <w:vAlign w:val="bottom"/>
          </w:tcPr>
          <w:p>
            <w:pPr>
              <w:jc w:val="center"/>
              <w:ind w:right="1256"/>
              <w:spacing w:after="0"/>
              <w:rPr>
                <w:sz w:val="20"/>
                <w:szCs w:val="20"/>
                <w:color w:val="auto"/>
              </w:rPr>
            </w:pPr>
            <w:r>
              <w:rPr>
                <w:rFonts w:ascii="Arial" w:cs="Arial" w:eastAsia="Arial" w:hAnsi="Arial"/>
                <w:sz w:val="14"/>
                <w:szCs w:val="14"/>
                <w:b w:val="1"/>
                <w:bCs w:val="1"/>
                <w:color w:val="auto"/>
                <w:w w:val="90"/>
              </w:rPr>
              <w:t>98-1489389</w:t>
            </w:r>
          </w:p>
        </w:tc>
      </w:tr>
      <w:tr>
        <w:trPr>
          <w:trHeight w:val="151"/>
        </w:trPr>
        <w:tc>
          <w:tcPr>
            <w:tcW w:w="7420" w:type="dxa"/>
            <w:vAlign w:val="bottom"/>
            <w:gridSpan w:val="2"/>
          </w:tcPr>
          <w:p>
            <w:pPr>
              <w:jc w:val="center"/>
              <w:ind w:right="2156"/>
              <w:spacing w:after="0"/>
              <w:rPr>
                <w:sz w:val="20"/>
                <w:szCs w:val="20"/>
                <w:color w:val="auto"/>
              </w:rPr>
            </w:pPr>
            <w:r>
              <w:rPr>
                <w:rFonts w:ascii="Arial" w:cs="Arial" w:eastAsia="Arial" w:hAnsi="Arial"/>
                <w:sz w:val="11"/>
                <w:szCs w:val="11"/>
                <w:b w:val="1"/>
                <w:bCs w:val="1"/>
                <w:color w:val="auto"/>
                <w:w w:val="93"/>
              </w:rPr>
              <w:t>(State or other jurisdiction of incorporation or organization)</w:t>
            </w:r>
          </w:p>
        </w:tc>
        <w:tc>
          <w:tcPr>
            <w:tcW w:w="3840" w:type="dxa"/>
            <w:vAlign w:val="bottom"/>
          </w:tcPr>
          <w:p>
            <w:pPr>
              <w:jc w:val="center"/>
              <w:ind w:right="1256"/>
              <w:spacing w:after="0"/>
              <w:rPr>
                <w:sz w:val="20"/>
                <w:szCs w:val="20"/>
                <w:color w:val="auto"/>
              </w:rPr>
            </w:pPr>
            <w:r>
              <w:rPr>
                <w:rFonts w:ascii="Arial" w:cs="Arial" w:eastAsia="Arial" w:hAnsi="Arial"/>
                <w:sz w:val="11"/>
                <w:szCs w:val="11"/>
                <w:b w:val="1"/>
                <w:bCs w:val="1"/>
                <w:color w:val="auto"/>
                <w:w w:val="95"/>
              </w:rPr>
              <w:t>(I.R.S. Employer Identification No.)</w:t>
            </w:r>
          </w:p>
        </w:tc>
      </w:tr>
      <w:tr>
        <w:trPr>
          <w:trHeight w:val="397"/>
        </w:trPr>
        <w:tc>
          <w:tcPr>
            <w:tcW w:w="3780" w:type="dxa"/>
            <w:vAlign w:val="bottom"/>
          </w:tcPr>
          <w:p>
            <w:pPr>
              <w:jc w:val="center"/>
              <w:ind w:left="1355"/>
              <w:spacing w:after="0"/>
              <w:rPr>
                <w:sz w:val="20"/>
                <w:szCs w:val="20"/>
                <w:color w:val="auto"/>
              </w:rPr>
            </w:pPr>
            <w:r>
              <w:rPr>
                <w:rFonts w:ascii="Arial" w:cs="Arial" w:eastAsia="Arial" w:hAnsi="Arial"/>
                <w:sz w:val="14"/>
                <w:szCs w:val="14"/>
                <w:b w:val="1"/>
                <w:bCs w:val="1"/>
                <w:color w:val="auto"/>
                <w:w w:val="93"/>
              </w:rPr>
              <w:t>3 More London Riverside</w:t>
            </w:r>
          </w:p>
        </w:tc>
        <w:tc>
          <w:tcPr>
            <w:tcW w:w="36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84"/>
        </w:trPr>
        <w:tc>
          <w:tcPr>
            <w:tcW w:w="3780" w:type="dxa"/>
            <w:vAlign w:val="bottom"/>
          </w:tcPr>
          <w:p>
            <w:pPr>
              <w:jc w:val="center"/>
              <w:ind w:left="1355"/>
              <w:spacing w:after="0"/>
              <w:rPr>
                <w:sz w:val="20"/>
                <w:szCs w:val="20"/>
                <w:color w:val="auto"/>
              </w:rPr>
            </w:pPr>
            <w:r>
              <w:rPr>
                <w:rFonts w:ascii="Arial" w:cs="Arial" w:eastAsia="Arial" w:hAnsi="Arial"/>
                <w:sz w:val="14"/>
                <w:szCs w:val="14"/>
                <w:b w:val="1"/>
                <w:bCs w:val="1"/>
                <w:color w:val="auto"/>
                <w:w w:val="92"/>
              </w:rPr>
              <w:t>London SE1 2RE United Kingdom</w:t>
            </w:r>
          </w:p>
        </w:tc>
        <w:tc>
          <w:tcPr>
            <w:tcW w:w="3640" w:type="dxa"/>
            <w:vAlign w:val="bottom"/>
          </w:tcPr>
          <w:p>
            <w:pPr>
              <w:spacing w:after="0"/>
              <w:rPr>
                <w:sz w:val="16"/>
                <w:szCs w:val="16"/>
                <w:color w:val="auto"/>
              </w:rPr>
            </w:pPr>
          </w:p>
        </w:tc>
        <w:tc>
          <w:tcPr>
            <w:tcW w:w="3840" w:type="dxa"/>
            <w:vAlign w:val="bottom"/>
          </w:tcPr>
          <w:p>
            <w:pPr>
              <w:jc w:val="center"/>
              <w:ind w:right="1236"/>
              <w:spacing w:after="0"/>
              <w:rPr>
                <w:sz w:val="20"/>
                <w:szCs w:val="20"/>
                <w:color w:val="auto"/>
              </w:rPr>
            </w:pPr>
            <w:r>
              <w:rPr>
                <w:rFonts w:ascii="Arial" w:cs="Arial" w:eastAsia="Arial" w:hAnsi="Arial"/>
                <w:sz w:val="14"/>
                <w:szCs w:val="14"/>
                <w:b w:val="1"/>
                <w:bCs w:val="1"/>
                <w:color w:val="auto"/>
                <w:w w:val="91"/>
              </w:rPr>
              <w:t>Not Applicable</w:t>
            </w:r>
          </w:p>
        </w:tc>
      </w:tr>
      <w:tr>
        <w:trPr>
          <w:trHeight w:val="172"/>
        </w:trPr>
        <w:tc>
          <w:tcPr>
            <w:tcW w:w="3780" w:type="dxa"/>
            <w:vAlign w:val="bottom"/>
          </w:tcPr>
          <w:p>
            <w:pPr>
              <w:jc w:val="center"/>
              <w:ind w:left="1355"/>
              <w:spacing w:after="0"/>
              <w:rPr>
                <w:sz w:val="20"/>
                <w:szCs w:val="20"/>
                <w:color w:val="auto"/>
              </w:rPr>
            </w:pPr>
            <w:r>
              <w:rPr>
                <w:rFonts w:ascii="Arial" w:cs="Arial" w:eastAsia="Arial" w:hAnsi="Arial"/>
                <w:sz w:val="11"/>
                <w:szCs w:val="11"/>
                <w:b w:val="1"/>
                <w:bCs w:val="1"/>
                <w:color w:val="auto"/>
                <w:w w:val="91"/>
              </w:rPr>
              <w:t>(Address of principal executive offices)</w:t>
            </w:r>
          </w:p>
        </w:tc>
        <w:tc>
          <w:tcPr>
            <w:tcW w:w="3640" w:type="dxa"/>
            <w:vAlign w:val="bottom"/>
          </w:tcPr>
          <w:p>
            <w:pPr>
              <w:spacing w:after="0"/>
              <w:rPr>
                <w:sz w:val="14"/>
                <w:szCs w:val="14"/>
                <w:color w:val="auto"/>
              </w:rPr>
            </w:pPr>
          </w:p>
        </w:tc>
        <w:tc>
          <w:tcPr>
            <w:tcW w:w="3840" w:type="dxa"/>
            <w:vAlign w:val="bottom"/>
          </w:tcPr>
          <w:p>
            <w:pPr>
              <w:jc w:val="center"/>
              <w:ind w:right="1256"/>
              <w:spacing w:after="0"/>
              <w:rPr>
                <w:sz w:val="20"/>
                <w:szCs w:val="20"/>
                <w:color w:val="auto"/>
              </w:rPr>
            </w:pPr>
            <w:r>
              <w:rPr>
                <w:rFonts w:ascii="Arial" w:cs="Arial" w:eastAsia="Arial" w:hAnsi="Arial"/>
                <w:sz w:val="11"/>
                <w:szCs w:val="11"/>
                <w:b w:val="1"/>
                <w:bCs w:val="1"/>
                <w:color w:val="auto"/>
                <w:w w:val="95"/>
              </w:rPr>
              <w:t>(Zip Code)</w:t>
            </w:r>
          </w:p>
        </w:tc>
      </w:tr>
      <w:tr>
        <w:trPr>
          <w:trHeight w:val="206"/>
        </w:trPr>
        <w:tc>
          <w:tcPr>
            <w:tcW w:w="3780" w:type="dxa"/>
            <w:vAlign w:val="bottom"/>
          </w:tcPr>
          <w:p>
            <w:pPr>
              <w:spacing w:after="0"/>
              <w:rPr>
                <w:sz w:val="17"/>
                <w:szCs w:val="17"/>
                <w:color w:val="auto"/>
              </w:rPr>
            </w:pPr>
          </w:p>
        </w:tc>
        <w:tc>
          <w:tcPr>
            <w:tcW w:w="3640" w:type="dxa"/>
            <w:vAlign w:val="bottom"/>
          </w:tcPr>
          <w:p>
            <w:pPr>
              <w:jc w:val="center"/>
              <w:ind w:left="16"/>
              <w:spacing w:after="0"/>
              <w:rPr>
                <w:sz w:val="20"/>
                <w:szCs w:val="20"/>
                <w:color w:val="auto"/>
              </w:rPr>
            </w:pPr>
            <w:r>
              <w:rPr>
                <w:rFonts w:ascii="Arial" w:cs="Arial" w:eastAsia="Arial" w:hAnsi="Arial"/>
                <w:sz w:val="11"/>
                <w:szCs w:val="11"/>
                <w:b w:val="1"/>
                <w:bCs w:val="1"/>
                <w:color w:val="auto"/>
                <w:w w:val="91"/>
              </w:rPr>
              <w:t>Registrant’s telephone number, including area code: +44 203 283 4200</w:t>
            </w:r>
          </w:p>
        </w:tc>
        <w:tc>
          <w:tcPr>
            <w:tcW w:w="3840" w:type="dxa"/>
            <w:vAlign w:val="bottom"/>
          </w:tcPr>
          <w:p>
            <w:pPr>
              <w:spacing w:after="0"/>
              <w:rPr>
                <w:sz w:val="17"/>
                <w:szCs w:val="17"/>
                <w:color w:val="auto"/>
              </w:rPr>
            </w:pPr>
          </w:p>
        </w:tc>
      </w:tr>
      <w:tr>
        <w:trPr>
          <w:trHeight w:val="184"/>
        </w:trPr>
        <w:tc>
          <w:tcPr>
            <w:tcW w:w="3780" w:type="dxa"/>
            <w:vAlign w:val="bottom"/>
          </w:tcPr>
          <w:p>
            <w:pPr>
              <w:spacing w:after="0"/>
              <w:rPr>
                <w:sz w:val="16"/>
                <w:szCs w:val="16"/>
                <w:color w:val="auto"/>
              </w:rPr>
            </w:pPr>
          </w:p>
        </w:tc>
        <w:tc>
          <w:tcPr>
            <w:tcW w:w="3640" w:type="dxa"/>
            <w:vAlign w:val="bottom"/>
          </w:tcPr>
          <w:p>
            <w:pPr>
              <w:jc w:val="center"/>
              <w:ind w:left="36"/>
              <w:spacing w:after="0"/>
              <w:rPr>
                <w:sz w:val="20"/>
                <w:szCs w:val="20"/>
                <w:color w:val="auto"/>
              </w:rPr>
            </w:pPr>
            <w:r>
              <w:rPr>
                <w:rFonts w:ascii="Arial" w:cs="Arial" w:eastAsia="Arial" w:hAnsi="Arial"/>
                <w:sz w:val="14"/>
                <w:szCs w:val="14"/>
                <w:b w:val="1"/>
                <w:bCs w:val="1"/>
                <w:color w:val="auto"/>
                <w:w w:val="90"/>
              </w:rPr>
              <w:t>Securities registered pursuant to Section 12(b) of the Act:</w:t>
            </w:r>
          </w:p>
        </w:tc>
        <w:tc>
          <w:tcPr>
            <w:tcW w:w="3840" w:type="dxa"/>
            <w:vAlign w:val="bottom"/>
          </w:tcPr>
          <w:p>
            <w:pPr>
              <w:spacing w:after="0"/>
              <w:rPr>
                <w:sz w:val="16"/>
                <w:szCs w:val="16"/>
                <w:color w:val="auto"/>
              </w:rPr>
            </w:pPr>
          </w:p>
        </w:tc>
      </w:tr>
      <w:tr>
        <w:trPr>
          <w:trHeight w:val="319"/>
        </w:trPr>
        <w:tc>
          <w:tcPr>
            <w:tcW w:w="3780" w:type="dxa"/>
            <w:vAlign w:val="bottom"/>
            <w:tcBorders>
              <w:bottom w:val="single" w:sz="8" w:color="auto"/>
            </w:tcBorders>
          </w:tcPr>
          <w:p>
            <w:pPr>
              <w:jc w:val="center"/>
              <w:ind w:left="1095"/>
              <w:spacing w:after="0"/>
              <w:rPr>
                <w:sz w:val="20"/>
                <w:szCs w:val="20"/>
                <w:color w:val="auto"/>
              </w:rPr>
            </w:pPr>
            <w:r>
              <w:rPr>
                <w:rFonts w:ascii="Arial" w:cs="Arial" w:eastAsia="Arial" w:hAnsi="Arial"/>
                <w:sz w:val="14"/>
                <w:szCs w:val="14"/>
                <w:b w:val="1"/>
                <w:bCs w:val="1"/>
                <w:color w:val="auto"/>
                <w:w w:val="87"/>
              </w:rPr>
              <w:t>Title of each class</w:t>
            </w: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3840" w:type="dxa"/>
            <w:vAlign w:val="bottom"/>
            <w:tcBorders>
              <w:bottom w:val="single" w:sz="8" w:color="auto"/>
            </w:tcBorders>
          </w:tcPr>
          <w:p>
            <w:pPr>
              <w:jc w:val="center"/>
              <w:ind w:right="1036"/>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152"/>
        </w:trPr>
        <w:tc>
          <w:tcPr>
            <w:tcW w:w="3780" w:type="dxa"/>
            <w:vAlign w:val="bottom"/>
          </w:tcPr>
          <w:p>
            <w:pPr>
              <w:jc w:val="center"/>
              <w:ind w:left="1115"/>
              <w:spacing w:after="0"/>
              <w:rPr>
                <w:sz w:val="20"/>
                <w:szCs w:val="20"/>
                <w:color w:val="auto"/>
              </w:rPr>
            </w:pPr>
            <w:r>
              <w:rPr>
                <w:rFonts w:ascii="Arial" w:cs="Arial" w:eastAsia="Arial" w:hAnsi="Arial"/>
                <w:sz w:val="11"/>
                <w:szCs w:val="11"/>
                <w:color w:val="auto"/>
                <w:w w:val="92"/>
              </w:rPr>
              <w:t>Ordinary shares, nominal value £0.05 per share*</w:t>
            </w:r>
          </w:p>
        </w:tc>
        <w:tc>
          <w:tcPr>
            <w:tcW w:w="3640" w:type="dxa"/>
            <w:vAlign w:val="bottom"/>
          </w:tcPr>
          <w:p>
            <w:pPr>
              <w:jc w:val="center"/>
              <w:spacing w:after="0"/>
              <w:rPr>
                <w:sz w:val="20"/>
                <w:szCs w:val="20"/>
                <w:color w:val="auto"/>
              </w:rPr>
            </w:pPr>
            <w:r>
              <w:rPr>
                <w:rFonts w:ascii="Arial" w:cs="Arial" w:eastAsia="Arial" w:hAnsi="Arial"/>
                <w:sz w:val="11"/>
                <w:szCs w:val="11"/>
                <w:color w:val="auto"/>
              </w:rPr>
              <w:t>VRNA</w:t>
            </w:r>
          </w:p>
        </w:tc>
        <w:tc>
          <w:tcPr>
            <w:tcW w:w="3840" w:type="dxa"/>
            <w:vAlign w:val="bottom"/>
          </w:tcPr>
          <w:p>
            <w:pPr>
              <w:jc w:val="center"/>
              <w:ind w:right="1056"/>
              <w:spacing w:after="0"/>
              <w:rPr>
                <w:sz w:val="20"/>
                <w:szCs w:val="20"/>
                <w:color w:val="auto"/>
              </w:rPr>
            </w:pPr>
            <w:r>
              <w:rPr>
                <w:rFonts w:ascii="Arial" w:cs="Arial" w:eastAsia="Arial" w:hAnsi="Arial"/>
                <w:sz w:val="11"/>
                <w:szCs w:val="11"/>
                <w:color w:val="auto"/>
                <w:w w:val="94"/>
              </w:rPr>
              <w:t>The Nasdaq Stock Market LLC (Nasdaq Global Market)</w:t>
            </w:r>
          </w:p>
        </w:tc>
      </w:tr>
    </w:tbl>
    <w:p>
      <w:pPr>
        <w:spacing w:after="0" w:line="142" w:lineRule="exact"/>
        <w:rPr>
          <w:sz w:val="24"/>
          <w:szCs w:val="24"/>
          <w:color w:val="auto"/>
        </w:rPr>
      </w:pPr>
    </w:p>
    <w:p>
      <w:pPr>
        <w:ind w:right="440" w:firstLine="5"/>
        <w:spacing w:after="0" w:line="257" w:lineRule="auto"/>
        <w:tabs>
          <w:tab w:leader="none" w:pos="85"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ordinary shares are represented by American Depositary Shares (each representing 8 ordinary shares), which are exempt from the operation of Section 12(a) of the Securities Exchange Act of 1934, as amended, pursuant to Rule 12a-8 thereunder.</w:t>
      </w: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None</w:t>
      </w:r>
    </w:p>
    <w:p>
      <w:pPr>
        <w:spacing w:after="0" w:line="161" w:lineRule="exact"/>
        <w:rPr>
          <w:sz w:val="24"/>
          <w:szCs w:val="24"/>
          <w:color w:val="auto"/>
        </w:rPr>
      </w:pPr>
    </w:p>
    <w:p>
      <w:pPr>
        <w:ind w:right="3820"/>
        <w:spacing w:after="0" w:line="189"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60"/>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ind w:right="320"/>
        <w:spacing w:after="0" w:line="17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ind w:right="120"/>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30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300" w:type="dxa"/>
            <w:vAlign w:val="bottom"/>
          </w:tcPr>
          <w:p>
            <w:pPr>
              <w:ind w:left="182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tcPr>
          <w:p>
            <w:pPr>
              <w:ind w:left="380"/>
              <w:spacing w:after="0"/>
              <w:rPr>
                <w:sz w:val="20"/>
                <w:szCs w:val="20"/>
                <w:color w:val="auto"/>
              </w:rPr>
            </w:pPr>
            <w:r>
              <w:rPr>
                <w:rFonts w:ascii="Arial" w:cs="Arial" w:eastAsia="Arial" w:hAnsi="Arial"/>
                <w:sz w:val="14"/>
                <w:szCs w:val="14"/>
                <w:color w:val="auto"/>
              </w:rPr>
              <w:t>Accelerated filer</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2"/>
        </w:trPr>
        <w:tc>
          <w:tcPr>
            <w:tcW w:w="3080" w:type="dxa"/>
            <w:vAlign w:val="bottom"/>
          </w:tcPr>
          <w:p>
            <w:pPr>
              <w:spacing w:after="0"/>
              <w:rPr>
                <w:sz w:val="20"/>
                <w:szCs w:val="20"/>
                <w:color w:val="auto"/>
              </w:rPr>
            </w:pPr>
            <w:r>
              <w:rPr>
                <w:rFonts w:ascii="Arial" w:cs="Arial" w:eastAsia="Arial" w:hAnsi="Arial"/>
                <w:sz w:val="14"/>
                <w:szCs w:val="14"/>
                <w:color w:val="auto"/>
              </w:rPr>
              <w:t>Non-accelerated filer</w:t>
            </w:r>
          </w:p>
        </w:tc>
        <w:tc>
          <w:tcPr>
            <w:tcW w:w="2300" w:type="dxa"/>
            <w:vAlign w:val="bottom"/>
          </w:tcPr>
          <w:p>
            <w:pPr>
              <w:ind w:left="182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tcPr>
          <w:p>
            <w:pPr>
              <w:ind w:left="380"/>
              <w:spacing w:after="0"/>
              <w:rPr>
                <w:sz w:val="20"/>
                <w:szCs w:val="20"/>
                <w:color w:val="auto"/>
              </w:rPr>
            </w:pPr>
            <w:r>
              <w:rPr>
                <w:rFonts w:ascii="Arial" w:cs="Arial" w:eastAsia="Arial" w:hAnsi="Arial"/>
                <w:sz w:val="14"/>
                <w:szCs w:val="14"/>
                <w:color w:val="auto"/>
              </w:rPr>
              <w:t>Small reporting company</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30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600" w:type="dxa"/>
            <w:vAlign w:val="bottom"/>
          </w:tcPr>
          <w:p>
            <w:pPr>
              <w:ind w:left="380"/>
              <w:spacing w:after="0"/>
              <w:rPr>
                <w:sz w:val="20"/>
                <w:szCs w:val="20"/>
                <w:color w:val="auto"/>
              </w:rPr>
            </w:pPr>
            <w:r>
              <w:rPr>
                <w:rFonts w:ascii="Arial" w:cs="Arial" w:eastAsia="Arial" w:hAnsi="Arial"/>
                <w:sz w:val="14"/>
                <w:szCs w:val="14"/>
                <w:color w:val="auto"/>
              </w:rPr>
              <w:t>Emerging growth company</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54" w:lineRule="exact"/>
        <w:rPr>
          <w:sz w:val="24"/>
          <w:szCs w:val="24"/>
          <w:color w:val="auto"/>
        </w:rPr>
      </w:pPr>
    </w:p>
    <w:p>
      <w:pPr>
        <w:jc w:val="both"/>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right="280"/>
        <w:spacing w:after="0" w:line="18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8" w:lineRule="exact"/>
        <w:rPr>
          <w:sz w:val="24"/>
          <w:szCs w:val="24"/>
          <w:color w:val="auto"/>
        </w:rPr>
      </w:pPr>
    </w:p>
    <w:p>
      <w:pPr>
        <w:jc w:val="both"/>
        <w:spacing w:after="0" w:line="237" w:lineRule="auto"/>
        <w:rPr>
          <w:sz w:val="20"/>
          <w:szCs w:val="20"/>
          <w:color w:val="auto"/>
        </w:rPr>
      </w:pPr>
      <w:r>
        <w:rPr>
          <w:rFonts w:ascii="Arial" w:cs="Arial" w:eastAsia="Arial" w:hAnsi="Arial"/>
          <w:sz w:val="14"/>
          <w:szCs w:val="14"/>
          <w:color w:val="auto"/>
        </w:rPr>
        <w:t>The aggregate market value of the registrant's voting and non-voting common equity held by non-affiliates was approximately $251.3 million as of June 30, 2021, the last business day of the registrant's most recently completed second fiscal quarter. Solely for purposes of this disclosure, shares held by executive officers, directors and certain shareholders of the registrant as of such date have been excluded because such persons or entities may be deemed to be affiliates of the registrant.</w:t>
      </w:r>
    </w:p>
    <w:p>
      <w:pPr>
        <w:spacing w:after="0" w:line="54" w:lineRule="exact"/>
        <w:rPr>
          <w:sz w:val="24"/>
          <w:szCs w:val="24"/>
          <w:color w:val="auto"/>
        </w:rPr>
      </w:pPr>
    </w:p>
    <w:p>
      <w:pPr>
        <w:jc w:val="both"/>
        <w:spacing w:after="0" w:line="249" w:lineRule="auto"/>
        <w:rPr>
          <w:sz w:val="20"/>
          <w:szCs w:val="20"/>
          <w:color w:val="auto"/>
        </w:rPr>
      </w:pPr>
      <w:r>
        <w:rPr>
          <w:rFonts w:ascii="Arial" w:cs="Arial" w:eastAsia="Arial" w:hAnsi="Arial"/>
          <w:sz w:val="14"/>
          <w:szCs w:val="14"/>
          <w:color w:val="auto"/>
        </w:rPr>
        <w:t>As of March 1, 2022, the registrant had 482,944,390 ordinary shares, nominal value £0.05 per share, outstanding, which if all held in ADS form, would be represented by 60,368,049 American Depositary Shares, each representing eight (8) ordinary shares.</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98" w:lineRule="exact"/>
        <w:rPr>
          <w:sz w:val="24"/>
          <w:szCs w:val="24"/>
          <w:color w:val="auto"/>
        </w:rPr>
      </w:pPr>
    </w:p>
    <w:p>
      <w:pPr>
        <w:ind w:right="180"/>
        <w:spacing w:after="0" w:line="281" w:lineRule="auto"/>
        <w:rPr>
          <w:sz w:val="20"/>
          <w:szCs w:val="20"/>
          <w:color w:val="auto"/>
        </w:rPr>
      </w:pPr>
      <w:r>
        <w:rPr>
          <w:rFonts w:ascii="Arial" w:cs="Arial" w:eastAsia="Arial" w:hAnsi="Arial"/>
          <w:sz w:val="14"/>
          <w:szCs w:val="14"/>
          <w:color w:val="auto"/>
        </w:rPr>
        <w:t>Portions of the registrant’s definitive proxy statement that the registrant intends to file with the Securities and Exchange Commission pursuant to Regulation 14A in connection with the registrant’s 2022 Annual Meeting of Shareholders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725170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5" w:right="31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GENERAL INFORMATION</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All references in this Annual Report on Form 10-K (the “Annual Report”), to “Verona,” the “company,” the "group", “we,” “us” and “our” refer to Verona Pharma plc and its consolidated subsidiaries. In this Annual Report, the U.S. Securities and Exchange Commission is referred to as the “SEC”, the Securities Act of 1933, as amended, is referred to as the “Securities Act” and the Securities Exchange Act of 1934, as amended, is referred to as the “Exchange Act.”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TRADEMARKS, TRADENAMES AND SERVICE MARKS</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This Annual Report may include trademarks, tradenames and service marks that are the property of other organizations. Solely for convenience,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161"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This Annual Report contains statements that constitute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facts contained in this Annual Report, including without limitation statements regarding our future results of operations and financial position, business strategy and plans and objectives of management for future operations, the development of ensifentrine or any other product candidates, including statements regarding the expected initiation, timing, progress and availability of data from our clinical trials and potential regulatory approvals, research and development costs, timing and likelihood of success, potential collaborations, the duration of our patent portfolio, our estimates regarding expenses, future revenues, capital requirements, debt service obligations and our need for additional financing, the funding we expect to become available under the Term Loan and from cash receipts from U.K. tax credits, and the sufficiency of our cash and cash equivalents to fund operations, are forward-looking statements.</w:t>
      </w:r>
    </w:p>
    <w:p>
      <w:pPr>
        <w:spacing w:after="0" w:line="55"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forward-looking statements in this Annual Report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known and unknown risks, uncertainties and assumptions, including the important factors described under the sections in this Annual Report entitled “Risk Factors” and “Management’s Discussion and Analysis of Financial Condition and Results of Operations” and in our other filings with the SEC.</w:t>
      </w:r>
    </w:p>
    <w:p>
      <w:pPr>
        <w:spacing w:after="0" w:line="5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We intend the forward-looking statements contained in this Annual Report to be covered by the safe harbor provisions for forward-looking statements contained in Section 27A of the Securities Act and Section 21E of the Exchange Act.</w:t>
      </w:r>
    </w:p>
    <w:p>
      <w:pPr>
        <w:spacing w:after="0" w:line="49"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This Annual Report contains market data and industry forecasts that were obtained from industry publications. These data involve a number of assumptions and limitations, and you are cautioned not to give undue weight to such estimates. We have not independently verified any third-party information. While we believe the market position, market opportunity and market size information included in this Annual Report is generally reliable, such information is inherently imprecise.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1018540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SUMMARY RISK FACTORS</w:t>
      </w:r>
    </w:p>
    <w:p>
      <w:pPr>
        <w:spacing w:after="0" w:line="161"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Our business is subject to numerous risks and uncertainties, including those described in Part I, Item 1A. “Risk Factors” in this Annual Report. You should carefully consider these risks and uncertainties when investing in our ADSs. The principal risks and uncertainties affecting our business include the following:</w:t>
      </w:r>
    </w:p>
    <w:p>
      <w:pPr>
        <w:spacing w:after="0" w:line="48" w:lineRule="exact"/>
        <w:rPr>
          <w:sz w:val="20"/>
          <w:szCs w:val="20"/>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have a limited operating history and have never generated any product revenue;</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will need additional funding to complete development of any future product candidates, or development of other formulations or target indications of ensifentrine, and to commercialize our products, including ensifentrine, if approved;</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color w:val="auto"/>
        </w:rPr>
        <w:t>Changes in our tax rates, unavailability of certain tax credits or reliefs or exposure to additional tax liabilities or assessments could affect our profitability, and audits by tax authorities could result in additional tax payments for prior periods;</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depend solely on the success of ensifentrine, our only product candidate under development;</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COVID-19 pandemic has and may continue to adversely impact our business;</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Phase 3 ENHANCE clinical program is being conducted at clinical trial sites in 16 countries, including Russia, and business interruptions and trade sanctions resulting from geo-political actions may impact our timelines and costs of our Phase 3 program and delay our planned NDA submission;</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may incur additional costs or experience delays in completing, or ultimately be unable to complete, the development and commercialization of our product candidates;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Ensifentrine may have serious adverse, undesirable or unacceptable side effects which may delay or prevent marketing approval;</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If we are unable to enroll patients in our clinical trials, or enrollment is slower than anticipated, our research and development efforts could be adversely affected;</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may become exposed to costly and damaging liability claims, either when testing ensifentrine in the clinic or at the commercial stage, and our product liability insurance may not cover all damages from such claims;</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color w:val="auto"/>
        </w:rPr>
        <w:t>Regulatory approval processes are lengthy, time consuming and inherently unpredictable, and if we are ultimately unable to obtain regulatory approval for ensifentrine, our business will be substantially harmed;</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Enacted and future legislation may increase the difficulty and cost for us to obtain marketing approval of and commercialize ensifentrine and may affect the prices we may set;</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business operations and current and future relationships with investigators, healthcare professionals, consultants, third-party payors and customers will be subject to applicable healthcare regulatory laws, which could expose us to penalties;</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operate in a highly competitive and rapidly changing industry, which may result in others discovering, developing or commercializing competing products before or more successfully than we do;</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rely, and expect to continue to rely, on third parties, including independent clinical investigators and clinical research organizations, to conduct our pre-clinical studies and clinical trials;</w:t>
      </w:r>
    </w:p>
    <w:p>
      <w:pPr>
        <w:spacing w:after="0" w:line="83" w:lineRule="exact"/>
        <w:rPr>
          <w:rFonts w:ascii="Arial" w:cs="Arial" w:eastAsia="Arial" w:hAnsi="Arial"/>
          <w:sz w:val="13"/>
          <w:szCs w:val="13"/>
          <w:color w:val="auto"/>
        </w:rPr>
      </w:pPr>
    </w:p>
    <w:p>
      <w:pPr>
        <w:ind w:left="260" w:hanging="255"/>
        <w:spacing w:after="0" w:line="331" w:lineRule="auto"/>
        <w:tabs>
          <w:tab w:leader="none" w:pos="256"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collaboration and license agreement with Nuance Pharma is important to our business. If Nuance Pharma is unable to develop and commercialize products containing ensifentrine in Greater China, if we or Nuance Pharma fail to adequately perform under the Nuance Agreement, or if we or Nuance Pharma terminate the Nuance Agreement, our business would be adversely affected.</w:t>
      </w:r>
    </w:p>
    <w:p>
      <w:pPr>
        <w:spacing w:after="0" w:line="1" w:lineRule="exact"/>
        <w:rPr>
          <w:rFonts w:ascii="Arial" w:cs="Arial" w:eastAsia="Arial" w:hAnsi="Arial"/>
          <w:sz w:val="12"/>
          <w:szCs w:val="12"/>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If we fail to enter into new strategic relationships for ensifentrine, our business, research and development and commercialization prospects could be adversely affected;</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currently rely on third-party manufacturers and suppliers for production of the active pharmaceutical ingredient ensifentrine and its derived formulated products. Our dependence on these third parties may impair the advancement of our research and development programs and the development of ensifentrine;</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rely on patents and other intellectual property rights to protect ensifentrine, the enforcement, defense and maintenance of which may be challenging and costly;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747395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3" w:name="page4"/>
    <w:bookmarkEnd w:id="3"/>
    <w:p>
      <w:pPr>
        <w:ind w:left="255" w:hanging="255"/>
        <w:spacing w:after="0" w:line="249" w:lineRule="auto"/>
        <w:tabs>
          <w:tab w:leader="none" w:pos="251"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may not identify relevant third-party patents or may incorrectly interpret the relevance, scope or expiration of a third-party patent which might adversely affect our ability to develop, manufacture and market ensifentrine;</w:t>
      </w:r>
    </w:p>
    <w:p>
      <w:pPr>
        <w:spacing w:after="0" w:line="47" w:lineRule="exact"/>
        <w:rPr>
          <w:rFonts w:ascii="Arial" w:cs="Arial" w:eastAsia="Arial" w:hAnsi="Arial"/>
          <w:sz w:val="14"/>
          <w:szCs w:val="14"/>
          <w:color w:val="auto"/>
        </w:rPr>
      </w:pPr>
    </w:p>
    <w:p>
      <w:pPr>
        <w:ind w:left="255" w:hanging="255"/>
        <w:spacing w:after="0" w:line="249" w:lineRule="auto"/>
        <w:tabs>
          <w:tab w:leader="none" w:pos="251"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may be involved in lawsuits to protect or enforce patents covering ensifentrine, which could be expensive, time consuming and unsuccessful, and issued patents could be found invalid or unenforceable if challenged in court;</w:t>
      </w:r>
    </w:p>
    <w:p>
      <w:pPr>
        <w:spacing w:after="0" w:line="47" w:lineRule="exact"/>
        <w:rPr>
          <w:rFonts w:ascii="Arial" w:cs="Arial" w:eastAsia="Arial" w:hAnsi="Arial"/>
          <w:sz w:val="14"/>
          <w:szCs w:val="14"/>
          <w:color w:val="auto"/>
        </w:rPr>
      </w:pPr>
    </w:p>
    <w:p>
      <w:pPr>
        <w:ind w:left="255" w:hanging="255"/>
        <w:spacing w:after="0"/>
        <w:tabs>
          <w:tab w:leader="none" w:pos="255"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future growth and ability to compete depends on our ability to retain our key personnel and recruit additional qualified personnel;</w:t>
      </w:r>
    </w:p>
    <w:p>
      <w:pPr>
        <w:spacing w:after="0" w:line="72" w:lineRule="exact"/>
        <w:rPr>
          <w:rFonts w:ascii="Arial" w:cs="Arial" w:eastAsia="Arial" w:hAnsi="Arial"/>
          <w:sz w:val="14"/>
          <w:szCs w:val="14"/>
          <w:color w:val="auto"/>
        </w:rPr>
      </w:pPr>
    </w:p>
    <w:p>
      <w:pPr>
        <w:ind w:left="255" w:hanging="255"/>
        <w:spacing w:after="0"/>
        <w:tabs>
          <w:tab w:leader="none" w:pos="255" w:val="left"/>
        </w:tabs>
        <w:numPr>
          <w:ilvl w:val="0"/>
          <w:numId w:val="5"/>
        </w:numPr>
        <w:rPr>
          <w:rFonts w:ascii="Arial" w:cs="Arial" w:eastAsia="Arial" w:hAnsi="Arial"/>
          <w:sz w:val="12"/>
          <w:szCs w:val="12"/>
          <w:color w:val="auto"/>
        </w:rPr>
      </w:pPr>
      <w:r>
        <w:rPr>
          <w:rFonts w:ascii="Arial" w:cs="Arial" w:eastAsia="Arial" w:hAnsi="Arial"/>
          <w:sz w:val="12"/>
          <w:szCs w:val="12"/>
          <w:color w:val="auto"/>
        </w:rPr>
        <w:t>We expect to expand our development, regulatory and sales and marketing capabilities, and as a result, we may encounter difficulties in managing our growth, which could disrupt our operations;</w:t>
      </w:r>
    </w:p>
    <w:p>
      <w:pPr>
        <w:spacing w:after="0" w:line="95" w:lineRule="exact"/>
        <w:rPr>
          <w:rFonts w:ascii="Arial" w:cs="Arial" w:eastAsia="Arial" w:hAnsi="Arial"/>
          <w:sz w:val="12"/>
          <w:szCs w:val="12"/>
          <w:color w:val="auto"/>
        </w:rPr>
      </w:pPr>
    </w:p>
    <w:p>
      <w:pPr>
        <w:ind w:left="255" w:hanging="255"/>
        <w:spacing w:after="0"/>
        <w:tabs>
          <w:tab w:leader="none" w:pos="255"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price of our American Depositary Shares may be volatile and may fluctuate due to factors beyond our control; and</w:t>
      </w:r>
    </w:p>
    <w:p>
      <w:pPr>
        <w:spacing w:after="0" w:line="72" w:lineRule="exact"/>
        <w:rPr>
          <w:rFonts w:ascii="Arial" w:cs="Arial" w:eastAsia="Arial" w:hAnsi="Arial"/>
          <w:sz w:val="14"/>
          <w:szCs w:val="14"/>
          <w:color w:val="auto"/>
        </w:rPr>
      </w:pPr>
    </w:p>
    <w:p>
      <w:pPr>
        <w:ind w:left="255" w:hanging="255"/>
        <w:spacing w:after="0" w:line="249" w:lineRule="auto"/>
        <w:tabs>
          <w:tab w:leader="none" w:pos="251"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will continue to incur increased costs as a result of operating as a public company in the United States, and our senior management are required to devote substantial time to new compliance initiatives and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732155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75"/>
          </w:cols>
          <w:pgMar w:left="305" w:top="1222"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0"/>
        </w:trPr>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360" w:type="dxa"/>
            <w:vAlign w:val="bottom"/>
            <w:gridSpan w:val="7"/>
            <w:shd w:val="clear" w:color="auto" w:fill="CCEEFF"/>
          </w:tcPr>
          <w:p>
            <w:pPr>
              <w:ind w:left="300"/>
              <w:spacing w:after="0"/>
              <w:rPr>
                <w:sz w:val="20"/>
                <w:szCs w:val="20"/>
                <w:color w:val="auto"/>
              </w:rPr>
            </w:pPr>
            <w:r>
              <w:rPr>
                <w:rFonts w:ascii="Arial" w:cs="Arial" w:eastAsia="Arial" w:hAnsi="Arial"/>
                <w:sz w:val="14"/>
                <w:szCs w:val="14"/>
                <w:color w:val="auto"/>
              </w:rPr>
              <w:t>Table of Contents</w:t>
            </w:r>
          </w:p>
        </w:tc>
        <w:tc>
          <w:tcPr>
            <w:tcW w:w="1080" w:type="dxa"/>
            <w:vAlign w:val="bottom"/>
            <w:shd w:val="clear" w:color="auto" w:fill="CCEEFF"/>
          </w:tcPr>
          <w:p>
            <w:pPr>
              <w:spacing w:after="0"/>
              <w:rPr>
                <w:sz w:val="15"/>
                <w:szCs w:val="15"/>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Page</w:t>
            </w:r>
          </w:p>
        </w:tc>
      </w:tr>
      <w:tr>
        <w:trPr>
          <w:trHeight w:val="161"/>
        </w:trPr>
        <w:tc>
          <w:tcPr>
            <w:tcW w:w="20" w:type="dxa"/>
            <w:vAlign w:val="bottom"/>
            <w:shd w:val="clear" w:color="auto" w:fill="CCEEFF"/>
          </w:tcPr>
          <w:p>
            <w:pPr>
              <w:spacing w:after="0"/>
              <w:rPr>
                <w:sz w:val="13"/>
                <w:szCs w:val="13"/>
                <w:color w:val="auto"/>
              </w:rPr>
            </w:pPr>
          </w:p>
        </w:tc>
        <w:tc>
          <w:tcPr>
            <w:tcW w:w="102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Part I</w:t>
            </w:r>
          </w:p>
        </w:tc>
        <w:tc>
          <w:tcPr>
            <w:tcW w:w="4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20" w:type="dxa"/>
            <w:vAlign w:val="bottom"/>
            <w:gridSpan w:val="7"/>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Item 1</w:t>
              </w:r>
            </w:hyperlink>
          </w:p>
        </w:tc>
        <w:tc>
          <w:tcPr>
            <w:tcW w:w="9160" w:type="dxa"/>
            <w:vAlign w:val="bottom"/>
            <w:gridSpan w:val="23"/>
          </w:tcPr>
          <w:p>
            <w:pPr>
              <w:ind w:left="420"/>
              <w:spacing w:after="0"/>
              <w:rPr>
                <w:rFonts w:ascii="Arial" w:cs="Arial" w:eastAsia="Arial" w:hAnsi="Arial"/>
                <w:sz w:val="14"/>
                <w:szCs w:val="14"/>
                <w:color w:val="0000FF"/>
              </w:rPr>
            </w:pPr>
            <w:hyperlink w:anchor="page5">
              <w:r>
                <w:rPr>
                  <w:rFonts w:ascii="Arial" w:cs="Arial" w:eastAsia="Arial" w:hAnsi="Arial"/>
                  <w:sz w:val="14"/>
                  <w:szCs w:val="14"/>
                  <w:color w:val="0000FF"/>
                </w:rPr>
                <w:t>Business</w:t>
              </w:r>
            </w:hyperlink>
          </w:p>
        </w:tc>
        <w:tc>
          <w:tcPr>
            <w:tcW w:w="1080" w:type="dxa"/>
            <w:vAlign w:val="bottom"/>
          </w:tcPr>
          <w:p>
            <w:pPr>
              <w:jc w:val="center"/>
              <w:spacing w:after="0"/>
              <w:rPr>
                <w:rFonts w:ascii="Arial" w:cs="Arial" w:eastAsia="Arial" w:hAnsi="Arial"/>
                <w:sz w:val="14"/>
                <w:szCs w:val="14"/>
                <w:color w:val="auto"/>
              </w:rPr>
            </w:pPr>
            <w:hyperlink w:anchor="page5">
              <w:r>
                <w:rPr>
                  <w:rFonts w:ascii="Arial" w:cs="Arial" w:eastAsia="Arial" w:hAnsi="Arial"/>
                  <w:sz w:val="14"/>
                  <w:szCs w:val="14"/>
                  <w:color w:val="auto"/>
                </w:rPr>
                <w:t>1</w:t>
              </w:r>
            </w:hyperlink>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7"/>
            <w:shd w:val="clear" w:color="auto" w:fill="CCEEFF"/>
          </w:tcPr>
          <w:p>
            <w:pPr>
              <w:spacing w:after="0"/>
              <w:rPr>
                <w:rFonts w:ascii="Arial" w:cs="Arial" w:eastAsia="Arial" w:hAnsi="Arial"/>
                <w:sz w:val="14"/>
                <w:szCs w:val="14"/>
                <w:color w:val="0000FF"/>
              </w:rPr>
            </w:pPr>
            <w:hyperlink w:anchor="page28">
              <w:r>
                <w:rPr>
                  <w:rFonts w:ascii="Arial" w:cs="Arial" w:eastAsia="Arial" w:hAnsi="Arial"/>
                  <w:sz w:val="14"/>
                  <w:szCs w:val="14"/>
                  <w:color w:val="0000FF"/>
                </w:rPr>
                <w:t>Item 1A.</w:t>
              </w:r>
            </w:hyperlink>
          </w:p>
        </w:tc>
        <w:tc>
          <w:tcPr>
            <w:tcW w:w="9160" w:type="dxa"/>
            <w:vAlign w:val="bottom"/>
            <w:gridSpan w:val="23"/>
            <w:shd w:val="clear" w:color="auto" w:fill="CCEEFF"/>
          </w:tcPr>
          <w:p>
            <w:pPr>
              <w:ind w:left="420"/>
              <w:spacing w:after="0"/>
              <w:rPr>
                <w:rFonts w:ascii="Arial" w:cs="Arial" w:eastAsia="Arial" w:hAnsi="Arial"/>
                <w:sz w:val="14"/>
                <w:szCs w:val="14"/>
                <w:color w:val="0000FF"/>
              </w:rPr>
            </w:pPr>
            <w:hyperlink w:anchor="page28">
              <w:r>
                <w:rPr>
                  <w:rFonts w:ascii="Arial" w:cs="Arial" w:eastAsia="Arial" w:hAnsi="Arial"/>
                  <w:sz w:val="14"/>
                  <w:szCs w:val="14"/>
                  <w:color w:val="0000FF"/>
                </w:rPr>
                <w:t>Risk Factors</w:t>
              </w:r>
            </w:hyperlink>
          </w:p>
        </w:tc>
        <w:tc>
          <w:tcPr>
            <w:tcW w:w="1080" w:type="dxa"/>
            <w:vAlign w:val="bottom"/>
            <w:shd w:val="clear" w:color="auto" w:fill="CCEEFF"/>
          </w:tcPr>
          <w:p>
            <w:pPr>
              <w:jc w:val="center"/>
              <w:spacing w:after="0"/>
              <w:rPr>
                <w:rFonts w:ascii="Arial" w:cs="Arial" w:eastAsia="Arial" w:hAnsi="Arial"/>
                <w:sz w:val="14"/>
                <w:szCs w:val="14"/>
                <w:color w:val="auto"/>
                <w:w w:val="89"/>
              </w:rPr>
            </w:pPr>
            <w:hyperlink w:anchor="page28">
              <w:r>
                <w:rPr>
                  <w:rFonts w:ascii="Arial" w:cs="Arial" w:eastAsia="Arial" w:hAnsi="Arial"/>
                  <w:sz w:val="14"/>
                  <w:szCs w:val="14"/>
                  <w:color w:val="auto"/>
                  <w:w w:val="89"/>
                </w:rPr>
                <w:t>23</w:t>
              </w:r>
            </w:hyperlink>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7"/>
          </w:tcPr>
          <w:p>
            <w:pPr>
              <w:spacing w:after="0"/>
              <w:rPr>
                <w:rFonts w:ascii="Arial" w:cs="Arial" w:eastAsia="Arial" w:hAnsi="Arial"/>
                <w:sz w:val="14"/>
                <w:szCs w:val="14"/>
                <w:color w:val="0000FF"/>
              </w:rPr>
            </w:pPr>
            <w:hyperlink w:anchor="page71">
              <w:r>
                <w:rPr>
                  <w:rFonts w:ascii="Arial" w:cs="Arial" w:eastAsia="Arial" w:hAnsi="Arial"/>
                  <w:sz w:val="14"/>
                  <w:szCs w:val="14"/>
                  <w:color w:val="0000FF"/>
                </w:rPr>
                <w:t>Item 1B.</w:t>
              </w:r>
            </w:hyperlink>
          </w:p>
        </w:tc>
        <w:tc>
          <w:tcPr>
            <w:tcW w:w="9160" w:type="dxa"/>
            <w:vAlign w:val="bottom"/>
            <w:gridSpan w:val="23"/>
          </w:tcPr>
          <w:p>
            <w:pPr>
              <w:ind w:left="420"/>
              <w:spacing w:after="0"/>
              <w:rPr>
                <w:rFonts w:ascii="Arial" w:cs="Arial" w:eastAsia="Arial" w:hAnsi="Arial"/>
                <w:sz w:val="14"/>
                <w:szCs w:val="14"/>
                <w:color w:val="0000FF"/>
              </w:rPr>
            </w:pPr>
            <w:hyperlink w:anchor="page71">
              <w:r>
                <w:rPr>
                  <w:rFonts w:ascii="Arial" w:cs="Arial" w:eastAsia="Arial" w:hAnsi="Arial"/>
                  <w:sz w:val="14"/>
                  <w:szCs w:val="14"/>
                  <w:color w:val="0000FF"/>
                </w:rPr>
                <w:t>Unresolved Staff Comments</w:t>
              </w:r>
            </w:hyperlink>
          </w:p>
        </w:tc>
        <w:tc>
          <w:tcPr>
            <w:tcW w:w="1080" w:type="dxa"/>
            <w:vAlign w:val="bottom"/>
          </w:tcPr>
          <w:p>
            <w:pPr>
              <w:jc w:val="center"/>
              <w:spacing w:after="0"/>
              <w:rPr>
                <w:rFonts w:ascii="Arial" w:cs="Arial" w:eastAsia="Arial" w:hAnsi="Arial"/>
                <w:sz w:val="14"/>
                <w:szCs w:val="14"/>
                <w:color w:val="auto"/>
                <w:w w:val="89"/>
              </w:rPr>
            </w:pPr>
            <w:hyperlink w:anchor="page71">
              <w:r>
                <w:rPr>
                  <w:rFonts w:ascii="Arial" w:cs="Arial" w:eastAsia="Arial" w:hAnsi="Arial"/>
                  <w:sz w:val="14"/>
                  <w:szCs w:val="14"/>
                  <w:color w:val="auto"/>
                  <w:w w:val="89"/>
                </w:rPr>
                <w:t>66</w:t>
              </w:r>
            </w:hyperlink>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7"/>
            <w:shd w:val="clear" w:color="auto" w:fill="CCEEFF"/>
          </w:tcPr>
          <w:p>
            <w:pPr>
              <w:spacing w:after="0"/>
              <w:rPr>
                <w:rFonts w:ascii="Arial" w:cs="Arial" w:eastAsia="Arial" w:hAnsi="Arial"/>
                <w:sz w:val="14"/>
                <w:szCs w:val="14"/>
                <w:color w:val="0000FF"/>
              </w:rPr>
            </w:pPr>
            <w:hyperlink w:anchor="page71">
              <w:r>
                <w:rPr>
                  <w:rFonts w:ascii="Arial" w:cs="Arial" w:eastAsia="Arial" w:hAnsi="Arial"/>
                  <w:sz w:val="14"/>
                  <w:szCs w:val="14"/>
                  <w:color w:val="0000FF"/>
                </w:rPr>
                <w:t>Item 2.</w:t>
              </w:r>
            </w:hyperlink>
          </w:p>
        </w:tc>
        <w:tc>
          <w:tcPr>
            <w:tcW w:w="9160" w:type="dxa"/>
            <w:vAlign w:val="bottom"/>
            <w:gridSpan w:val="23"/>
            <w:shd w:val="clear" w:color="auto" w:fill="CCEEFF"/>
          </w:tcPr>
          <w:p>
            <w:pPr>
              <w:ind w:left="420"/>
              <w:spacing w:after="0"/>
              <w:rPr>
                <w:rFonts w:ascii="Arial" w:cs="Arial" w:eastAsia="Arial" w:hAnsi="Arial"/>
                <w:sz w:val="14"/>
                <w:szCs w:val="14"/>
                <w:color w:val="0000FF"/>
              </w:rPr>
            </w:pPr>
            <w:hyperlink w:anchor="page71">
              <w:r>
                <w:rPr>
                  <w:rFonts w:ascii="Arial" w:cs="Arial" w:eastAsia="Arial" w:hAnsi="Arial"/>
                  <w:sz w:val="14"/>
                  <w:szCs w:val="14"/>
                  <w:color w:val="0000FF"/>
                </w:rPr>
                <w:t>Properties</w:t>
              </w:r>
            </w:hyperlink>
          </w:p>
        </w:tc>
        <w:tc>
          <w:tcPr>
            <w:tcW w:w="1080" w:type="dxa"/>
            <w:vAlign w:val="bottom"/>
            <w:shd w:val="clear" w:color="auto" w:fill="CCEEFF"/>
          </w:tcPr>
          <w:p>
            <w:pPr>
              <w:jc w:val="center"/>
              <w:spacing w:after="0"/>
              <w:rPr>
                <w:rFonts w:ascii="Arial" w:cs="Arial" w:eastAsia="Arial" w:hAnsi="Arial"/>
                <w:sz w:val="14"/>
                <w:szCs w:val="14"/>
                <w:color w:val="auto"/>
                <w:w w:val="89"/>
              </w:rPr>
            </w:pPr>
            <w:hyperlink w:anchor="page71">
              <w:r>
                <w:rPr>
                  <w:rFonts w:ascii="Arial" w:cs="Arial" w:eastAsia="Arial" w:hAnsi="Arial"/>
                  <w:sz w:val="14"/>
                  <w:szCs w:val="14"/>
                  <w:color w:val="auto"/>
                  <w:w w:val="89"/>
                </w:rPr>
                <w:t>66</w:t>
              </w:r>
            </w:hyperlink>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7"/>
          </w:tcPr>
          <w:p>
            <w:pPr>
              <w:spacing w:after="0"/>
              <w:rPr>
                <w:rFonts w:ascii="Arial" w:cs="Arial" w:eastAsia="Arial" w:hAnsi="Arial"/>
                <w:sz w:val="14"/>
                <w:szCs w:val="14"/>
                <w:color w:val="0000FF"/>
              </w:rPr>
            </w:pPr>
            <w:hyperlink w:anchor="page71">
              <w:r>
                <w:rPr>
                  <w:rFonts w:ascii="Arial" w:cs="Arial" w:eastAsia="Arial" w:hAnsi="Arial"/>
                  <w:sz w:val="14"/>
                  <w:szCs w:val="14"/>
                  <w:color w:val="0000FF"/>
                </w:rPr>
                <w:t>Item 3.</w:t>
              </w:r>
            </w:hyperlink>
          </w:p>
        </w:tc>
        <w:tc>
          <w:tcPr>
            <w:tcW w:w="9160" w:type="dxa"/>
            <w:vAlign w:val="bottom"/>
            <w:gridSpan w:val="23"/>
          </w:tcPr>
          <w:p>
            <w:pPr>
              <w:ind w:left="420"/>
              <w:spacing w:after="0"/>
              <w:rPr>
                <w:rFonts w:ascii="Arial" w:cs="Arial" w:eastAsia="Arial" w:hAnsi="Arial"/>
                <w:sz w:val="14"/>
                <w:szCs w:val="14"/>
                <w:color w:val="0000FF"/>
              </w:rPr>
            </w:pPr>
            <w:hyperlink w:anchor="page71">
              <w:r>
                <w:rPr>
                  <w:rFonts w:ascii="Arial" w:cs="Arial" w:eastAsia="Arial" w:hAnsi="Arial"/>
                  <w:sz w:val="14"/>
                  <w:szCs w:val="14"/>
                  <w:color w:val="0000FF"/>
                </w:rPr>
                <w:t>Legal Proceedings</w:t>
              </w:r>
            </w:hyperlink>
          </w:p>
        </w:tc>
        <w:tc>
          <w:tcPr>
            <w:tcW w:w="1080" w:type="dxa"/>
            <w:vAlign w:val="bottom"/>
          </w:tcPr>
          <w:p>
            <w:pPr>
              <w:jc w:val="center"/>
              <w:spacing w:after="0"/>
              <w:rPr>
                <w:rFonts w:ascii="Arial" w:cs="Arial" w:eastAsia="Arial" w:hAnsi="Arial"/>
                <w:sz w:val="14"/>
                <w:szCs w:val="14"/>
                <w:color w:val="auto"/>
                <w:w w:val="89"/>
              </w:rPr>
            </w:pPr>
            <w:hyperlink w:anchor="page71">
              <w:r>
                <w:rPr>
                  <w:rFonts w:ascii="Arial" w:cs="Arial" w:eastAsia="Arial" w:hAnsi="Arial"/>
                  <w:sz w:val="14"/>
                  <w:szCs w:val="14"/>
                  <w:color w:val="auto"/>
                  <w:w w:val="89"/>
                </w:rPr>
                <w:t>66</w:t>
              </w:r>
            </w:hyperlink>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7"/>
            <w:shd w:val="clear" w:color="auto" w:fill="CCEEFF"/>
          </w:tcPr>
          <w:p>
            <w:pPr>
              <w:spacing w:after="0"/>
              <w:rPr>
                <w:rFonts w:ascii="Arial" w:cs="Arial" w:eastAsia="Arial" w:hAnsi="Arial"/>
                <w:sz w:val="14"/>
                <w:szCs w:val="14"/>
                <w:color w:val="0000FF"/>
              </w:rPr>
            </w:pPr>
            <w:hyperlink w:anchor="page71">
              <w:r>
                <w:rPr>
                  <w:rFonts w:ascii="Arial" w:cs="Arial" w:eastAsia="Arial" w:hAnsi="Arial"/>
                  <w:sz w:val="14"/>
                  <w:szCs w:val="14"/>
                  <w:color w:val="0000FF"/>
                </w:rPr>
                <w:t>Item 4.</w:t>
              </w:r>
            </w:hyperlink>
          </w:p>
        </w:tc>
        <w:tc>
          <w:tcPr>
            <w:tcW w:w="9160" w:type="dxa"/>
            <w:vAlign w:val="bottom"/>
            <w:gridSpan w:val="23"/>
            <w:shd w:val="clear" w:color="auto" w:fill="CCEEFF"/>
          </w:tcPr>
          <w:p>
            <w:pPr>
              <w:ind w:left="420"/>
              <w:spacing w:after="0"/>
              <w:rPr>
                <w:rFonts w:ascii="Arial" w:cs="Arial" w:eastAsia="Arial" w:hAnsi="Arial"/>
                <w:sz w:val="14"/>
                <w:szCs w:val="14"/>
                <w:color w:val="0000FF"/>
              </w:rPr>
            </w:pPr>
            <w:hyperlink w:anchor="page71">
              <w:r>
                <w:rPr>
                  <w:rFonts w:ascii="Arial" w:cs="Arial" w:eastAsia="Arial" w:hAnsi="Arial"/>
                  <w:sz w:val="14"/>
                  <w:szCs w:val="14"/>
                  <w:color w:val="0000FF"/>
                </w:rPr>
                <w:t>Mine Safety Disclosures</w:t>
              </w:r>
            </w:hyperlink>
          </w:p>
        </w:tc>
        <w:tc>
          <w:tcPr>
            <w:tcW w:w="1080" w:type="dxa"/>
            <w:vAlign w:val="bottom"/>
            <w:shd w:val="clear" w:color="auto" w:fill="CCEEFF"/>
          </w:tcPr>
          <w:p>
            <w:pPr>
              <w:jc w:val="center"/>
              <w:spacing w:after="0"/>
              <w:rPr>
                <w:rFonts w:ascii="Arial" w:cs="Arial" w:eastAsia="Arial" w:hAnsi="Arial"/>
                <w:sz w:val="14"/>
                <w:szCs w:val="14"/>
                <w:color w:val="auto"/>
                <w:w w:val="89"/>
              </w:rPr>
            </w:pPr>
            <w:hyperlink w:anchor="page71">
              <w:r>
                <w:rPr>
                  <w:rFonts w:ascii="Arial" w:cs="Arial" w:eastAsia="Arial" w:hAnsi="Arial"/>
                  <w:sz w:val="14"/>
                  <w:szCs w:val="14"/>
                  <w:color w:val="auto"/>
                  <w:w w:val="89"/>
                </w:rPr>
                <w:t>66</w:t>
              </w:r>
            </w:hyperlink>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180"/>
        </w:trPr>
        <w:tc>
          <w:tcPr>
            <w:tcW w:w="20" w:type="dxa"/>
            <w:vAlign w:val="bottom"/>
          </w:tcPr>
          <w:p>
            <w:pPr>
              <w:spacing w:after="0"/>
              <w:rPr>
                <w:sz w:val="15"/>
                <w:szCs w:val="15"/>
                <w:color w:val="auto"/>
              </w:rPr>
            </w:pPr>
          </w:p>
        </w:tc>
        <w:tc>
          <w:tcPr>
            <w:tcW w:w="1020" w:type="dxa"/>
            <w:vAlign w:val="bottom"/>
            <w:gridSpan w:val="7"/>
          </w:tcPr>
          <w:p>
            <w:pPr>
              <w:spacing w:after="0"/>
              <w:rPr>
                <w:sz w:val="20"/>
                <w:szCs w:val="20"/>
                <w:color w:val="auto"/>
              </w:rPr>
            </w:pPr>
            <w:r>
              <w:rPr>
                <w:rFonts w:ascii="Arial" w:cs="Arial" w:eastAsia="Arial" w:hAnsi="Arial"/>
                <w:sz w:val="14"/>
                <w:szCs w:val="14"/>
                <w:color w:val="auto"/>
              </w:rPr>
              <w:t>Part II</w:t>
            </w: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4"/>
        </w:trPr>
        <w:tc>
          <w:tcPr>
            <w:tcW w:w="20" w:type="dxa"/>
            <w:vAlign w:val="bottom"/>
            <w:shd w:val="clear" w:color="auto" w:fill="CCEEFF"/>
          </w:tcPr>
          <w:p>
            <w:pPr>
              <w:spacing w:after="0"/>
              <w:rPr>
                <w:sz w:val="20"/>
                <w:szCs w:val="20"/>
                <w:color w:val="auto"/>
              </w:rPr>
            </w:pPr>
          </w:p>
        </w:tc>
        <w:tc>
          <w:tcPr>
            <w:tcW w:w="1020" w:type="dxa"/>
            <w:vAlign w:val="bottom"/>
            <w:gridSpan w:val="7"/>
            <w:shd w:val="clear" w:color="auto" w:fill="CCEEFF"/>
          </w:tcPr>
          <w:p>
            <w:pPr>
              <w:spacing w:after="0"/>
              <w:rPr>
                <w:rFonts w:ascii="Arial" w:cs="Arial" w:eastAsia="Arial" w:hAnsi="Arial"/>
                <w:sz w:val="14"/>
                <w:szCs w:val="14"/>
                <w:color w:val="0000FF"/>
              </w:rPr>
            </w:pPr>
            <w:hyperlink w:anchor="page71">
              <w:r>
                <w:rPr>
                  <w:rFonts w:ascii="Arial" w:cs="Arial" w:eastAsia="Arial" w:hAnsi="Arial"/>
                  <w:sz w:val="14"/>
                  <w:szCs w:val="14"/>
                  <w:color w:val="0000FF"/>
                </w:rPr>
                <w:t>Item 5.</w:t>
              </w:r>
            </w:hyperlink>
          </w:p>
        </w:tc>
        <w:tc>
          <w:tcPr>
            <w:tcW w:w="9160" w:type="dxa"/>
            <w:vAlign w:val="bottom"/>
            <w:gridSpan w:val="23"/>
            <w:shd w:val="clear" w:color="auto" w:fill="CCEEFF"/>
          </w:tcPr>
          <w:p>
            <w:pPr>
              <w:ind w:left="420"/>
              <w:spacing w:after="0"/>
              <w:rPr>
                <w:rFonts w:ascii="Arial" w:cs="Arial" w:eastAsia="Arial" w:hAnsi="Arial"/>
                <w:sz w:val="14"/>
                <w:szCs w:val="14"/>
                <w:color w:val="0000FF"/>
              </w:rPr>
            </w:pPr>
            <w:hyperlink w:anchor="page71">
              <w:r>
                <w:rPr>
                  <w:rFonts w:ascii="Arial" w:cs="Arial" w:eastAsia="Arial" w:hAnsi="Arial"/>
                  <w:sz w:val="14"/>
                  <w:szCs w:val="14"/>
                  <w:color w:val="0000FF"/>
                </w:rPr>
                <w:t>Market for Registrant’s Common Equity, Related Stockholder Matters and Issuer Purchases of Equity Securities</w:t>
              </w:r>
            </w:hyperlink>
          </w:p>
        </w:tc>
        <w:tc>
          <w:tcPr>
            <w:tcW w:w="1080" w:type="dxa"/>
            <w:vAlign w:val="bottom"/>
            <w:shd w:val="clear" w:color="auto" w:fill="CCEEFF"/>
          </w:tcPr>
          <w:p>
            <w:pPr>
              <w:jc w:val="center"/>
              <w:spacing w:after="0"/>
              <w:rPr>
                <w:rFonts w:ascii="Arial" w:cs="Arial" w:eastAsia="Arial" w:hAnsi="Arial"/>
                <w:sz w:val="14"/>
                <w:szCs w:val="14"/>
                <w:color w:val="auto"/>
                <w:w w:val="89"/>
              </w:rPr>
            </w:pPr>
            <w:hyperlink w:anchor="page71">
              <w:r>
                <w:rPr>
                  <w:rFonts w:ascii="Arial" w:cs="Arial" w:eastAsia="Arial" w:hAnsi="Arial"/>
                  <w:sz w:val="14"/>
                  <w:szCs w:val="14"/>
                  <w:color w:val="auto"/>
                  <w:w w:val="89"/>
                </w:rPr>
                <w:t>66</w:t>
              </w:r>
            </w:hyperlink>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0" w:type="dxa"/>
            <w:vAlign w:val="bottom"/>
            <w:tcBorders>
              <w:top w:val="single" w:sz="8" w:color="0000FF"/>
            </w:tcBorders>
            <w:shd w:val="clear" w:color="auto" w:fill="CCEEFF"/>
          </w:tcPr>
          <w:p>
            <w:pPr>
              <w:spacing w:after="0"/>
              <w:rPr>
                <w:sz w:val="8"/>
                <w:szCs w:val="8"/>
                <w:color w:val="auto"/>
              </w:rPr>
            </w:pPr>
          </w:p>
        </w:tc>
        <w:tc>
          <w:tcPr>
            <w:tcW w:w="6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0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520" w:type="dxa"/>
            <w:vAlign w:val="bottom"/>
            <w:tcBorders>
              <w:top w:val="single" w:sz="8" w:color="0000FF"/>
            </w:tcBorders>
            <w:shd w:val="clear" w:color="auto" w:fill="CCEEFF"/>
          </w:tcPr>
          <w:p>
            <w:pPr>
              <w:spacing w:after="0"/>
              <w:rPr>
                <w:sz w:val="8"/>
                <w:szCs w:val="8"/>
                <w:color w:val="auto"/>
              </w:rPr>
            </w:pPr>
          </w:p>
        </w:tc>
        <w:tc>
          <w:tcPr>
            <w:tcW w:w="380" w:type="dxa"/>
            <w:vAlign w:val="bottom"/>
            <w:tcBorders>
              <w:top w:val="single" w:sz="8" w:color="0000FF"/>
            </w:tcBorders>
            <w:shd w:val="clear" w:color="auto" w:fill="CCEEFF"/>
          </w:tcPr>
          <w:p>
            <w:pPr>
              <w:spacing w:after="0"/>
              <w:rPr>
                <w:sz w:val="8"/>
                <w:szCs w:val="8"/>
                <w:color w:val="auto"/>
              </w:rPr>
            </w:pPr>
          </w:p>
        </w:tc>
        <w:tc>
          <w:tcPr>
            <w:tcW w:w="78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640" w:type="dxa"/>
            <w:vAlign w:val="bottom"/>
            <w:tcBorders>
              <w:top w:val="single" w:sz="8" w:color="0000FF"/>
            </w:tcBorders>
            <w:shd w:val="clear" w:color="auto" w:fill="CCEEFF"/>
          </w:tcPr>
          <w:p>
            <w:pPr>
              <w:spacing w:after="0"/>
              <w:rPr>
                <w:sz w:val="8"/>
                <w:szCs w:val="8"/>
                <w:color w:val="auto"/>
              </w:rPr>
            </w:pPr>
          </w:p>
        </w:tc>
        <w:tc>
          <w:tcPr>
            <w:tcW w:w="620" w:type="dxa"/>
            <w:vAlign w:val="bottom"/>
            <w:tcBorders>
              <w:top w:val="single" w:sz="8" w:color="0000FF"/>
            </w:tcBorders>
            <w:shd w:val="clear" w:color="auto" w:fill="CCEEFF"/>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7"/>
          </w:tcPr>
          <w:p>
            <w:pPr>
              <w:spacing w:after="0"/>
              <w:rPr>
                <w:rFonts w:ascii="Arial" w:cs="Arial" w:eastAsia="Arial" w:hAnsi="Arial"/>
                <w:sz w:val="14"/>
                <w:szCs w:val="14"/>
                <w:color w:val="0000FF"/>
              </w:rPr>
            </w:pPr>
            <w:hyperlink w:anchor="page72">
              <w:r>
                <w:rPr>
                  <w:rFonts w:ascii="Arial" w:cs="Arial" w:eastAsia="Arial" w:hAnsi="Arial"/>
                  <w:sz w:val="14"/>
                  <w:szCs w:val="14"/>
                  <w:color w:val="0000FF"/>
                </w:rPr>
                <w:t>Item 6.</w:t>
              </w:r>
            </w:hyperlink>
          </w:p>
        </w:tc>
        <w:tc>
          <w:tcPr>
            <w:tcW w:w="9160" w:type="dxa"/>
            <w:vAlign w:val="bottom"/>
            <w:gridSpan w:val="23"/>
          </w:tcPr>
          <w:p>
            <w:pPr>
              <w:ind w:left="420"/>
              <w:spacing w:after="0"/>
              <w:rPr>
                <w:rFonts w:ascii="Arial" w:cs="Arial" w:eastAsia="Arial" w:hAnsi="Arial"/>
                <w:sz w:val="14"/>
                <w:szCs w:val="14"/>
                <w:color w:val="0000FF"/>
              </w:rPr>
            </w:pPr>
            <w:hyperlink w:anchor="page72">
              <w:r>
                <w:rPr>
                  <w:rFonts w:ascii="Arial" w:cs="Arial" w:eastAsia="Arial" w:hAnsi="Arial"/>
                  <w:sz w:val="14"/>
                  <w:szCs w:val="14"/>
                  <w:color w:val="0000FF"/>
                </w:rPr>
                <w:t>[Reserved]</w:t>
              </w:r>
            </w:hyperlink>
          </w:p>
        </w:tc>
        <w:tc>
          <w:tcPr>
            <w:tcW w:w="1080" w:type="dxa"/>
            <w:vAlign w:val="bottom"/>
          </w:tcPr>
          <w:p>
            <w:pPr>
              <w:jc w:val="center"/>
              <w:spacing w:after="0"/>
              <w:rPr>
                <w:rFonts w:ascii="Arial" w:cs="Arial" w:eastAsia="Arial" w:hAnsi="Arial"/>
                <w:sz w:val="14"/>
                <w:szCs w:val="14"/>
                <w:color w:val="auto"/>
                <w:w w:val="89"/>
              </w:rPr>
            </w:pPr>
            <w:hyperlink w:anchor="page72">
              <w:r>
                <w:rPr>
                  <w:rFonts w:ascii="Arial" w:cs="Arial" w:eastAsia="Arial" w:hAnsi="Arial"/>
                  <w:sz w:val="14"/>
                  <w:szCs w:val="14"/>
                  <w:color w:val="auto"/>
                  <w:w w:val="89"/>
                </w:rPr>
                <w:t>68</w:t>
              </w:r>
            </w:hyperlink>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7"/>
            <w:shd w:val="clear" w:color="auto" w:fill="CCEEFF"/>
          </w:tcPr>
          <w:p>
            <w:pPr>
              <w:spacing w:after="0"/>
              <w:rPr>
                <w:rFonts w:ascii="Arial" w:cs="Arial" w:eastAsia="Arial" w:hAnsi="Arial"/>
                <w:sz w:val="14"/>
                <w:szCs w:val="14"/>
                <w:color w:val="0000FF"/>
              </w:rPr>
            </w:pPr>
            <w:hyperlink w:anchor="page73">
              <w:r>
                <w:rPr>
                  <w:rFonts w:ascii="Arial" w:cs="Arial" w:eastAsia="Arial" w:hAnsi="Arial"/>
                  <w:sz w:val="14"/>
                  <w:szCs w:val="14"/>
                  <w:color w:val="0000FF"/>
                </w:rPr>
                <w:t>Item 7.</w:t>
              </w:r>
            </w:hyperlink>
          </w:p>
        </w:tc>
        <w:tc>
          <w:tcPr>
            <w:tcW w:w="9160" w:type="dxa"/>
            <w:vAlign w:val="bottom"/>
            <w:gridSpan w:val="23"/>
            <w:shd w:val="clear" w:color="auto" w:fill="CCEEFF"/>
          </w:tcPr>
          <w:p>
            <w:pPr>
              <w:ind w:left="420"/>
              <w:spacing w:after="0"/>
              <w:rPr>
                <w:rFonts w:ascii="Arial" w:cs="Arial" w:eastAsia="Arial" w:hAnsi="Arial"/>
                <w:sz w:val="14"/>
                <w:szCs w:val="14"/>
                <w:color w:val="0000FF"/>
              </w:rPr>
            </w:pPr>
            <w:hyperlink w:anchor="page73">
              <w:r>
                <w:rPr>
                  <w:rFonts w:ascii="Arial" w:cs="Arial" w:eastAsia="Arial" w:hAnsi="Arial"/>
                  <w:sz w:val="14"/>
                  <w:szCs w:val="14"/>
                  <w:color w:val="0000FF"/>
                </w:rPr>
                <w:t>Management’s Discussion and Analysis of Financial Condition and Results of Operations</w:t>
              </w:r>
            </w:hyperlink>
          </w:p>
        </w:tc>
        <w:tc>
          <w:tcPr>
            <w:tcW w:w="1080" w:type="dxa"/>
            <w:vAlign w:val="bottom"/>
            <w:shd w:val="clear" w:color="auto" w:fill="CCEEFF"/>
          </w:tcPr>
          <w:p>
            <w:pPr>
              <w:jc w:val="center"/>
              <w:spacing w:after="0"/>
              <w:rPr>
                <w:rFonts w:ascii="Arial" w:cs="Arial" w:eastAsia="Arial" w:hAnsi="Arial"/>
                <w:sz w:val="14"/>
                <w:szCs w:val="14"/>
                <w:color w:val="auto"/>
                <w:w w:val="89"/>
              </w:rPr>
            </w:pPr>
            <w:hyperlink w:anchor="page73">
              <w:r>
                <w:rPr>
                  <w:rFonts w:ascii="Arial" w:cs="Arial" w:eastAsia="Arial" w:hAnsi="Arial"/>
                  <w:sz w:val="14"/>
                  <w:szCs w:val="14"/>
                  <w:color w:val="auto"/>
                  <w:w w:val="89"/>
                </w:rPr>
                <w:t>68</w:t>
              </w:r>
            </w:hyperlink>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0" w:type="dxa"/>
            <w:vAlign w:val="bottom"/>
            <w:tcBorders>
              <w:top w:val="single" w:sz="8" w:color="0000FF"/>
            </w:tcBorders>
            <w:shd w:val="clear" w:color="auto" w:fill="CCEEFF"/>
          </w:tcPr>
          <w:p>
            <w:pPr>
              <w:spacing w:after="0"/>
              <w:rPr>
                <w:sz w:val="8"/>
                <w:szCs w:val="8"/>
                <w:color w:val="auto"/>
              </w:rPr>
            </w:pPr>
          </w:p>
        </w:tc>
        <w:tc>
          <w:tcPr>
            <w:tcW w:w="6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0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520" w:type="dxa"/>
            <w:vAlign w:val="bottom"/>
            <w:tcBorders>
              <w:top w:val="single" w:sz="8" w:color="0000FF"/>
            </w:tcBorders>
            <w:shd w:val="clear" w:color="auto" w:fill="CCEEFF"/>
          </w:tcPr>
          <w:p>
            <w:pPr>
              <w:spacing w:after="0"/>
              <w:rPr>
                <w:sz w:val="8"/>
                <w:szCs w:val="8"/>
                <w:color w:val="auto"/>
              </w:rPr>
            </w:pPr>
          </w:p>
        </w:tc>
        <w:tc>
          <w:tcPr>
            <w:tcW w:w="380" w:type="dxa"/>
            <w:vAlign w:val="bottom"/>
            <w:tcBorders>
              <w:top w:val="single" w:sz="8" w:color="0000FF"/>
            </w:tcBorders>
            <w:shd w:val="clear" w:color="auto" w:fill="CCEEFF"/>
          </w:tcPr>
          <w:p>
            <w:pPr>
              <w:spacing w:after="0"/>
              <w:rPr>
                <w:sz w:val="8"/>
                <w:szCs w:val="8"/>
                <w:color w:val="auto"/>
              </w:rPr>
            </w:pPr>
          </w:p>
        </w:tc>
        <w:tc>
          <w:tcPr>
            <w:tcW w:w="78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7"/>
          </w:tcPr>
          <w:p>
            <w:pPr>
              <w:spacing w:after="0"/>
              <w:rPr>
                <w:rFonts w:ascii="Arial" w:cs="Arial" w:eastAsia="Arial" w:hAnsi="Arial"/>
                <w:sz w:val="14"/>
                <w:szCs w:val="14"/>
                <w:color w:val="0000FF"/>
              </w:rPr>
            </w:pPr>
            <w:hyperlink w:anchor="page85">
              <w:r>
                <w:rPr>
                  <w:rFonts w:ascii="Arial" w:cs="Arial" w:eastAsia="Arial" w:hAnsi="Arial"/>
                  <w:sz w:val="14"/>
                  <w:szCs w:val="14"/>
                  <w:color w:val="0000FF"/>
                </w:rPr>
                <w:t>Item 7A.</w:t>
              </w:r>
            </w:hyperlink>
          </w:p>
        </w:tc>
        <w:tc>
          <w:tcPr>
            <w:tcW w:w="9160" w:type="dxa"/>
            <w:vAlign w:val="bottom"/>
            <w:gridSpan w:val="23"/>
          </w:tcPr>
          <w:p>
            <w:pPr>
              <w:ind w:left="420"/>
              <w:spacing w:after="0"/>
              <w:rPr>
                <w:rFonts w:ascii="Arial" w:cs="Arial" w:eastAsia="Arial" w:hAnsi="Arial"/>
                <w:sz w:val="14"/>
                <w:szCs w:val="14"/>
                <w:color w:val="0000FF"/>
              </w:rPr>
            </w:pPr>
            <w:hyperlink w:anchor="page85">
              <w:r>
                <w:rPr>
                  <w:rFonts w:ascii="Arial" w:cs="Arial" w:eastAsia="Arial" w:hAnsi="Arial"/>
                  <w:sz w:val="14"/>
                  <w:szCs w:val="14"/>
                  <w:color w:val="0000FF"/>
                </w:rPr>
                <w:t>Quantitative and Qualitative Disclosures about Market Risk</w:t>
              </w:r>
            </w:hyperlink>
          </w:p>
        </w:tc>
        <w:tc>
          <w:tcPr>
            <w:tcW w:w="1080" w:type="dxa"/>
            <w:vAlign w:val="bottom"/>
          </w:tcPr>
          <w:p>
            <w:pPr>
              <w:spacing w:after="0"/>
              <w:rPr>
                <w:sz w:val="20"/>
                <w:szCs w:val="20"/>
                <w:color w:val="auto"/>
              </w:rPr>
            </w:pPr>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6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0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7"/>
            <w:shd w:val="clear" w:color="auto" w:fill="CCEEFF"/>
          </w:tcPr>
          <w:p>
            <w:pPr>
              <w:spacing w:after="0"/>
              <w:rPr>
                <w:rFonts w:ascii="Arial" w:cs="Arial" w:eastAsia="Arial" w:hAnsi="Arial"/>
                <w:sz w:val="14"/>
                <w:szCs w:val="14"/>
                <w:color w:val="0000FF"/>
              </w:rPr>
            </w:pPr>
            <w:hyperlink w:anchor="page85">
              <w:r>
                <w:rPr>
                  <w:rFonts w:ascii="Arial" w:cs="Arial" w:eastAsia="Arial" w:hAnsi="Arial"/>
                  <w:sz w:val="14"/>
                  <w:szCs w:val="14"/>
                  <w:color w:val="0000FF"/>
                </w:rPr>
                <w:t>Item 8.</w:t>
              </w:r>
            </w:hyperlink>
          </w:p>
        </w:tc>
        <w:tc>
          <w:tcPr>
            <w:tcW w:w="9160" w:type="dxa"/>
            <w:vAlign w:val="bottom"/>
            <w:gridSpan w:val="23"/>
            <w:shd w:val="clear" w:color="auto" w:fill="CCEEFF"/>
          </w:tcPr>
          <w:p>
            <w:pPr>
              <w:ind w:left="420"/>
              <w:spacing w:after="0"/>
              <w:rPr>
                <w:rFonts w:ascii="Arial" w:cs="Arial" w:eastAsia="Arial" w:hAnsi="Arial"/>
                <w:sz w:val="14"/>
                <w:szCs w:val="14"/>
                <w:color w:val="0000FF"/>
              </w:rPr>
            </w:pPr>
            <w:hyperlink w:anchor="page85">
              <w:r>
                <w:rPr>
                  <w:rFonts w:ascii="Arial" w:cs="Arial" w:eastAsia="Arial" w:hAnsi="Arial"/>
                  <w:sz w:val="14"/>
                  <w:szCs w:val="14"/>
                  <w:color w:val="0000FF"/>
                </w:rPr>
                <w:t>Financial Statements and Supplementary Data</w:t>
              </w:r>
            </w:hyperlink>
          </w:p>
        </w:tc>
        <w:tc>
          <w:tcPr>
            <w:tcW w:w="1080" w:type="dxa"/>
            <w:vAlign w:val="bottom"/>
            <w:shd w:val="clear" w:color="auto" w:fill="CCEEFF"/>
          </w:tcPr>
          <w:p>
            <w:pPr>
              <w:jc w:val="center"/>
              <w:spacing w:after="0"/>
              <w:rPr>
                <w:rFonts w:ascii="Arial" w:cs="Arial" w:eastAsia="Arial" w:hAnsi="Arial"/>
                <w:sz w:val="14"/>
                <w:szCs w:val="14"/>
                <w:color w:val="auto"/>
                <w:w w:val="89"/>
              </w:rPr>
            </w:pPr>
            <w:hyperlink w:anchor="page85">
              <w:r>
                <w:rPr>
                  <w:rFonts w:ascii="Arial" w:cs="Arial" w:eastAsia="Arial" w:hAnsi="Arial"/>
                  <w:sz w:val="14"/>
                  <w:szCs w:val="14"/>
                  <w:color w:val="auto"/>
                  <w:w w:val="89"/>
                </w:rPr>
                <w:t>80</w:t>
              </w:r>
            </w:hyperlink>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0" w:type="dxa"/>
            <w:vAlign w:val="bottom"/>
            <w:tcBorders>
              <w:top w:val="single" w:sz="8" w:color="0000FF"/>
            </w:tcBorders>
            <w:shd w:val="clear" w:color="auto" w:fill="CCEEFF"/>
          </w:tcPr>
          <w:p>
            <w:pPr>
              <w:spacing w:after="0"/>
              <w:rPr>
                <w:sz w:val="8"/>
                <w:szCs w:val="8"/>
                <w:color w:val="auto"/>
              </w:rPr>
            </w:pPr>
          </w:p>
        </w:tc>
        <w:tc>
          <w:tcPr>
            <w:tcW w:w="6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7"/>
          </w:tcPr>
          <w:p>
            <w:pPr>
              <w:spacing w:after="0"/>
              <w:rPr>
                <w:rFonts w:ascii="Arial" w:cs="Arial" w:eastAsia="Arial" w:hAnsi="Arial"/>
                <w:sz w:val="14"/>
                <w:szCs w:val="14"/>
                <w:color w:val="0000FF"/>
              </w:rPr>
            </w:pPr>
            <w:hyperlink w:anchor="page85">
              <w:r>
                <w:rPr>
                  <w:rFonts w:ascii="Arial" w:cs="Arial" w:eastAsia="Arial" w:hAnsi="Arial"/>
                  <w:sz w:val="14"/>
                  <w:szCs w:val="14"/>
                  <w:color w:val="0000FF"/>
                </w:rPr>
                <w:t>Item 9.</w:t>
              </w:r>
            </w:hyperlink>
          </w:p>
        </w:tc>
        <w:tc>
          <w:tcPr>
            <w:tcW w:w="9160" w:type="dxa"/>
            <w:vAlign w:val="bottom"/>
            <w:gridSpan w:val="23"/>
          </w:tcPr>
          <w:p>
            <w:pPr>
              <w:ind w:left="420"/>
              <w:spacing w:after="0"/>
              <w:rPr>
                <w:rFonts w:ascii="Arial" w:cs="Arial" w:eastAsia="Arial" w:hAnsi="Arial"/>
                <w:sz w:val="14"/>
                <w:szCs w:val="14"/>
                <w:color w:val="0000FF"/>
              </w:rPr>
            </w:pPr>
            <w:hyperlink w:anchor="page85">
              <w:r>
                <w:rPr>
                  <w:rFonts w:ascii="Arial" w:cs="Arial" w:eastAsia="Arial" w:hAnsi="Arial"/>
                  <w:sz w:val="14"/>
                  <w:szCs w:val="14"/>
                  <w:color w:val="0000FF"/>
                </w:rPr>
                <w:t>Changes in and Disagreements with Accountants on Accounting and Financial Disclosure</w:t>
              </w:r>
            </w:hyperlink>
          </w:p>
        </w:tc>
        <w:tc>
          <w:tcPr>
            <w:tcW w:w="1080" w:type="dxa"/>
            <w:vAlign w:val="bottom"/>
          </w:tcPr>
          <w:p>
            <w:pPr>
              <w:jc w:val="center"/>
              <w:spacing w:after="0"/>
              <w:rPr>
                <w:rFonts w:ascii="Arial" w:cs="Arial" w:eastAsia="Arial" w:hAnsi="Arial"/>
                <w:sz w:val="14"/>
                <w:szCs w:val="14"/>
                <w:color w:val="auto"/>
                <w:w w:val="89"/>
              </w:rPr>
            </w:pPr>
            <w:hyperlink w:anchor="page85">
              <w:r>
                <w:rPr>
                  <w:rFonts w:ascii="Arial" w:cs="Arial" w:eastAsia="Arial" w:hAnsi="Arial"/>
                  <w:sz w:val="14"/>
                  <w:szCs w:val="14"/>
                  <w:color w:val="auto"/>
                  <w:w w:val="89"/>
                </w:rPr>
                <w:t>80</w:t>
              </w:r>
            </w:hyperlink>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6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0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7"/>
            <w:shd w:val="clear" w:color="auto" w:fill="CCEEFF"/>
          </w:tcPr>
          <w:p>
            <w:pPr>
              <w:spacing w:after="0"/>
              <w:rPr>
                <w:rFonts w:ascii="Arial" w:cs="Arial" w:eastAsia="Arial" w:hAnsi="Arial"/>
                <w:sz w:val="14"/>
                <w:szCs w:val="14"/>
                <w:color w:val="0000FF"/>
              </w:rPr>
            </w:pPr>
            <w:hyperlink w:anchor="page85">
              <w:r>
                <w:rPr>
                  <w:rFonts w:ascii="Arial" w:cs="Arial" w:eastAsia="Arial" w:hAnsi="Arial"/>
                  <w:sz w:val="14"/>
                  <w:szCs w:val="14"/>
                  <w:color w:val="0000FF"/>
                </w:rPr>
                <w:t>Item 9A.</w:t>
              </w:r>
            </w:hyperlink>
          </w:p>
        </w:tc>
        <w:tc>
          <w:tcPr>
            <w:tcW w:w="9160" w:type="dxa"/>
            <w:vAlign w:val="bottom"/>
            <w:gridSpan w:val="23"/>
            <w:shd w:val="clear" w:color="auto" w:fill="CCEEFF"/>
          </w:tcPr>
          <w:p>
            <w:pPr>
              <w:ind w:left="420"/>
              <w:spacing w:after="0"/>
              <w:rPr>
                <w:rFonts w:ascii="Arial" w:cs="Arial" w:eastAsia="Arial" w:hAnsi="Arial"/>
                <w:sz w:val="14"/>
                <w:szCs w:val="14"/>
                <w:color w:val="0000FF"/>
              </w:rPr>
            </w:pPr>
            <w:hyperlink w:anchor="page85">
              <w:r>
                <w:rPr>
                  <w:rFonts w:ascii="Arial" w:cs="Arial" w:eastAsia="Arial" w:hAnsi="Arial"/>
                  <w:sz w:val="14"/>
                  <w:szCs w:val="14"/>
                  <w:color w:val="0000FF"/>
                </w:rPr>
                <w:t>Controls and Procedures</w:t>
              </w:r>
            </w:hyperlink>
          </w:p>
        </w:tc>
        <w:tc>
          <w:tcPr>
            <w:tcW w:w="1080" w:type="dxa"/>
            <w:vAlign w:val="bottom"/>
            <w:shd w:val="clear" w:color="auto" w:fill="CCEEFF"/>
          </w:tcPr>
          <w:p>
            <w:pPr>
              <w:jc w:val="center"/>
              <w:spacing w:after="0"/>
              <w:rPr>
                <w:rFonts w:ascii="Arial" w:cs="Arial" w:eastAsia="Arial" w:hAnsi="Arial"/>
                <w:sz w:val="14"/>
                <w:szCs w:val="14"/>
                <w:color w:val="auto"/>
                <w:w w:val="89"/>
              </w:rPr>
            </w:pPr>
            <w:hyperlink w:anchor="page85">
              <w:r>
                <w:rPr>
                  <w:rFonts w:ascii="Arial" w:cs="Arial" w:eastAsia="Arial" w:hAnsi="Arial"/>
                  <w:sz w:val="14"/>
                  <w:szCs w:val="14"/>
                  <w:color w:val="auto"/>
                  <w:w w:val="89"/>
                </w:rPr>
                <w:t>80</w:t>
              </w:r>
            </w:hyperlink>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7"/>
          </w:tcPr>
          <w:p>
            <w:pPr>
              <w:spacing w:after="0"/>
              <w:rPr>
                <w:rFonts w:ascii="Arial" w:cs="Arial" w:eastAsia="Arial" w:hAnsi="Arial"/>
                <w:sz w:val="14"/>
                <w:szCs w:val="14"/>
                <w:color w:val="0000FF"/>
              </w:rPr>
            </w:pPr>
            <w:hyperlink w:anchor="page86">
              <w:r>
                <w:rPr>
                  <w:rFonts w:ascii="Arial" w:cs="Arial" w:eastAsia="Arial" w:hAnsi="Arial"/>
                  <w:sz w:val="14"/>
                  <w:szCs w:val="14"/>
                  <w:color w:val="0000FF"/>
                </w:rPr>
                <w:t>Item 9B.</w:t>
              </w:r>
            </w:hyperlink>
          </w:p>
        </w:tc>
        <w:tc>
          <w:tcPr>
            <w:tcW w:w="9160" w:type="dxa"/>
            <w:vAlign w:val="bottom"/>
            <w:gridSpan w:val="23"/>
          </w:tcPr>
          <w:p>
            <w:pPr>
              <w:ind w:left="420"/>
              <w:spacing w:after="0"/>
              <w:rPr>
                <w:rFonts w:ascii="Arial" w:cs="Arial" w:eastAsia="Arial" w:hAnsi="Arial"/>
                <w:sz w:val="14"/>
                <w:szCs w:val="14"/>
                <w:color w:val="0000FF"/>
              </w:rPr>
            </w:pPr>
            <w:hyperlink w:anchor="page86">
              <w:r>
                <w:rPr>
                  <w:rFonts w:ascii="Arial" w:cs="Arial" w:eastAsia="Arial" w:hAnsi="Arial"/>
                  <w:sz w:val="14"/>
                  <w:szCs w:val="14"/>
                  <w:color w:val="0000FF"/>
                </w:rPr>
                <w:t>Other Information</w:t>
              </w:r>
            </w:hyperlink>
          </w:p>
        </w:tc>
        <w:tc>
          <w:tcPr>
            <w:tcW w:w="1080" w:type="dxa"/>
            <w:vAlign w:val="bottom"/>
          </w:tcPr>
          <w:p>
            <w:pPr>
              <w:jc w:val="center"/>
              <w:spacing w:after="0"/>
              <w:rPr>
                <w:rFonts w:ascii="Arial" w:cs="Arial" w:eastAsia="Arial" w:hAnsi="Arial"/>
                <w:sz w:val="14"/>
                <w:szCs w:val="14"/>
                <w:color w:val="auto"/>
                <w:w w:val="89"/>
              </w:rPr>
            </w:pPr>
            <w:hyperlink w:anchor="page86">
              <w:r>
                <w:rPr>
                  <w:rFonts w:ascii="Arial" w:cs="Arial" w:eastAsia="Arial" w:hAnsi="Arial"/>
                  <w:sz w:val="14"/>
                  <w:szCs w:val="14"/>
                  <w:color w:val="auto"/>
                  <w:w w:val="89"/>
                </w:rPr>
                <w:t>81</w:t>
              </w:r>
            </w:hyperlink>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2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7"/>
            <w:shd w:val="clear" w:color="auto" w:fill="CCEEFF"/>
          </w:tcPr>
          <w:p>
            <w:pPr>
              <w:spacing w:after="0"/>
              <w:rPr>
                <w:rFonts w:ascii="Arial" w:cs="Arial" w:eastAsia="Arial" w:hAnsi="Arial"/>
                <w:sz w:val="14"/>
                <w:szCs w:val="14"/>
                <w:color w:val="0000FF"/>
              </w:rPr>
            </w:pPr>
            <w:hyperlink w:anchor="page86">
              <w:r>
                <w:rPr>
                  <w:rFonts w:ascii="Arial" w:cs="Arial" w:eastAsia="Arial" w:hAnsi="Arial"/>
                  <w:sz w:val="14"/>
                  <w:szCs w:val="14"/>
                  <w:color w:val="0000FF"/>
                </w:rPr>
                <w:t>Item 9C.</w:t>
              </w:r>
            </w:hyperlink>
          </w:p>
        </w:tc>
        <w:tc>
          <w:tcPr>
            <w:tcW w:w="9160" w:type="dxa"/>
            <w:vAlign w:val="bottom"/>
            <w:gridSpan w:val="23"/>
            <w:shd w:val="clear" w:color="auto" w:fill="CCEEFF"/>
          </w:tcPr>
          <w:p>
            <w:pPr>
              <w:ind w:left="420"/>
              <w:spacing w:after="0"/>
              <w:rPr>
                <w:rFonts w:ascii="Arial" w:cs="Arial" w:eastAsia="Arial" w:hAnsi="Arial"/>
                <w:sz w:val="14"/>
                <w:szCs w:val="14"/>
                <w:color w:val="0000FF"/>
              </w:rPr>
            </w:pPr>
            <w:hyperlink w:anchor="page86">
              <w:r>
                <w:rPr>
                  <w:rFonts w:ascii="Arial" w:cs="Arial" w:eastAsia="Arial" w:hAnsi="Arial"/>
                  <w:sz w:val="14"/>
                  <w:szCs w:val="14"/>
                  <w:color w:val="0000FF"/>
                </w:rPr>
                <w:t>Disclosures Regarding Foreign Jurisdictions that Prevent Inspections</w:t>
              </w:r>
            </w:hyperlink>
          </w:p>
        </w:tc>
        <w:tc>
          <w:tcPr>
            <w:tcW w:w="1080" w:type="dxa"/>
            <w:vAlign w:val="bottom"/>
            <w:shd w:val="clear" w:color="auto" w:fill="CCEEFF"/>
          </w:tcPr>
          <w:p>
            <w:pPr>
              <w:jc w:val="center"/>
              <w:spacing w:after="0"/>
              <w:rPr>
                <w:rFonts w:ascii="Arial" w:cs="Arial" w:eastAsia="Arial" w:hAnsi="Arial"/>
                <w:sz w:val="14"/>
                <w:szCs w:val="14"/>
                <w:color w:val="auto"/>
                <w:w w:val="89"/>
              </w:rPr>
            </w:pPr>
            <w:hyperlink w:anchor="page86">
              <w:r>
                <w:rPr>
                  <w:rFonts w:ascii="Arial" w:cs="Arial" w:eastAsia="Arial" w:hAnsi="Arial"/>
                  <w:sz w:val="14"/>
                  <w:szCs w:val="14"/>
                  <w:color w:val="auto"/>
                  <w:w w:val="89"/>
                </w:rPr>
                <w:t>81</w:t>
              </w:r>
            </w:hyperlink>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0" w:type="dxa"/>
            <w:vAlign w:val="bottom"/>
            <w:tcBorders>
              <w:top w:val="single" w:sz="8" w:color="0000FF"/>
            </w:tcBorders>
            <w:shd w:val="clear" w:color="auto" w:fill="CCEEFF"/>
          </w:tcPr>
          <w:p>
            <w:pPr>
              <w:spacing w:after="0"/>
              <w:rPr>
                <w:sz w:val="8"/>
                <w:szCs w:val="8"/>
                <w:color w:val="auto"/>
              </w:rPr>
            </w:pPr>
          </w:p>
        </w:tc>
        <w:tc>
          <w:tcPr>
            <w:tcW w:w="6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0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520" w:type="dxa"/>
            <w:vAlign w:val="bottom"/>
            <w:tcBorders>
              <w:top w:val="single" w:sz="8" w:color="0000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180"/>
        </w:trPr>
        <w:tc>
          <w:tcPr>
            <w:tcW w:w="20" w:type="dxa"/>
            <w:vAlign w:val="bottom"/>
          </w:tcPr>
          <w:p>
            <w:pPr>
              <w:spacing w:after="0"/>
              <w:rPr>
                <w:sz w:val="15"/>
                <w:szCs w:val="15"/>
                <w:color w:val="auto"/>
              </w:rPr>
            </w:pPr>
          </w:p>
        </w:tc>
        <w:tc>
          <w:tcPr>
            <w:tcW w:w="1020" w:type="dxa"/>
            <w:vAlign w:val="bottom"/>
            <w:gridSpan w:val="7"/>
          </w:tcPr>
          <w:p>
            <w:pPr>
              <w:spacing w:after="0"/>
              <w:rPr>
                <w:sz w:val="20"/>
                <w:szCs w:val="20"/>
                <w:color w:val="auto"/>
              </w:rPr>
            </w:pPr>
            <w:r>
              <w:rPr>
                <w:rFonts w:ascii="Arial" w:cs="Arial" w:eastAsia="Arial" w:hAnsi="Arial"/>
                <w:sz w:val="14"/>
                <w:szCs w:val="14"/>
                <w:color w:val="auto"/>
              </w:rPr>
              <w:t>Part III</w:t>
            </w: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4"/>
        </w:trPr>
        <w:tc>
          <w:tcPr>
            <w:tcW w:w="20" w:type="dxa"/>
            <w:vAlign w:val="bottom"/>
            <w:shd w:val="clear" w:color="auto" w:fill="CCEEFF"/>
          </w:tcPr>
          <w:p>
            <w:pPr>
              <w:spacing w:after="0"/>
              <w:rPr>
                <w:sz w:val="20"/>
                <w:szCs w:val="20"/>
                <w:color w:val="auto"/>
              </w:rPr>
            </w:pPr>
          </w:p>
        </w:tc>
        <w:tc>
          <w:tcPr>
            <w:tcW w:w="1020" w:type="dxa"/>
            <w:vAlign w:val="bottom"/>
            <w:gridSpan w:val="7"/>
            <w:shd w:val="clear" w:color="auto" w:fill="CCEEFF"/>
          </w:tcPr>
          <w:p>
            <w:pPr>
              <w:spacing w:after="0"/>
              <w:rPr>
                <w:rFonts w:ascii="Arial" w:cs="Arial" w:eastAsia="Arial" w:hAnsi="Arial"/>
                <w:sz w:val="14"/>
                <w:szCs w:val="14"/>
                <w:color w:val="0000FF"/>
              </w:rPr>
            </w:pPr>
            <w:hyperlink w:anchor="page87">
              <w:r>
                <w:rPr>
                  <w:rFonts w:ascii="Arial" w:cs="Arial" w:eastAsia="Arial" w:hAnsi="Arial"/>
                  <w:sz w:val="14"/>
                  <w:szCs w:val="14"/>
                  <w:color w:val="0000FF"/>
                </w:rPr>
                <w:t>Item 10.</w:t>
              </w:r>
            </w:hyperlink>
          </w:p>
        </w:tc>
        <w:tc>
          <w:tcPr>
            <w:tcW w:w="9160" w:type="dxa"/>
            <w:vAlign w:val="bottom"/>
            <w:gridSpan w:val="23"/>
            <w:shd w:val="clear" w:color="auto" w:fill="CCEEFF"/>
          </w:tcPr>
          <w:p>
            <w:pPr>
              <w:ind w:left="420"/>
              <w:spacing w:after="0"/>
              <w:rPr>
                <w:rFonts w:ascii="Arial" w:cs="Arial" w:eastAsia="Arial" w:hAnsi="Arial"/>
                <w:sz w:val="14"/>
                <w:szCs w:val="14"/>
                <w:color w:val="0000FF"/>
              </w:rPr>
            </w:pPr>
            <w:hyperlink w:anchor="page87">
              <w:r>
                <w:rPr>
                  <w:rFonts w:ascii="Arial" w:cs="Arial" w:eastAsia="Arial" w:hAnsi="Arial"/>
                  <w:sz w:val="14"/>
                  <w:szCs w:val="14"/>
                  <w:color w:val="0000FF"/>
                </w:rPr>
                <w:t>Directors, Executive Officers and Corporate Governance</w:t>
              </w:r>
            </w:hyperlink>
          </w:p>
        </w:tc>
        <w:tc>
          <w:tcPr>
            <w:tcW w:w="1080" w:type="dxa"/>
            <w:vAlign w:val="bottom"/>
            <w:shd w:val="clear" w:color="auto" w:fill="CCEEFF"/>
          </w:tcPr>
          <w:p>
            <w:pPr>
              <w:jc w:val="center"/>
              <w:spacing w:after="0"/>
              <w:rPr>
                <w:rFonts w:ascii="Arial" w:cs="Arial" w:eastAsia="Arial" w:hAnsi="Arial"/>
                <w:sz w:val="14"/>
                <w:szCs w:val="14"/>
                <w:color w:val="auto"/>
                <w:w w:val="89"/>
              </w:rPr>
            </w:pPr>
            <w:hyperlink w:anchor="page87">
              <w:r>
                <w:rPr>
                  <w:rFonts w:ascii="Arial" w:cs="Arial" w:eastAsia="Arial" w:hAnsi="Arial"/>
                  <w:sz w:val="14"/>
                  <w:szCs w:val="14"/>
                  <w:color w:val="auto"/>
                  <w:w w:val="89"/>
                </w:rPr>
                <w:t>82</w:t>
              </w:r>
            </w:hyperlink>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0" w:type="dxa"/>
            <w:vAlign w:val="bottom"/>
            <w:tcBorders>
              <w:top w:val="single" w:sz="8" w:color="0000FF"/>
            </w:tcBorders>
            <w:shd w:val="clear" w:color="auto" w:fill="CCEEFF"/>
          </w:tcPr>
          <w:p>
            <w:pPr>
              <w:spacing w:after="0"/>
              <w:rPr>
                <w:sz w:val="8"/>
                <w:szCs w:val="8"/>
                <w:color w:val="auto"/>
              </w:rPr>
            </w:pPr>
          </w:p>
        </w:tc>
        <w:tc>
          <w:tcPr>
            <w:tcW w:w="6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0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7"/>
          </w:tcPr>
          <w:p>
            <w:pPr>
              <w:spacing w:after="0"/>
              <w:rPr>
                <w:rFonts w:ascii="Arial" w:cs="Arial" w:eastAsia="Arial" w:hAnsi="Arial"/>
                <w:sz w:val="14"/>
                <w:szCs w:val="14"/>
                <w:color w:val="0000FF"/>
              </w:rPr>
            </w:pPr>
            <w:hyperlink w:anchor="page87">
              <w:r>
                <w:rPr>
                  <w:rFonts w:ascii="Arial" w:cs="Arial" w:eastAsia="Arial" w:hAnsi="Arial"/>
                  <w:sz w:val="14"/>
                  <w:szCs w:val="14"/>
                  <w:color w:val="0000FF"/>
                </w:rPr>
                <w:t>Item 11.</w:t>
              </w:r>
            </w:hyperlink>
          </w:p>
        </w:tc>
        <w:tc>
          <w:tcPr>
            <w:tcW w:w="9160" w:type="dxa"/>
            <w:vAlign w:val="bottom"/>
            <w:gridSpan w:val="23"/>
          </w:tcPr>
          <w:p>
            <w:pPr>
              <w:ind w:left="420"/>
              <w:spacing w:after="0"/>
              <w:rPr>
                <w:rFonts w:ascii="Arial" w:cs="Arial" w:eastAsia="Arial" w:hAnsi="Arial"/>
                <w:sz w:val="14"/>
                <w:szCs w:val="14"/>
                <w:color w:val="0000FF"/>
              </w:rPr>
            </w:pPr>
            <w:hyperlink w:anchor="page87">
              <w:r>
                <w:rPr>
                  <w:rFonts w:ascii="Arial" w:cs="Arial" w:eastAsia="Arial" w:hAnsi="Arial"/>
                  <w:sz w:val="14"/>
                  <w:szCs w:val="14"/>
                  <w:color w:val="0000FF"/>
                </w:rPr>
                <w:t>Executive Compensation</w:t>
              </w:r>
            </w:hyperlink>
          </w:p>
        </w:tc>
        <w:tc>
          <w:tcPr>
            <w:tcW w:w="1080" w:type="dxa"/>
            <w:vAlign w:val="bottom"/>
          </w:tcPr>
          <w:p>
            <w:pPr>
              <w:jc w:val="center"/>
              <w:spacing w:after="0"/>
              <w:rPr>
                <w:rFonts w:ascii="Arial" w:cs="Arial" w:eastAsia="Arial" w:hAnsi="Arial"/>
                <w:sz w:val="14"/>
                <w:szCs w:val="14"/>
                <w:color w:val="auto"/>
                <w:w w:val="89"/>
              </w:rPr>
            </w:pPr>
            <w:hyperlink w:anchor="page87">
              <w:r>
                <w:rPr>
                  <w:rFonts w:ascii="Arial" w:cs="Arial" w:eastAsia="Arial" w:hAnsi="Arial"/>
                  <w:sz w:val="14"/>
                  <w:szCs w:val="14"/>
                  <w:color w:val="auto"/>
                  <w:w w:val="89"/>
                </w:rPr>
                <w:t>82</w:t>
              </w:r>
            </w:hyperlink>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7"/>
            <w:shd w:val="clear" w:color="auto" w:fill="CCEEFF"/>
          </w:tcPr>
          <w:p>
            <w:pPr>
              <w:spacing w:after="0"/>
              <w:rPr>
                <w:rFonts w:ascii="Arial" w:cs="Arial" w:eastAsia="Arial" w:hAnsi="Arial"/>
                <w:sz w:val="14"/>
                <w:szCs w:val="14"/>
                <w:color w:val="0000FF"/>
              </w:rPr>
            </w:pPr>
            <w:hyperlink w:anchor="page87">
              <w:r>
                <w:rPr>
                  <w:rFonts w:ascii="Arial" w:cs="Arial" w:eastAsia="Arial" w:hAnsi="Arial"/>
                  <w:sz w:val="14"/>
                  <w:szCs w:val="14"/>
                  <w:color w:val="0000FF"/>
                </w:rPr>
                <w:t>Item 12.</w:t>
              </w:r>
            </w:hyperlink>
          </w:p>
        </w:tc>
        <w:tc>
          <w:tcPr>
            <w:tcW w:w="9160" w:type="dxa"/>
            <w:vAlign w:val="bottom"/>
            <w:gridSpan w:val="23"/>
            <w:shd w:val="clear" w:color="auto" w:fill="CCEEFF"/>
          </w:tcPr>
          <w:p>
            <w:pPr>
              <w:ind w:left="420"/>
              <w:spacing w:after="0"/>
              <w:rPr>
                <w:rFonts w:ascii="Arial" w:cs="Arial" w:eastAsia="Arial" w:hAnsi="Arial"/>
                <w:sz w:val="14"/>
                <w:szCs w:val="14"/>
                <w:color w:val="0000FF"/>
              </w:rPr>
            </w:pPr>
            <w:hyperlink w:anchor="page87">
              <w:r>
                <w:rPr>
                  <w:rFonts w:ascii="Arial" w:cs="Arial" w:eastAsia="Arial" w:hAnsi="Arial"/>
                  <w:sz w:val="14"/>
                  <w:szCs w:val="14"/>
                  <w:color w:val="0000FF"/>
                </w:rPr>
                <w:t>Security Ownership of Certain Beneficial Owners and Management and Related Stockholder Matters</w:t>
              </w:r>
            </w:hyperlink>
          </w:p>
        </w:tc>
        <w:tc>
          <w:tcPr>
            <w:tcW w:w="1080" w:type="dxa"/>
            <w:vAlign w:val="bottom"/>
            <w:shd w:val="clear" w:color="auto" w:fill="CCEEFF"/>
          </w:tcPr>
          <w:p>
            <w:pPr>
              <w:jc w:val="center"/>
              <w:spacing w:after="0"/>
              <w:rPr>
                <w:rFonts w:ascii="Arial" w:cs="Arial" w:eastAsia="Arial" w:hAnsi="Arial"/>
                <w:sz w:val="14"/>
                <w:szCs w:val="14"/>
                <w:color w:val="auto"/>
                <w:w w:val="89"/>
              </w:rPr>
            </w:pPr>
            <w:hyperlink w:anchor="page87">
              <w:r>
                <w:rPr>
                  <w:rFonts w:ascii="Arial" w:cs="Arial" w:eastAsia="Arial" w:hAnsi="Arial"/>
                  <w:sz w:val="14"/>
                  <w:szCs w:val="14"/>
                  <w:color w:val="auto"/>
                  <w:w w:val="89"/>
                </w:rPr>
                <w:t>82</w:t>
              </w:r>
            </w:hyperlink>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0" w:type="dxa"/>
            <w:vAlign w:val="bottom"/>
            <w:tcBorders>
              <w:top w:val="single" w:sz="8" w:color="0000FF"/>
            </w:tcBorders>
            <w:shd w:val="clear" w:color="auto" w:fill="CCEEFF"/>
          </w:tcPr>
          <w:p>
            <w:pPr>
              <w:spacing w:after="0"/>
              <w:rPr>
                <w:sz w:val="8"/>
                <w:szCs w:val="8"/>
                <w:color w:val="auto"/>
              </w:rPr>
            </w:pPr>
          </w:p>
        </w:tc>
        <w:tc>
          <w:tcPr>
            <w:tcW w:w="6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0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520" w:type="dxa"/>
            <w:vAlign w:val="bottom"/>
            <w:tcBorders>
              <w:top w:val="single" w:sz="8" w:color="0000FF"/>
            </w:tcBorders>
            <w:shd w:val="clear" w:color="auto" w:fill="CCEEFF"/>
          </w:tcPr>
          <w:p>
            <w:pPr>
              <w:spacing w:after="0"/>
              <w:rPr>
                <w:sz w:val="8"/>
                <w:szCs w:val="8"/>
                <w:color w:val="auto"/>
              </w:rPr>
            </w:pPr>
          </w:p>
        </w:tc>
        <w:tc>
          <w:tcPr>
            <w:tcW w:w="380" w:type="dxa"/>
            <w:vAlign w:val="bottom"/>
            <w:tcBorders>
              <w:top w:val="single" w:sz="8" w:color="0000FF"/>
            </w:tcBorders>
            <w:shd w:val="clear" w:color="auto" w:fill="CCEEFF"/>
          </w:tcPr>
          <w:p>
            <w:pPr>
              <w:spacing w:after="0"/>
              <w:rPr>
                <w:sz w:val="8"/>
                <w:szCs w:val="8"/>
                <w:color w:val="auto"/>
              </w:rPr>
            </w:pPr>
          </w:p>
        </w:tc>
        <w:tc>
          <w:tcPr>
            <w:tcW w:w="78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640" w:type="dxa"/>
            <w:vAlign w:val="bottom"/>
            <w:tcBorders>
              <w:top w:val="single" w:sz="8" w:color="0000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7"/>
          </w:tcPr>
          <w:p>
            <w:pPr>
              <w:spacing w:after="0"/>
              <w:rPr>
                <w:rFonts w:ascii="Arial" w:cs="Arial" w:eastAsia="Arial" w:hAnsi="Arial"/>
                <w:sz w:val="14"/>
                <w:szCs w:val="14"/>
                <w:color w:val="0000FF"/>
              </w:rPr>
            </w:pPr>
            <w:hyperlink w:anchor="page87">
              <w:r>
                <w:rPr>
                  <w:rFonts w:ascii="Arial" w:cs="Arial" w:eastAsia="Arial" w:hAnsi="Arial"/>
                  <w:sz w:val="14"/>
                  <w:szCs w:val="14"/>
                  <w:color w:val="0000FF"/>
                </w:rPr>
                <w:t>Item 13.</w:t>
              </w:r>
            </w:hyperlink>
          </w:p>
        </w:tc>
        <w:tc>
          <w:tcPr>
            <w:tcW w:w="9160" w:type="dxa"/>
            <w:vAlign w:val="bottom"/>
            <w:gridSpan w:val="23"/>
          </w:tcPr>
          <w:p>
            <w:pPr>
              <w:ind w:left="420"/>
              <w:spacing w:after="0"/>
              <w:rPr>
                <w:rFonts w:ascii="Arial" w:cs="Arial" w:eastAsia="Arial" w:hAnsi="Arial"/>
                <w:sz w:val="14"/>
                <w:szCs w:val="14"/>
                <w:color w:val="0000FF"/>
              </w:rPr>
            </w:pPr>
            <w:hyperlink w:anchor="page87">
              <w:r>
                <w:rPr>
                  <w:rFonts w:ascii="Arial" w:cs="Arial" w:eastAsia="Arial" w:hAnsi="Arial"/>
                  <w:sz w:val="14"/>
                  <w:szCs w:val="14"/>
                  <w:color w:val="0000FF"/>
                </w:rPr>
                <w:t>Certain Relationships and Related Transactions, and Director Independence</w:t>
              </w:r>
            </w:hyperlink>
          </w:p>
        </w:tc>
        <w:tc>
          <w:tcPr>
            <w:tcW w:w="1080" w:type="dxa"/>
            <w:vAlign w:val="bottom"/>
          </w:tcPr>
          <w:p>
            <w:pPr>
              <w:jc w:val="center"/>
              <w:spacing w:after="0"/>
              <w:rPr>
                <w:rFonts w:ascii="Arial" w:cs="Arial" w:eastAsia="Arial" w:hAnsi="Arial"/>
                <w:sz w:val="14"/>
                <w:szCs w:val="14"/>
                <w:color w:val="auto"/>
                <w:w w:val="89"/>
              </w:rPr>
            </w:pPr>
            <w:hyperlink w:anchor="page87">
              <w:r>
                <w:rPr>
                  <w:rFonts w:ascii="Arial" w:cs="Arial" w:eastAsia="Arial" w:hAnsi="Arial"/>
                  <w:sz w:val="14"/>
                  <w:szCs w:val="14"/>
                  <w:color w:val="auto"/>
                  <w:w w:val="89"/>
                </w:rPr>
                <w:t>82</w:t>
              </w:r>
            </w:hyperlink>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6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0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7"/>
            <w:shd w:val="clear" w:color="auto" w:fill="CCEEFF"/>
          </w:tcPr>
          <w:p>
            <w:pPr>
              <w:spacing w:after="0"/>
              <w:rPr>
                <w:rFonts w:ascii="Arial" w:cs="Arial" w:eastAsia="Arial" w:hAnsi="Arial"/>
                <w:sz w:val="14"/>
                <w:szCs w:val="14"/>
                <w:color w:val="0000FF"/>
              </w:rPr>
            </w:pPr>
            <w:hyperlink w:anchor="page87">
              <w:r>
                <w:rPr>
                  <w:rFonts w:ascii="Arial" w:cs="Arial" w:eastAsia="Arial" w:hAnsi="Arial"/>
                  <w:sz w:val="14"/>
                  <w:szCs w:val="14"/>
                  <w:color w:val="0000FF"/>
                </w:rPr>
                <w:t>Item 14.</w:t>
              </w:r>
            </w:hyperlink>
          </w:p>
        </w:tc>
        <w:tc>
          <w:tcPr>
            <w:tcW w:w="9160" w:type="dxa"/>
            <w:vAlign w:val="bottom"/>
            <w:gridSpan w:val="23"/>
            <w:shd w:val="clear" w:color="auto" w:fill="CCEEFF"/>
          </w:tcPr>
          <w:p>
            <w:pPr>
              <w:ind w:left="420"/>
              <w:spacing w:after="0"/>
              <w:rPr>
                <w:rFonts w:ascii="Arial" w:cs="Arial" w:eastAsia="Arial" w:hAnsi="Arial"/>
                <w:sz w:val="14"/>
                <w:szCs w:val="14"/>
                <w:color w:val="0000FF"/>
              </w:rPr>
            </w:pPr>
            <w:hyperlink w:anchor="page87">
              <w:r>
                <w:rPr>
                  <w:rFonts w:ascii="Arial" w:cs="Arial" w:eastAsia="Arial" w:hAnsi="Arial"/>
                  <w:sz w:val="14"/>
                  <w:szCs w:val="14"/>
                  <w:color w:val="0000FF"/>
                </w:rPr>
                <w:t>Principal Accounting Fees and Services</w:t>
              </w:r>
            </w:hyperlink>
          </w:p>
        </w:tc>
        <w:tc>
          <w:tcPr>
            <w:tcW w:w="1080" w:type="dxa"/>
            <w:vAlign w:val="bottom"/>
            <w:shd w:val="clear" w:color="auto" w:fill="CCEEFF"/>
          </w:tcPr>
          <w:p>
            <w:pPr>
              <w:jc w:val="center"/>
              <w:spacing w:after="0"/>
              <w:rPr>
                <w:rFonts w:ascii="Arial" w:cs="Arial" w:eastAsia="Arial" w:hAnsi="Arial"/>
                <w:sz w:val="14"/>
                <w:szCs w:val="14"/>
                <w:color w:val="auto"/>
                <w:w w:val="89"/>
              </w:rPr>
            </w:pPr>
            <w:hyperlink w:anchor="page87">
              <w:r>
                <w:rPr>
                  <w:rFonts w:ascii="Arial" w:cs="Arial" w:eastAsia="Arial" w:hAnsi="Arial"/>
                  <w:sz w:val="14"/>
                  <w:szCs w:val="14"/>
                  <w:color w:val="auto"/>
                  <w:w w:val="89"/>
                </w:rPr>
                <w:t>82</w:t>
              </w:r>
            </w:hyperlink>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0" w:type="dxa"/>
            <w:vAlign w:val="bottom"/>
            <w:tcBorders>
              <w:top w:val="single" w:sz="8" w:color="0000FF"/>
            </w:tcBorders>
            <w:shd w:val="clear" w:color="auto" w:fill="CCEEFF"/>
          </w:tcPr>
          <w:p>
            <w:pPr>
              <w:spacing w:after="0"/>
              <w:rPr>
                <w:sz w:val="8"/>
                <w:szCs w:val="8"/>
                <w:color w:val="auto"/>
              </w:rPr>
            </w:pPr>
          </w:p>
        </w:tc>
        <w:tc>
          <w:tcPr>
            <w:tcW w:w="6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180"/>
        </w:trPr>
        <w:tc>
          <w:tcPr>
            <w:tcW w:w="20" w:type="dxa"/>
            <w:vAlign w:val="bottom"/>
          </w:tcPr>
          <w:p>
            <w:pPr>
              <w:spacing w:after="0"/>
              <w:rPr>
                <w:sz w:val="15"/>
                <w:szCs w:val="15"/>
                <w:color w:val="auto"/>
              </w:rPr>
            </w:pPr>
          </w:p>
        </w:tc>
        <w:tc>
          <w:tcPr>
            <w:tcW w:w="1020" w:type="dxa"/>
            <w:vAlign w:val="bottom"/>
            <w:gridSpan w:val="7"/>
          </w:tcPr>
          <w:p>
            <w:pPr>
              <w:spacing w:after="0"/>
              <w:rPr>
                <w:sz w:val="20"/>
                <w:szCs w:val="20"/>
                <w:color w:val="auto"/>
              </w:rPr>
            </w:pPr>
            <w:r>
              <w:rPr>
                <w:rFonts w:ascii="Arial" w:cs="Arial" w:eastAsia="Arial" w:hAnsi="Arial"/>
                <w:sz w:val="14"/>
                <w:szCs w:val="14"/>
                <w:color w:val="auto"/>
              </w:rPr>
              <w:t>Part IV</w:t>
            </w: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4"/>
        </w:trPr>
        <w:tc>
          <w:tcPr>
            <w:tcW w:w="20" w:type="dxa"/>
            <w:vAlign w:val="bottom"/>
            <w:shd w:val="clear" w:color="auto" w:fill="CCEEFF"/>
          </w:tcPr>
          <w:p>
            <w:pPr>
              <w:spacing w:after="0"/>
              <w:rPr>
                <w:sz w:val="20"/>
                <w:szCs w:val="20"/>
                <w:color w:val="auto"/>
              </w:rPr>
            </w:pPr>
          </w:p>
        </w:tc>
        <w:tc>
          <w:tcPr>
            <w:tcW w:w="1020" w:type="dxa"/>
            <w:vAlign w:val="bottom"/>
            <w:gridSpan w:val="7"/>
            <w:shd w:val="clear" w:color="auto" w:fill="CCEEFF"/>
          </w:tcPr>
          <w:p>
            <w:pPr>
              <w:spacing w:after="0"/>
              <w:rPr>
                <w:rFonts w:ascii="Arial" w:cs="Arial" w:eastAsia="Arial" w:hAnsi="Arial"/>
                <w:sz w:val="14"/>
                <w:szCs w:val="14"/>
                <w:color w:val="0000FF"/>
              </w:rPr>
            </w:pPr>
            <w:hyperlink w:anchor="page88">
              <w:r>
                <w:rPr>
                  <w:rFonts w:ascii="Arial" w:cs="Arial" w:eastAsia="Arial" w:hAnsi="Arial"/>
                  <w:sz w:val="14"/>
                  <w:szCs w:val="14"/>
                  <w:color w:val="0000FF"/>
                </w:rPr>
                <w:t>Item 15.</w:t>
              </w:r>
            </w:hyperlink>
          </w:p>
        </w:tc>
        <w:tc>
          <w:tcPr>
            <w:tcW w:w="9160" w:type="dxa"/>
            <w:vAlign w:val="bottom"/>
            <w:gridSpan w:val="23"/>
            <w:shd w:val="clear" w:color="auto" w:fill="CCEEFF"/>
          </w:tcPr>
          <w:p>
            <w:pPr>
              <w:ind w:left="420"/>
              <w:spacing w:after="0"/>
              <w:rPr>
                <w:rFonts w:ascii="Arial" w:cs="Arial" w:eastAsia="Arial" w:hAnsi="Arial"/>
                <w:sz w:val="14"/>
                <w:szCs w:val="14"/>
                <w:color w:val="0000FF"/>
              </w:rPr>
            </w:pPr>
            <w:hyperlink w:anchor="page88">
              <w:r>
                <w:rPr>
                  <w:rFonts w:ascii="Arial" w:cs="Arial" w:eastAsia="Arial" w:hAnsi="Arial"/>
                  <w:sz w:val="14"/>
                  <w:szCs w:val="14"/>
                  <w:color w:val="0000FF"/>
                </w:rPr>
                <w:t>Exhibits, Financial Statement Schedules</w:t>
              </w:r>
            </w:hyperlink>
          </w:p>
        </w:tc>
        <w:tc>
          <w:tcPr>
            <w:tcW w:w="1080" w:type="dxa"/>
            <w:vAlign w:val="bottom"/>
            <w:shd w:val="clear" w:color="auto" w:fill="CCEEFF"/>
          </w:tcPr>
          <w:p>
            <w:pPr>
              <w:jc w:val="center"/>
              <w:spacing w:after="0"/>
              <w:rPr>
                <w:rFonts w:ascii="Arial" w:cs="Arial" w:eastAsia="Arial" w:hAnsi="Arial"/>
                <w:sz w:val="14"/>
                <w:szCs w:val="14"/>
                <w:color w:val="auto"/>
                <w:w w:val="89"/>
              </w:rPr>
            </w:pPr>
            <w:hyperlink w:anchor="page88">
              <w:r>
                <w:rPr>
                  <w:rFonts w:ascii="Arial" w:cs="Arial" w:eastAsia="Arial" w:hAnsi="Arial"/>
                  <w:sz w:val="14"/>
                  <w:szCs w:val="14"/>
                  <w:color w:val="auto"/>
                  <w:w w:val="89"/>
                </w:rPr>
                <w:t>83</w:t>
              </w:r>
            </w:hyperlink>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0" w:type="dxa"/>
            <w:vAlign w:val="bottom"/>
            <w:tcBorders>
              <w:top w:val="single" w:sz="8" w:color="0000FF"/>
            </w:tcBorders>
            <w:shd w:val="clear" w:color="auto" w:fill="CCEEFF"/>
          </w:tcPr>
          <w:p>
            <w:pPr>
              <w:spacing w:after="0"/>
              <w:rPr>
                <w:sz w:val="8"/>
                <w:szCs w:val="8"/>
                <w:color w:val="auto"/>
              </w:rPr>
            </w:pPr>
          </w:p>
        </w:tc>
        <w:tc>
          <w:tcPr>
            <w:tcW w:w="6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7"/>
          </w:tcPr>
          <w:p>
            <w:pPr>
              <w:spacing w:after="0"/>
              <w:rPr>
                <w:rFonts w:ascii="Arial" w:cs="Arial" w:eastAsia="Arial" w:hAnsi="Arial"/>
                <w:sz w:val="14"/>
                <w:szCs w:val="14"/>
                <w:color w:val="0000FF"/>
              </w:rPr>
            </w:pPr>
            <w:hyperlink w:anchor="page89">
              <w:r>
                <w:rPr>
                  <w:rFonts w:ascii="Arial" w:cs="Arial" w:eastAsia="Arial" w:hAnsi="Arial"/>
                  <w:sz w:val="14"/>
                  <w:szCs w:val="14"/>
                  <w:color w:val="0000FF"/>
                </w:rPr>
                <w:t>Item 16.</w:t>
              </w:r>
            </w:hyperlink>
          </w:p>
        </w:tc>
        <w:tc>
          <w:tcPr>
            <w:tcW w:w="9160" w:type="dxa"/>
            <w:vAlign w:val="bottom"/>
            <w:gridSpan w:val="23"/>
          </w:tcPr>
          <w:p>
            <w:pPr>
              <w:ind w:left="420"/>
              <w:spacing w:after="0"/>
              <w:rPr>
                <w:rFonts w:ascii="Arial" w:cs="Arial" w:eastAsia="Arial" w:hAnsi="Arial"/>
                <w:sz w:val="14"/>
                <w:szCs w:val="14"/>
                <w:color w:val="0000FF"/>
              </w:rPr>
            </w:pPr>
            <w:hyperlink w:anchor="page90">
              <w:r>
                <w:rPr>
                  <w:rFonts w:ascii="Arial" w:cs="Arial" w:eastAsia="Arial" w:hAnsi="Arial"/>
                  <w:sz w:val="14"/>
                  <w:szCs w:val="14"/>
                  <w:color w:val="0000FF"/>
                </w:rPr>
                <w:t>Form 10-K Summary</w:t>
              </w:r>
            </w:hyperlink>
          </w:p>
        </w:tc>
        <w:tc>
          <w:tcPr>
            <w:tcW w:w="1080" w:type="dxa"/>
            <w:vAlign w:val="bottom"/>
          </w:tcPr>
          <w:p>
            <w:pPr>
              <w:jc w:val="center"/>
              <w:spacing w:after="0"/>
              <w:rPr>
                <w:rFonts w:ascii="Arial" w:cs="Arial" w:eastAsia="Arial" w:hAnsi="Arial"/>
                <w:sz w:val="14"/>
                <w:szCs w:val="14"/>
                <w:color w:val="auto"/>
                <w:w w:val="89"/>
              </w:rPr>
            </w:pPr>
            <w:hyperlink w:anchor="page89">
              <w:r>
                <w:rPr>
                  <w:rFonts w:ascii="Arial" w:cs="Arial" w:eastAsia="Arial" w:hAnsi="Arial"/>
                  <w:sz w:val="14"/>
                  <w:szCs w:val="14"/>
                  <w:color w:val="auto"/>
                  <w:w w:val="89"/>
                </w:rPr>
                <w:t>84</w:t>
              </w:r>
            </w:hyperlink>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7"/>
            <w:shd w:val="clear" w:color="auto" w:fill="CCEEFF"/>
          </w:tcPr>
          <w:p>
            <w:pPr>
              <w:spacing w:after="0"/>
              <w:rPr>
                <w:rFonts w:ascii="Arial" w:cs="Arial" w:eastAsia="Arial" w:hAnsi="Arial"/>
                <w:sz w:val="14"/>
                <w:szCs w:val="14"/>
                <w:color w:val="0000FF"/>
              </w:rPr>
            </w:pPr>
            <w:hyperlink w:anchor="page90">
              <w:r>
                <w:rPr>
                  <w:rFonts w:ascii="Arial" w:cs="Arial" w:eastAsia="Arial" w:hAnsi="Arial"/>
                  <w:sz w:val="14"/>
                  <w:szCs w:val="14"/>
                  <w:color w:val="0000FF"/>
                </w:rPr>
                <w:t>Signatures</w:t>
              </w:r>
            </w:hyperlink>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rFonts w:ascii="Arial" w:cs="Arial" w:eastAsia="Arial" w:hAnsi="Arial"/>
                <w:sz w:val="14"/>
                <w:szCs w:val="14"/>
                <w:color w:val="auto"/>
                <w:w w:val="89"/>
              </w:rPr>
            </w:pPr>
            <w:hyperlink w:anchor="page90">
              <w:r>
                <w:rPr>
                  <w:rFonts w:ascii="Arial" w:cs="Arial" w:eastAsia="Arial" w:hAnsi="Arial"/>
                  <w:sz w:val="14"/>
                  <w:szCs w:val="14"/>
                  <w:color w:val="auto"/>
                  <w:w w:val="89"/>
                </w:rPr>
                <w:t>85</w:t>
              </w:r>
            </w:hyperlink>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1264"/>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64" w:right="319" w:bottom="1440" w:gutter="0" w:footer="0" w:header="0"/>
        </w:sectPr>
      </w:pPr>
    </w:p>
    <w:bookmarkStart w:id="5" w:name="page6"/>
    <w:bookmarkEnd w:id="5"/>
    <w:p>
      <w:pPr>
        <w:spacing w:after="0"/>
        <w:tabs>
          <w:tab w:leader="none" w:pos="5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We are a clinical-stage biopharmaceutical company focused on developing and commercializing innovative therapeutics for the treatment of respiratory diseases with significant unmet medical needs. Our product candidate, ensifentrine, is a first-in-class, inhaled, dual inhibitor of the phosphodiesterase (“PDE”) 3 and PDE4 enzymes, which is designed to act as both a bronchodilator and an anti-inflammatory agent.</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Initially, we are developing inhaled ensifentrine for the treatment of chronic obstructive pulmonary disease (“COPD”), a common, chronic, progressive, and life-threatening respiratory disease without a cure. If successfully developed, ensifentrine would be the first therapeutic with a novel mode of action for COPD in over a decade.</w:t>
      </w:r>
    </w:p>
    <w:p>
      <w:pPr>
        <w:spacing w:after="0" w:line="48"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During 2021, we made substantial progress in our Phase 3 ENHANCE (“Ensifentrine as a Novel inHAled Nebulized COPD thErapy”) clinical program. Patient enrollment completed in the 48-week subset of the ENHANCE-1 trial in December 2021 and in the ENHANCE-2 trial in January 2022. Complete enrollment in the 24-week subset of ENHANCE-1 is expected around the end of the second quarter of 2022. We expect to report top-line data from ENHANCE-2 in the third quarter of 2022 and from ENHANCE-1 around the end of 2022. Conditional upon positive results, we intend to submit a New Drug Application (“NDA”) to the U.S. Food and Drug Administration (“FDA”) in the first half of 2023.</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If approved, we intend to commercialize inhaled ensifentrine for the maintenance treatment of COPD via a standard jet nebulizer in the United States (“US”). Outside the US, we intend to license ensifentrine to companies with expertise and experience in developing and commercializing products in those regions. To that end, we have entered into a strategic collaboration with Nuance Pharma Limited, a Shanghai-based specialty pharmaceutical company (“Nuance Pharma”), to develop and commercialize ensifentrine in Greater China.</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In Phase 2 clinical trials, ensifentrine has demonstrated positive results in patients with COPD, asthma and cystic fibrosis (“CF”). We are developing ensifentrine in three formulations for the most widely used inhalation devices: nebulizer, dry powder inhaler (“DPI”) and pressurized metered-dose inhaler (“pMDI”). Ensifentrine has shown positive Phase 2 data in COPD trials when delivered by each of these formulations.</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Our near term operating focus is the ongoing ENHANCE program, related chemistry, manufacturing and controls, regulatory efforts and early pre-commercial activities. We believe that our cash and cash equivalents as of December 31, 2021, together with funding expected to become available under the Term Loan and expected cash receipts from the U.K. tax credit, will enable us to fund our planned operating expenses and capital expenditure requirements through at least the end of 2023.</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 of COPD and current treatments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COPD is a common, chronic, progressive, and life-threatening respiratory disease without a cure. It damages the airways and lungs, leading to debilitating breathlessness, hospitalizations, and death. COPD has a major impact on everyday life. Patients struggle with basic activities such as getting out of bed, showering, eating, and walking. Worldwide, COPD affects approximately 384 million people and is the third leading cause of death, according to the World Health Organization.</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goal of COPD pharmacological therapy is to improve patients’ quality of life by reducing symptoms, decreasing the quantity and severity of exacerbations (often an escalation of symptoms) and to improve patients’ ability to function (GOLD 2021).</w:t>
      </w:r>
    </w:p>
    <w:p>
      <w:pPr>
        <w:spacing w:after="0" w:line="48"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For approximately 40 years, the treatment of COPD has been dominated by three classes of inhaled therapies approved for use by the FDA and the European Medicines Agency (“EMA”): anti-muscarinics, beta-agonists and inhaled corticosteroids (“ICSs”). COPD patients are frequently treated with bronchodilators, including long-acting anti-muscarinics (“LAMAs”) and long-acting beta-agonists (“LABAs”), to relieve airway constriction and make it easier to breathe. In addition, patients at risk for exacerbations may be prescribed ICSs to prevent them.</w:t>
      </w:r>
    </w:p>
    <w:p>
      <w:pPr>
        <w:spacing w:after="0" w:line="36" w:lineRule="exact"/>
        <w:rPr>
          <w:sz w:val="20"/>
          <w:szCs w:val="20"/>
          <w:color w:val="auto"/>
        </w:rPr>
      </w:pPr>
    </w:p>
    <w:p>
      <w:pPr>
        <w:jc w:val="both"/>
        <w:spacing w:after="0" w:line="218" w:lineRule="auto"/>
        <w:rPr>
          <w:sz w:val="20"/>
          <w:szCs w:val="20"/>
          <w:color w:val="auto"/>
        </w:rPr>
      </w:pPr>
      <w:r>
        <w:rPr>
          <w:rFonts w:ascii="Arial" w:cs="Arial" w:eastAsia="Arial" w:hAnsi="Arial"/>
          <w:sz w:val="14"/>
          <w:szCs w:val="14"/>
          <w:color w:val="auto"/>
        </w:rPr>
        <w:t>Certain COPD patients are treated with the oral PDE4 inhibitor, roflumilast (Daliresp</w:t>
      </w:r>
      <w:r>
        <w:rPr>
          <w:rFonts w:ascii="Arial" w:cs="Arial" w:eastAsia="Arial" w:hAnsi="Arial"/>
          <w:sz w:val="18"/>
          <w:szCs w:val="18"/>
          <w:color w:val="auto"/>
          <w:vertAlign w:val="superscript"/>
        </w:rPr>
        <w:t>®</w:t>
      </w:r>
      <w:r>
        <w:rPr>
          <w:rFonts w:ascii="Arial" w:cs="Arial" w:eastAsia="Arial" w:hAnsi="Arial"/>
          <w:sz w:val="14"/>
          <w:szCs w:val="14"/>
          <w:color w:val="auto"/>
        </w:rPr>
        <w:t>), which has demonstrated a reduction in exacerbation risk in patients with severe chronic bronchitis. However, oral PDE4 therapy results in systemic exposure which has been associated with unfavorable gastrointestinal side-effects such as nausea, emesis, diarrhea, abdominal pain, loss of appetite and weight loss.</w:t>
      </w:r>
    </w:p>
    <w:p>
      <w:pPr>
        <w:spacing w:after="0" w:line="55"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COPD treatments are often combined in patients who remain uncontrolled on one or two therapies. These include LAMA/LABA combinations or LAMA/LABA/ICS combinations. Unfortunately, clinical data suggests that 40-60%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6" w:name="page7"/>
    <w:bookmarkEnd w:id="6"/>
    <w:p>
      <w:pPr>
        <w:jc w:val="both"/>
        <w:spacing w:after="0" w:line="262" w:lineRule="auto"/>
        <w:rPr>
          <w:sz w:val="20"/>
          <w:szCs w:val="20"/>
          <w:color w:val="auto"/>
        </w:rPr>
      </w:pPr>
      <w:r>
        <w:rPr>
          <w:rFonts w:ascii="Arial" w:cs="Arial" w:eastAsia="Arial" w:hAnsi="Arial"/>
          <w:sz w:val="13"/>
          <w:szCs w:val="13"/>
          <w:color w:val="auto"/>
        </w:rPr>
        <w:t>of patients on dual or triple therapy still experience significant symptoms of COPD, including breathlessness. These chronic recurring symptoms limit their daily activities and impair quality of life. Despite receiving maximum therapy, it is estimated that more than 1 million patients in the U.S. alone remain symptomatic. For these patients, no available inhaled therapies offer treatment options beyond standard LAMA / LABA and ICS combinations. New treatment options are urgently needed to help improve lung function, symptoms, and overall quality of life in these patients.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Ensifentrine</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Ensifentrine is a first-in-class, inhaled, dual PDE3 and PDE4 inhibitor. This dual inhibition enables it to act as a bronchodilator and an anti-inflammatory agent in a single compound. Importantly, this therapeutic profile differentiates it from existing classes of bronchodilator and anti-inflammatory treatments. We are not aware of any other single compound in clinical development or approved by the FDA nor the European Commission for the treatment of respiratory diseases that acts both as a bronchodilator and anti-inflammatory agent. If successfully developed and approved, ensifentrine has the potential to be the first novel class of therapeutic in COPD in over 10 years and the only bronchodilator option as an add-on to existing dual / triple therapy.</w:t>
      </w:r>
    </w:p>
    <w:p>
      <w:pPr>
        <w:spacing w:after="0" w:line="46"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Ensifentrine has demonstrated significant and clinically meaningful improvements in both lung function and COPD symptoms, including breathlessness, in our prior Phase 2 clinical studies in patients with moderate to severe COPD. In addition, ensifentrine showed further improved lung function and reduced lung volumes in patients taking standard short- and long-acting bronchodilator therapy, including maximum bronchodilator treatment with dual/triple therapy.</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Safety profile</w:t>
      </w:r>
    </w:p>
    <w:p>
      <w:pPr>
        <w:spacing w:after="0" w:line="72"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Ensifentrine has demonstrated a safety profile similar to placebo in clinical trials involving more than 1,400 people to date. Additionally, ensifentrine did not prolong the QT interval or impact other cardiac conduction parameters in a thorough QT study in healthy volunteers. It is delivered directly to the lungs by inhalation to maximize pulmonary exposure to ensifentrine while minimizing systemic exposure. This feature minimizes any systemic side-effects such as the gastrointestinal disturbance associated with oral PDE4 inhibitors. In addition, in non-clinical trials ensifentrine has demonstrated high selectivity for PDE3 and PDE4 over other enzymes and receptors, which is believed to minimize off-target effects.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Differentiated profile</w:t>
      </w:r>
    </w:p>
    <w:p>
      <w:pPr>
        <w:spacing w:after="0" w:line="72"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By inhibiting PDE3 and PDE4, ensifentrine impacts three key mechanisms in respiratory disease: bronchodilation, inflammation and mucociliary clearance. Ensifentrine is designed to increase the levels of cellular cAMP and cGMP in smooth muscle cells and inflammatory cells, resulting in bronchodilator and anti-inflammatory effects. Ensifentrine is also designed to stimulate the cystic fibrosis transmembrane conductance regulator (“CFTR”), which is an ion channel in the epithelial cells lining the airways. Mutations in the CFTR protein result in poorly or non-functioning ion channels, which cause CF and are potentially important in COPD. CFTR stimulation leads to improved electrolyte balance in the lung and thinning of the mucus, which facilitates mucociliary clearance and leads to improved lung function and potentially a reduction in lung infections.</w:t>
      </w:r>
    </w:p>
    <w:p>
      <w:pPr>
        <w:spacing w:after="0" w:line="56"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Dual inhibition of PDE3 and PDE4 has shown enhanced or synergistic effects compared with inhibition of either PDE alone on contraction of airway smooth muscle and suppression of inflammatory mediator release in several preclinical studies. We believe these enhanced effects may increase the utility of ensifentrine in the treatment of respiratory diseases including COPD, asthma and CF.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1419860</wp:posOffset>
            </wp:positionH>
            <wp:positionV relativeFrom="page">
              <wp:posOffset>735965</wp:posOffset>
            </wp:positionV>
            <wp:extent cx="4716145" cy="25266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4716145" cy="2526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0"/>
        <w:spacing w:after="0" w:line="347" w:lineRule="auto"/>
        <w:rPr>
          <w:sz w:val="20"/>
          <w:szCs w:val="20"/>
          <w:color w:val="auto"/>
        </w:rPr>
      </w:pPr>
      <w:r>
        <w:rPr>
          <w:rFonts w:ascii="Arial" w:cs="Arial" w:eastAsia="Arial" w:hAnsi="Arial"/>
          <w:sz w:val="14"/>
          <w:szCs w:val="14"/>
          <w:color w:val="auto"/>
        </w:rPr>
        <w:t xml:space="preserve">We believe ensifentrine has the potential to address the large unmet need in treating COPD with its improvement in lung function, COPD symptoms and meaningful improvement in quality of life. </w:t>
      </w:r>
      <w:r>
        <w:rPr>
          <w:rFonts w:ascii="Arial" w:cs="Arial" w:eastAsia="Arial" w:hAnsi="Arial"/>
          <w:sz w:val="14"/>
          <w:szCs w:val="14"/>
          <w:i w:val="1"/>
          <w:iCs w:val="1"/>
          <w:color w:val="auto"/>
        </w:rPr>
        <w:t>Clinical data</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Ensifentrine has demonstrated improvements in lung function, symptoms and quality of life with or without background therapy in two 4-week, Phase 2b dose-ranging clinical trials in moderate to severe COPD patients. In both studies ensifentrine was well tolerated at all doses with an adverse event profile similar to placebo:</w:t>
      </w:r>
    </w:p>
    <w:p>
      <w:pPr>
        <w:spacing w:after="0" w:line="48" w:lineRule="exact"/>
        <w:rPr>
          <w:sz w:val="20"/>
          <w:szCs w:val="20"/>
          <w:color w:val="auto"/>
        </w:rPr>
      </w:pPr>
    </w:p>
    <w:p>
      <w:pPr>
        <w:jc w:val="both"/>
        <w:ind w:left="260" w:hanging="255"/>
        <w:spacing w:after="0" w:line="233" w:lineRule="auto"/>
        <w:tabs>
          <w:tab w:leader="none" w:pos="256"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March 2018, we reported positive top-line results with ensifentrine as monotherapy from our first Phase 2b trial in 403 patients. The trial evaluated four doses of nebulized ensifentrine (0.75 mg, 1.5 mg, 3 mg and 6 mg) or placebo twice daily over 4 weeks. Patients withheld use of regular long-acting bronchodilator therapy for the duration of the study. The trial met its primary endpoint of improved lung function with ensifentrine demonstrating a clinically and statistically significant increase in peak forced expiratory volume in 1 second (“FEV</w:t>
      </w:r>
      <w:r>
        <w:rPr>
          <w:rFonts w:ascii="Arial" w:cs="Arial" w:eastAsia="Arial" w:hAnsi="Arial"/>
          <w:sz w:val="17"/>
          <w:szCs w:val="17"/>
          <w:color w:val="auto"/>
          <w:vertAlign w:val="subscript"/>
        </w:rPr>
        <w:t>1</w:t>
      </w:r>
      <w:r>
        <w:rPr>
          <w:rFonts w:ascii="Arial" w:cs="Arial" w:eastAsia="Arial" w:hAnsi="Arial"/>
          <w:sz w:val="13"/>
          <w:szCs w:val="13"/>
          <w:color w:val="auto"/>
        </w:rPr>
        <w:t>”) at week 4 compared to placebo. In addition, clinically relevant secondary endpoints were met including significant progressive improvements in COPD symptoms.</w:t>
      </w:r>
    </w:p>
    <w:p>
      <w:pPr>
        <w:spacing w:after="0" w:line="53" w:lineRule="exact"/>
        <w:rPr>
          <w:rFonts w:ascii="Arial" w:cs="Arial" w:eastAsia="Arial" w:hAnsi="Arial"/>
          <w:sz w:val="13"/>
          <w:szCs w:val="13"/>
          <w:color w:val="auto"/>
        </w:rPr>
      </w:pPr>
    </w:p>
    <w:p>
      <w:pPr>
        <w:jc w:val="both"/>
        <w:ind w:left="260" w:hanging="255"/>
        <w:spacing w:after="0" w:line="221" w:lineRule="auto"/>
        <w:tabs>
          <w:tab w:leader="none" w:pos="256"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January 2020, we reported positive top-line results with ensifentrine added on to background therapy from our second Phase 2b trial in 413 patients. This trial evaluated four doses of nebulized ensifentrine (0.375 mg, 0.75 mg, 1.5 mg and 3 mg) or placebo added on to treatment with once-daily tiotropium (Spiriva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Respimat</w:t>
      </w:r>
      <w:r>
        <w:rPr>
          <w:rFonts w:ascii="Arial" w:cs="Arial" w:eastAsia="Arial" w:hAnsi="Arial"/>
          <w:sz w:val="17"/>
          <w:szCs w:val="17"/>
          <w:color w:val="auto"/>
          <w:vertAlign w:val="superscript"/>
        </w:rPr>
        <w:t>®</w:t>
      </w:r>
      <w:r>
        <w:rPr>
          <w:rFonts w:ascii="Arial" w:cs="Arial" w:eastAsia="Arial" w:hAnsi="Arial"/>
          <w:sz w:val="13"/>
          <w:szCs w:val="13"/>
          <w:color w:val="auto"/>
        </w:rPr>
        <w:t>), a commonly used LAMA bronchodilator, in symptomatic patients with moderate to severe COPD who required additional treatment. The trial met its primary endpoint of improved lung function, with ensifentrine plus tiotropium demonstrating a clinically and statistically significant dose-dependent improvement in peak FEV</w:t>
      </w:r>
      <w:r>
        <w:rPr>
          <w:rFonts w:ascii="Arial" w:cs="Arial" w:eastAsia="Arial" w:hAnsi="Arial"/>
          <w:sz w:val="17"/>
          <w:szCs w:val="17"/>
          <w:color w:val="auto"/>
          <w:vertAlign w:val="subscript"/>
        </w:rPr>
        <w:t>1</w:t>
      </w:r>
      <w:r>
        <w:rPr>
          <w:rFonts w:ascii="Arial" w:cs="Arial" w:eastAsia="Arial" w:hAnsi="Arial"/>
          <w:sz w:val="13"/>
          <w:szCs w:val="13"/>
          <w:color w:val="auto"/>
        </w:rPr>
        <w:t xml:space="preserve"> and FEV</w:t>
      </w:r>
      <w:r>
        <w:rPr>
          <w:rFonts w:ascii="Arial" w:cs="Arial" w:eastAsia="Arial" w:hAnsi="Arial"/>
          <w:sz w:val="17"/>
          <w:szCs w:val="17"/>
          <w:color w:val="auto"/>
          <w:vertAlign w:val="subscript"/>
        </w:rPr>
        <w:t>1</w:t>
      </w:r>
      <w:r>
        <w:rPr>
          <w:rFonts w:ascii="Arial" w:cs="Arial" w:eastAsia="Arial" w:hAnsi="Arial"/>
          <w:sz w:val="13"/>
          <w:szCs w:val="13"/>
          <w:color w:val="auto"/>
        </w:rPr>
        <w:t xml:space="preserve"> over 12 hours with ensifentrine at week 4, compared to placebo plus tiotropium. Additionally, clinically meaningful and statistically significant improvements in health-related quality of life were observed with ensifentrine added on to tiotropium.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1419860</wp:posOffset>
            </wp:positionH>
            <wp:positionV relativeFrom="page">
              <wp:posOffset>735965</wp:posOffset>
            </wp:positionV>
            <wp:extent cx="4716145" cy="2654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4716145" cy="2654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May 2020, the FDA provided guidance on key features of our pivotal Phase 3 clinical program in response to our End-of-Phase 2 briefing package for nebulized ensifentrine as a maintenance treatment for COPD. This included clarity on the dose, primary and secondary endpoints, patient population and program design.</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September 2020, we initiated our ENHANCE Phase 3 trials to evaluate the efficacy and safety of nebulized ensifentrine in patients with moderate to severe COPD. The two randomized, double-blind, placebo-controlled studies (ENHANCE-1 and ENHANCE-2) are designed to evaluate ensifentrine as monotherapy and added onto a single bronchodilator.</w:t>
      </w:r>
    </w:p>
    <w:p>
      <w:pPr>
        <w:spacing w:after="0" w:line="48" w:lineRule="exact"/>
        <w:rPr>
          <w:sz w:val="20"/>
          <w:szCs w:val="20"/>
          <w:color w:val="auto"/>
        </w:rPr>
      </w:pPr>
    </w:p>
    <w:p>
      <w:pPr>
        <w:jc w:val="both"/>
        <w:spacing w:after="0" w:line="207" w:lineRule="auto"/>
        <w:rPr>
          <w:sz w:val="20"/>
          <w:szCs w:val="20"/>
          <w:color w:val="auto"/>
        </w:rPr>
      </w:pPr>
      <w:r>
        <w:rPr>
          <w:rFonts w:ascii="Arial" w:cs="Arial" w:eastAsia="Arial" w:hAnsi="Arial"/>
          <w:sz w:val="14"/>
          <w:szCs w:val="14"/>
          <w:color w:val="auto"/>
        </w:rPr>
        <w:t>Each study is expected to enroll approximately 800 moderate to severe, symptomatic COPD patients at sites primarily in the U.S. and Europe. The two study designs will replicate measurements of efficacy and safety data over 24 weeks but ENHANCE-1 will also evaluate longer-term safety in 400 patients over 48 weeks. The primary endpoint is improvement in lung function measured by FEV</w:t>
      </w:r>
      <w:r>
        <w:rPr>
          <w:rFonts w:ascii="Arial" w:cs="Arial" w:eastAsia="Arial" w:hAnsi="Arial"/>
          <w:sz w:val="18"/>
          <w:szCs w:val="18"/>
          <w:color w:val="auto"/>
          <w:vertAlign w:val="subscript"/>
        </w:rPr>
        <w:t>1</w:t>
      </w:r>
      <w:r>
        <w:rPr>
          <w:rFonts w:ascii="Arial" w:cs="Arial" w:eastAsia="Arial" w:hAnsi="Arial"/>
          <w:sz w:val="14"/>
          <w:szCs w:val="14"/>
          <w:color w:val="auto"/>
        </w:rPr>
        <w:t xml:space="preserve"> over 12 hours with ensifentrine after 12 weeks of treatment. Key secondary endpoints include measurements of COPD symptoms and health-related quality of life through 24 weeks assessed via the validated patient reported outcome tools, E-RS and SGRQ. Additional lung function endpoints including peak and morning trough FEV</w:t>
      </w:r>
      <w:r>
        <w:rPr>
          <w:rFonts w:ascii="Arial" w:cs="Arial" w:eastAsia="Arial" w:hAnsi="Arial"/>
          <w:sz w:val="18"/>
          <w:szCs w:val="18"/>
          <w:color w:val="auto"/>
          <w:vertAlign w:val="subscript"/>
        </w:rPr>
        <w:t>1</w:t>
      </w:r>
      <w:r>
        <w:rPr>
          <w:rFonts w:ascii="Arial" w:cs="Arial" w:eastAsia="Arial" w:hAnsi="Arial"/>
          <w:sz w:val="14"/>
          <w:szCs w:val="14"/>
          <w:color w:val="auto"/>
        </w:rPr>
        <w:t xml:space="preserve"> will also be assessed. Exacerbations will be analyzed by individual study and in a pooled analysis.</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Patient enrollment completed in the 48-week subset of the ENHANCE-1 trial in December 2021 and in the ENHANCE-2 trial in January 2022. Complete enrollment in the 24-week subset of ENHANCE-1 is expected around the end of the second quarter of 2022. We expect to report top-line data from ENHANCE-2 in the third quarter of 2022 and from ENHANCE-1 around the end of 2022. Conditional upon positive results, we intend to submit an NDA to the FDA in the first half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1419860</wp:posOffset>
            </wp:positionH>
            <wp:positionV relativeFrom="page">
              <wp:posOffset>735965</wp:posOffset>
            </wp:positionV>
            <wp:extent cx="4716145" cy="2694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716145" cy="2694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Formulations</w:t>
      </w:r>
    </w:p>
    <w:p>
      <w:pPr>
        <w:spacing w:after="0" w:line="72"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Verona Pharma has developed formulations of ensifentrine for the three most widely used inhalation devices: nebulizer, DPI and pMDI. The nebulized formulation of ensifentrine is designed to be suitable for use in a standard jet nebulizer, not a proprietary device. Delivery of COPD medications by nebulizer is important because such medications can be used by adults of almost any age and dexterity and regardless of peak inspiratory flow, offering advantages to patients who may struggle to operate handheld inhaler devices or have low peak inspiratory flow. DPI and pMDI handheld inhaler formats are relatively portable and convenient and are also important delivery mechanisms.</w:t>
      </w:r>
    </w:p>
    <w:p>
      <w:pPr>
        <w:spacing w:after="0" w:line="54"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While we continue to focus on development of the nebulized formulation of ensifentrine, we believe the development of pMDI and DPI formulations of ensifentrine provides additional lifecycle opportunities including new potential indications, formulation combinations and collaborations. In February 2021, we reported positive results from the second, multiple dose part of a Phase 2 trial with pMDI ensifentrine in patients with moderate to severe COPD. Ensifentrine delivered by pMDI met all of the primary and secondary lung function endpoints. The improvement in lung function was dose-ordered and statistically significant at peak and over the 12-hour dosing interval compared with placebo, and supports twice-daily dosing of ensifentrine via pMDI for the treatment of COPD. Data from the single dose part of the study were reported in March 2020.</w:t>
      </w:r>
    </w:p>
    <w:p>
      <w:pPr>
        <w:spacing w:after="0" w:line="56"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Verona Pharma has successfully demonstrated proof of concept in Phase 2 COPD trials with all three formulations. In addition, the data from Phase 2 trials were consistent across the three formulations. All three dosing forms have demonstrated statistically significant and clinically meaningful improvements in lung function and duration of action, supporting twice-daily dosing and a safety profile similar to placebo.</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Pipeline</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1419860</wp:posOffset>
            </wp:positionH>
            <wp:positionV relativeFrom="page">
              <wp:posOffset>735965</wp:posOffset>
            </wp:positionV>
            <wp:extent cx="4716145" cy="2694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4716145" cy="2694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Potential additional indications for ensifentrine</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Cystic fibrosis and asthma</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In addition to COPD, we believe ensifentrine has potential applications in other respiratory diseases including CF and asthma.</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CF is a progressive, fatal genetic disease without a cure and a median age of death of 46 years. The condition is characterized by thick, sticky mucus that damages many of the body’s organs. It causes repeat and persistent lung infections that result in frequent exacerbations and hospitalizations. Other symptoms include malnutrition, constipation and diarrhea, and some adults develop diabetes, arthritis and liver problems.</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CF is the most common fatal inherited disease in the U.S. and Europe. More than 70,000 people worldwide are living with CF and approximately 1,000 new cases are diagnosed each year, according to the Cystic Fibrosis Foundation. The U.S. and European regulatory authorities consider CF to be a rare, or orphan, disease and provide incentives to encourage development of effective new treatments.</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CF patients endure multiple daily medications, taking an average of seven per day, including inhaled and injected treatments to clear mucus and fight infections as well as enzyme pills to digest food.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Ultimately, selected patients have lung transplants.</w:t>
      </w:r>
    </w:p>
    <w:p>
      <w:pPr>
        <w:spacing w:after="0" w:line="60"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In a Phase 2a clinical trial, a single dose of nebulized ensifentrine demonstrated an improvement in lung function in patients with CF. In addition, in preclinical studies, ensifentrine activated the cystic fibrosis transmembrane conductance regulator (“CFTR”), which is beneficial in reducing mucous viscosity and improving mucociliary clearance. We believe these data support the continued development of ensifentrine as a potential therapy for CF.</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Asthma is a common lung condition that causes sporadic breathing difficulties. The disease causes narrowing and swelling of the airways leading to symptoms including difficulty breathing, wheezing, coughing and tightness in the chest. Exposure to triggers such as allergens or irritants can lead to asthma attacks.</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Asthma attacks vary in severity and frequency. More than 300 million people worldwide suffer from asthma and it is the most common chronic disease among children, according to the World Health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1" w:name="page12"/>
    <w:bookmarkEnd w:id="11"/>
    <w:p>
      <w:pPr>
        <w:spacing w:after="0"/>
        <w:rPr>
          <w:sz w:val="20"/>
          <w:szCs w:val="20"/>
          <w:color w:val="auto"/>
        </w:rPr>
      </w:pPr>
      <w:r>
        <w:rPr>
          <w:rFonts w:ascii="Arial" w:cs="Arial" w:eastAsia="Arial" w:hAnsi="Arial"/>
          <w:sz w:val="12"/>
          <w:szCs w:val="12"/>
          <w:color w:val="auto"/>
        </w:rPr>
        <w:t>Although there is no cure, symptoms may be prevented by avoiding triggers and through established maintenance therapies including bronchodilators, ICS, anti-IgE agents and leukotriene inhibitors.</w:t>
      </w:r>
    </w:p>
    <w:p>
      <w:pPr>
        <w:spacing w:after="0" w:line="95"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 xml:space="preserve">Ensifentrine has shown potential in a Phase 2a clinical trial in asthma. The data from this trial, published in October 2019 in the journal </w:t>
      </w:r>
      <w:r>
        <w:rPr>
          <w:rFonts w:ascii="Arial" w:cs="Arial" w:eastAsia="Arial" w:hAnsi="Arial"/>
          <w:sz w:val="14"/>
          <w:szCs w:val="14"/>
          <w:i w:val="1"/>
          <w:iCs w:val="1"/>
          <w:color w:val="auto"/>
        </w:rPr>
        <w:t>Pulmonary Pharmacology &amp; Therapeutic</w:t>
      </w:r>
      <w:r>
        <w:rPr>
          <w:rFonts w:ascii="Arial" w:cs="Arial" w:eastAsia="Arial" w:hAnsi="Arial"/>
          <w:sz w:val="14"/>
          <w:szCs w:val="14"/>
          <w:color w:val="auto"/>
        </w:rPr>
        <w:t>s, demonstrated that ensifentrine produced dose-dependent improvements in bronchodilation that were comparable to current rescue medication, high dose nebulized albuterol. Importantly, ensifentrine was well tolerated and patients experienced fewer systemic effects than those receiving albuterol.</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COVID-19</w:t>
      </w:r>
    </w:p>
    <w:p>
      <w:pPr>
        <w:spacing w:after="0" w:line="72"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While our initial focus remained on the treatment of COPD, we evaluated ensifentrine as a potential treatment option for COVID-19. In April 2021, we reported results from a pilot study with pMDI ensifentrine showing ensifentrine added on to standard of care was well tolerated in patients hospitalized with COVID-19. The 45 patient study was not powered to identify statistically significant efficacy outcomes and no clinical efficacy benefit with ensifentrine added on to standard of care was observed. We do not plan to conduct further studies of ensifentrine in the treatment of COVID-19.</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team</w:t>
      </w:r>
    </w:p>
    <w:p>
      <w:pPr>
        <w:spacing w:after="0" w:line="68"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Our expert team has decades of experience in developing and commercializing respiratory therapeutics including the following COPD therapeutics: Advair</w:t>
      </w:r>
      <w:r>
        <w:rPr>
          <w:rFonts w:ascii="Arial" w:cs="Arial" w:eastAsia="Arial" w:hAnsi="Arial"/>
          <w:sz w:val="18"/>
          <w:szCs w:val="18"/>
          <w:color w:val="auto"/>
          <w:vertAlign w:val="superscript"/>
        </w:rPr>
        <w:t>®</w:t>
      </w:r>
      <w:r>
        <w:rPr>
          <w:rFonts w:ascii="Arial" w:cs="Arial" w:eastAsia="Arial" w:hAnsi="Arial"/>
          <w:sz w:val="14"/>
          <w:szCs w:val="14"/>
          <w:color w:val="auto"/>
        </w:rPr>
        <w:t>; Anoro Ellipta</w:t>
      </w:r>
      <w:r>
        <w:rPr>
          <w:rFonts w:ascii="Arial" w:cs="Arial" w:eastAsia="Arial" w:hAnsi="Arial"/>
          <w:sz w:val="18"/>
          <w:szCs w:val="18"/>
          <w:color w:val="auto"/>
          <w:vertAlign w:val="superscript"/>
        </w:rPr>
        <w:t>®</w:t>
      </w:r>
      <w:r>
        <w:rPr>
          <w:rFonts w:ascii="Arial" w:cs="Arial" w:eastAsia="Arial" w:hAnsi="Arial"/>
          <w:sz w:val="14"/>
          <w:szCs w:val="14"/>
          <w:color w:val="auto"/>
        </w:rPr>
        <w:t>; Breo</w:t>
      </w:r>
      <w:r>
        <w:rPr>
          <w:rFonts w:ascii="Arial" w:cs="Arial" w:eastAsia="Arial" w:hAnsi="Arial"/>
          <w:sz w:val="18"/>
          <w:szCs w:val="18"/>
          <w:color w:val="auto"/>
          <w:vertAlign w:val="superscript"/>
        </w:rPr>
        <w:t>®</w:t>
      </w:r>
      <w:r>
        <w:rPr>
          <w:rFonts w:ascii="Arial" w:cs="Arial" w:eastAsia="Arial" w:hAnsi="Arial"/>
          <w:sz w:val="14"/>
          <w:szCs w:val="14"/>
          <w:color w:val="auto"/>
        </w:rPr>
        <w:t>; Flovent</w:t>
      </w:r>
      <w:r>
        <w:rPr>
          <w:rFonts w:ascii="Arial" w:cs="Arial" w:eastAsia="Arial" w:hAnsi="Arial"/>
          <w:sz w:val="18"/>
          <w:szCs w:val="18"/>
          <w:color w:val="auto"/>
          <w:vertAlign w:val="superscript"/>
        </w:rPr>
        <w:t>®</w:t>
      </w:r>
      <w:r>
        <w:rPr>
          <w:rFonts w:ascii="Arial" w:cs="Arial" w:eastAsia="Arial" w:hAnsi="Arial"/>
          <w:sz w:val="14"/>
          <w:szCs w:val="14"/>
          <w:color w:val="auto"/>
        </w:rPr>
        <w:t>; Flutiform</w:t>
      </w:r>
      <w:r>
        <w:rPr>
          <w:rFonts w:ascii="Arial" w:cs="Arial" w:eastAsia="Arial" w:hAnsi="Arial"/>
          <w:sz w:val="18"/>
          <w:szCs w:val="18"/>
          <w:color w:val="auto"/>
          <w:vertAlign w:val="superscript"/>
        </w:rPr>
        <w:t>®</w:t>
      </w:r>
      <w:r>
        <w:rPr>
          <w:rFonts w:ascii="Arial" w:cs="Arial" w:eastAsia="Arial" w:hAnsi="Arial"/>
          <w:sz w:val="14"/>
          <w:szCs w:val="14"/>
          <w:color w:val="auto"/>
        </w:rPr>
        <w:t>; Incruse Ellipta</w:t>
      </w:r>
      <w:r>
        <w:rPr>
          <w:rFonts w:ascii="Arial" w:cs="Arial" w:eastAsia="Arial" w:hAnsi="Arial"/>
          <w:sz w:val="18"/>
          <w:szCs w:val="18"/>
          <w:color w:val="auto"/>
          <w:vertAlign w:val="superscript"/>
        </w:rPr>
        <w:t>®</w:t>
      </w:r>
      <w:r>
        <w:rPr>
          <w:rFonts w:ascii="Arial" w:cs="Arial" w:eastAsia="Arial" w:hAnsi="Arial"/>
          <w:sz w:val="14"/>
          <w:szCs w:val="14"/>
          <w:color w:val="auto"/>
        </w:rPr>
        <w:t>; Serevent</w:t>
      </w:r>
      <w:r>
        <w:rPr>
          <w:rFonts w:ascii="Arial" w:cs="Arial" w:eastAsia="Arial" w:hAnsi="Arial"/>
          <w:sz w:val="18"/>
          <w:szCs w:val="18"/>
          <w:color w:val="auto"/>
          <w:vertAlign w:val="superscript"/>
        </w:rPr>
        <w:t>®</w:t>
      </w:r>
      <w:r>
        <w:rPr>
          <w:rFonts w:ascii="Arial" w:cs="Arial" w:eastAsia="Arial" w:hAnsi="Arial"/>
          <w:sz w:val="14"/>
          <w:szCs w:val="14"/>
          <w:color w:val="auto"/>
        </w:rPr>
        <w:t>; Symbicort</w:t>
      </w:r>
      <w:r>
        <w:rPr>
          <w:rFonts w:ascii="Arial" w:cs="Arial" w:eastAsia="Arial" w:hAnsi="Arial"/>
          <w:sz w:val="18"/>
          <w:szCs w:val="18"/>
          <w:color w:val="auto"/>
          <w:vertAlign w:val="superscript"/>
        </w:rPr>
        <w:t>®</w:t>
      </w:r>
      <w:r>
        <w:rPr>
          <w:rFonts w:ascii="Arial" w:cs="Arial" w:eastAsia="Arial" w:hAnsi="Arial"/>
          <w:sz w:val="14"/>
          <w:szCs w:val="14"/>
          <w:color w:val="auto"/>
        </w:rPr>
        <w:t>; Tudorza Pressair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Ventolin</w:t>
      </w:r>
      <w:r>
        <w:rPr>
          <w:rFonts w:ascii="Arial" w:cs="Arial" w:eastAsia="Arial" w:hAnsi="Arial"/>
          <w:sz w:val="18"/>
          <w:szCs w:val="18"/>
          <w:color w:val="auto"/>
          <w:vertAlign w:val="superscript"/>
        </w:rPr>
        <w:t>®</w:t>
      </w:r>
      <w:r>
        <w:rPr>
          <w:rFonts w:ascii="Arial" w:cs="Arial" w:eastAsia="Arial" w:hAnsi="Arial"/>
          <w:sz w:val="14"/>
          <w:szCs w:val="14"/>
          <w:color w:val="auto"/>
        </w:rPr>
        <w:t>.</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MANUFACTURING</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We do not have manufacturing facilities and rely on, and expect to continue to rely on, third-party contract manufacturing organizations (“CMOs”) for the supply of current good manufacturing practices (“cGMP”) compliant clinical trial materials of ensifentrine, and any future product candidates, as well as for commercial quantities of ensifentrine and any future product candidates, if approved. We currently do not have any agreements for the long-term commercial production of ensifentrine.</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While we may contract with other CMOs in the future, we currently have one CMO for the manufacture of ensifentrine drug substance and one CMO for each formulation of ensifentrine.</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All of our current CMOs have commercial scale manufacturing capabilities. We believe that the ensifentrine drug substance and drug product manufacturing processes can be transferred to other CMOs to produce clinical and commercial supplies in the ordinary course of business.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COMMERCIALIZATION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United States</w:t>
      </w:r>
    </w:p>
    <w:p>
      <w:pPr>
        <w:spacing w:after="0" w:line="72"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In the United States, we are preparing to commercialize nebulized ensifentrine ourselves, if approved. Current maintenance COPD treatments in the U.S. generate approximately $10.5 billion in sales. Despite the availability of these therapies, it is estimated that more than 1 million patients remain symptomatic following treatment with maximum therapy. These patients need therapies that can help improve their lung function and symptoms. In addition to the number of patients that remain symptomatic, COPD places a tremendous burden on the U.S. healthcare system with approximately $50 billion in direct and indirect costs.</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Based on our market research, conducted with U.S. healthcare providers and payers, we believe ensifentrine would be widely adopted and that the majority of ensifentrine’s use would be primarily as an add-on to dual or triple therapy regimens. This is due to the urgent unmet need for new therapies to help improve lung function, symptoms and quality of life. Our market research also suggests the majority of ensifentrine usage would be initially commenced by pulmonologists. Due to this focused prescriber base, we anticipate a field sales force of approximately 100 representatives would be able to reach the potential ensifentrine opportunity.</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International</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COPD affects over 384 million people worldwide with many patients remaining undiagnosed. Our strategy outside of the U.S. including Asia, Europe and Latin America, is to establish partnerships with leading companies that can support the further development and commercialization of ensifentrine in those regions.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12" w:name="page13"/>
    <w:bookmarkEnd w:id="12"/>
    <w:p>
      <w:pPr>
        <w:jc w:val="both"/>
        <w:spacing w:after="0" w:line="230" w:lineRule="auto"/>
        <w:rPr>
          <w:sz w:val="20"/>
          <w:szCs w:val="20"/>
          <w:color w:val="auto"/>
        </w:rPr>
      </w:pPr>
      <w:r>
        <w:rPr>
          <w:rFonts w:ascii="Arial" w:cs="Arial" w:eastAsia="Arial" w:hAnsi="Arial"/>
          <w:sz w:val="14"/>
          <w:szCs w:val="14"/>
          <w:color w:val="auto"/>
        </w:rPr>
        <w:t>In June 2021, we executed on this strategy by entering into a strategic collaboration with Nuance Pharma, a Shanghai-based specialty pharmaceutical company, with a potential value of up to $219.0 million to develop and commercialize ensifentrine in Greater China. Under the terms of the agreement, we granted Nuance Pharma the exclusive rights to develop and commercialize ensifentrine in Greater China. In return, we received an aggregate $40.0 million upfront payment consisting of $25.0 million in cash and an equity interest valued at $15.0 million, as of June 9, 2021, in Nuance Biotech, the parent company of Nuance Pharma. We are eligible to receive further milestone payments of up to $179.0 million that are triggered upon achievement of certain clinical, regulatory and commercial milestones as well as tiered double-digit royalties on net sales in Greater China.</w:t>
      </w:r>
    </w:p>
    <w:p>
      <w:pPr>
        <w:spacing w:after="0" w:line="56"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Nuance Pharma is responsible for all costs related to clinical development and commercialization in Greater China. A joint steering committee has been established to ensure ensifentrine’s clinical development in the region aligns with our global development and commercialization strategy. Nuance Pharma plans to file an Investigational New Drug Application with the China Food and Drug Administration and afterwards to begin clinical studies for the treatment of COPD in Greater China.</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pharmaceutical industry is characterized by rapidly advancing technologies, intense competition and a strong emphasis on proprietary drugs. We face potential competition from many different sources, including major pharmaceutical, specialty pharmaceutical and biotechnology companies, academic institutions, governmental agencies and public and private research institutions. If successfully developed and commercialized, ensifentrine will compete with existing treatments and new treatments that may become available in the future.</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Ensifentrine is a unique, first-in-class therapeutic candidate with both bronchodilator and anti-inflammatory properties in a single compound. As far as we are aware, no other dual PDE3 and PDE4 inhibitor is on the market nor in clinical development. Based on our market research, we expect ensifentrine to be used mainly in addition to existing dual and triple therapies, LAMA / LABA / ICS, where no additional treatment options exist for patients who are symptomatic. Some healthcare providers have indicated that they would use it as earlier line therapy based on ensifentrine’s clinical profile.</w:t>
      </w:r>
    </w:p>
    <w:p>
      <w:pPr>
        <w:spacing w:after="0" w:line="54"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Consequently, we believe that, if approved, nebulized ensifentrine’s unique profile will enable it to compete with all approved COPD therapies including nebulized and handheld inhaler formulations, DPI and pMDI. Furthermore, because ensifentrine’s mechanism of action is complementary to available therapies, we believe it could be used in addition to these treatments.</w:t>
      </w:r>
    </w:p>
    <w:p>
      <w:pPr>
        <w:spacing w:after="0" w:line="20"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Within the currently approved nebulizer products for the maintenance treatment of COPD, we consider ensifentrine's potential competitors in the U.S. market to be LABAs (Brovana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Perforomist</w:t>
      </w:r>
      <w:r>
        <w:rPr>
          <w:rFonts w:ascii="Arial" w:cs="Arial" w:eastAsia="Arial" w:hAnsi="Arial"/>
          <w:sz w:val="18"/>
          <w:szCs w:val="18"/>
          <w:color w:val="auto"/>
          <w:vertAlign w:val="superscript"/>
        </w:rPr>
        <w:t>®</w:t>
      </w:r>
      <w:r>
        <w:rPr>
          <w:rFonts w:ascii="Arial" w:cs="Arial" w:eastAsia="Arial" w:hAnsi="Arial"/>
          <w:sz w:val="14"/>
          <w:szCs w:val="14"/>
          <w:color w:val="auto"/>
        </w:rPr>
        <w:t>) and LAMAs (Yupelri</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Lonhala</w:t>
      </w:r>
      <w:r>
        <w:rPr>
          <w:rFonts w:ascii="Arial" w:cs="Arial" w:eastAsia="Arial" w:hAnsi="Arial"/>
          <w:sz w:val="18"/>
          <w:szCs w:val="18"/>
          <w:color w:val="auto"/>
          <w:vertAlign w:val="superscript"/>
        </w:rPr>
        <w:t>®</w:t>
      </w:r>
      <w:r>
        <w:rPr>
          <w:rFonts w:ascii="Arial" w:cs="Arial" w:eastAsia="Arial" w:hAnsi="Arial"/>
          <w:sz w:val="14"/>
          <w:szCs w:val="14"/>
          <w:color w:val="auto"/>
        </w:rPr>
        <w:t>Magnair</w:t>
      </w:r>
      <w:r>
        <w:rPr>
          <w:rFonts w:ascii="Arial" w:cs="Arial" w:eastAsia="Arial" w:hAnsi="Arial"/>
          <w:sz w:val="18"/>
          <w:szCs w:val="18"/>
          <w:color w:val="auto"/>
          <w:vertAlign w:val="superscript"/>
        </w:rPr>
        <w:t>®</w:t>
      </w:r>
      <w:r>
        <w:rPr>
          <w:rFonts w:ascii="Arial" w:cs="Arial" w:eastAsia="Arial" w:hAnsi="Arial"/>
          <w:sz w:val="14"/>
          <w:szCs w:val="14"/>
          <w:color w:val="auto"/>
        </w:rPr>
        <w:t>).</w:t>
      </w:r>
    </w:p>
    <w:p>
      <w:pPr>
        <w:spacing w:after="0" w:line="1" w:lineRule="exact"/>
        <w:rPr>
          <w:sz w:val="20"/>
          <w:szCs w:val="20"/>
          <w:color w:val="auto"/>
        </w:rPr>
      </w:pPr>
    </w:p>
    <w:p>
      <w:pPr>
        <w:jc w:val="both"/>
        <w:spacing w:after="0" w:line="201" w:lineRule="auto"/>
        <w:rPr>
          <w:sz w:val="20"/>
          <w:szCs w:val="20"/>
          <w:color w:val="auto"/>
        </w:rPr>
      </w:pPr>
      <w:r>
        <w:rPr>
          <w:rFonts w:ascii="Arial" w:cs="Arial" w:eastAsia="Arial" w:hAnsi="Arial"/>
          <w:sz w:val="13"/>
          <w:szCs w:val="13"/>
          <w:color w:val="auto"/>
        </w:rPr>
        <w:t>In the DPI/pMDI maintenance treatment of COPD market, ensifentrine’s current closest potential competitors are Symbicort</w:t>
      </w:r>
      <w:r>
        <w:rPr>
          <w:rFonts w:ascii="Arial" w:cs="Arial" w:eastAsia="Arial" w:hAnsi="Arial"/>
          <w:sz w:val="17"/>
          <w:szCs w:val="17"/>
          <w:color w:val="auto"/>
          <w:vertAlign w:val="superscript"/>
        </w:rPr>
        <w:t>®</w:t>
      </w:r>
      <w:r>
        <w:rPr>
          <w:rFonts w:ascii="Arial" w:cs="Arial" w:eastAsia="Arial" w:hAnsi="Arial"/>
          <w:sz w:val="13"/>
          <w:szCs w:val="13"/>
          <w:color w:val="auto"/>
        </w:rPr>
        <w:t>, a combination of a long-acting beta2-agonist bronchodilator and ICS marketed by AstraZeneca plc, Spiriva</w:t>
      </w:r>
      <w:r>
        <w:rPr>
          <w:rFonts w:ascii="Arial" w:cs="Arial" w:eastAsia="Arial" w:hAnsi="Arial"/>
          <w:sz w:val="17"/>
          <w:szCs w:val="17"/>
          <w:color w:val="auto"/>
          <w:vertAlign w:val="superscript"/>
        </w:rPr>
        <w:t>®</w:t>
      </w:r>
      <w:r>
        <w:rPr>
          <w:rFonts w:ascii="Arial" w:cs="Arial" w:eastAsia="Arial" w:hAnsi="Arial"/>
          <w:sz w:val="13"/>
          <w:szCs w:val="13"/>
          <w:color w:val="auto"/>
        </w:rPr>
        <w:t>, a long-acting anti-muscarinic bronchodilator marketed by Boehringer Ingelheim GmbH, Advair</w:t>
      </w:r>
      <w:r>
        <w:rPr>
          <w:rFonts w:ascii="Arial" w:cs="Arial" w:eastAsia="Arial" w:hAnsi="Arial"/>
          <w:sz w:val="17"/>
          <w:szCs w:val="17"/>
          <w:color w:val="auto"/>
          <w:vertAlign w:val="superscript"/>
        </w:rPr>
        <w:t>®</w:t>
      </w:r>
      <w:r>
        <w:rPr>
          <w:rFonts w:ascii="Arial" w:cs="Arial" w:eastAsia="Arial" w:hAnsi="Arial"/>
          <w:sz w:val="13"/>
          <w:szCs w:val="13"/>
          <w:color w:val="auto"/>
        </w:rPr>
        <w:t>, a combination of a long-acting beta2-agonist bronchodilator and ICS marketed by GlaxoSmithKline plc, Utibron Neohaler</w:t>
      </w:r>
      <w:r>
        <w:rPr>
          <w:rFonts w:ascii="Arial" w:cs="Arial" w:eastAsia="Arial" w:hAnsi="Arial"/>
          <w:sz w:val="17"/>
          <w:szCs w:val="17"/>
          <w:color w:val="auto"/>
          <w:vertAlign w:val="superscript"/>
        </w:rPr>
        <w:t>®</w:t>
      </w:r>
      <w:r>
        <w:rPr>
          <w:rFonts w:ascii="Arial" w:cs="Arial" w:eastAsia="Arial" w:hAnsi="Arial"/>
          <w:sz w:val="13"/>
          <w:szCs w:val="13"/>
          <w:color w:val="auto"/>
        </w:rPr>
        <w:t>, a combination of a long-acting beta2-agonist and long-acting anti-muscarinic bronchodilator marketed by Novartis International AG, Breo</w:t>
      </w:r>
      <w:r>
        <w:rPr>
          <w:rFonts w:ascii="Arial" w:cs="Arial" w:eastAsia="Arial" w:hAnsi="Arial"/>
          <w:sz w:val="17"/>
          <w:szCs w:val="17"/>
          <w:color w:val="auto"/>
          <w:vertAlign w:val="superscript"/>
        </w:rPr>
        <w:t>®</w:t>
      </w:r>
      <w:r>
        <w:rPr>
          <w:rFonts w:ascii="Arial" w:cs="Arial" w:eastAsia="Arial" w:hAnsi="Arial"/>
          <w:sz w:val="13"/>
          <w:szCs w:val="13"/>
          <w:color w:val="auto"/>
        </w:rPr>
        <w:t>, a combination of a long-acting beta2-agonist bronchodilator and ICS marketed by GlaxoSmithKline, and Anoro</w:t>
      </w:r>
      <w:r>
        <w:rPr>
          <w:rFonts w:ascii="Arial" w:cs="Arial" w:eastAsia="Arial" w:hAnsi="Arial"/>
          <w:sz w:val="17"/>
          <w:szCs w:val="17"/>
          <w:color w:val="auto"/>
          <w:vertAlign w:val="superscript"/>
        </w:rPr>
        <w:t>®</w:t>
      </w:r>
      <w:r>
        <w:rPr>
          <w:rFonts w:ascii="Arial" w:cs="Arial" w:eastAsia="Arial" w:hAnsi="Arial"/>
          <w:sz w:val="13"/>
          <w:szCs w:val="13"/>
          <w:color w:val="auto"/>
        </w:rPr>
        <w:t>, a combination of a long-acting beta2-agonist bronchodilator and long-acting anti-muscarinic bronchodilator marketed by GlaxoSmithKline. A triple-combination therapy of a LAMA, a LABA and ICS, developed by GlaxoSmithKline and Chiesi Farmaceutici S.p.A., Trelegy Ellipta</w:t>
      </w:r>
      <w:r>
        <w:rPr>
          <w:rFonts w:ascii="Arial" w:cs="Arial" w:eastAsia="Arial" w:hAnsi="Arial"/>
          <w:sz w:val="17"/>
          <w:szCs w:val="17"/>
          <w:color w:val="auto"/>
          <w:vertAlign w:val="superscript"/>
        </w:rPr>
        <w:t>®</w:t>
      </w:r>
      <w:r>
        <w:rPr>
          <w:rFonts w:ascii="Arial" w:cs="Arial" w:eastAsia="Arial" w:hAnsi="Arial"/>
          <w:sz w:val="13"/>
          <w:szCs w:val="13"/>
          <w:color w:val="auto"/>
        </w:rPr>
        <w:t>, has been approved in the U.S. and the European Union and AstraZeneca also has a triple-therapy combination product (LAMA / LABA / ICS), Breztri Aerosphere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that was approved in the U.S. in July 2020, in the European Union in December 2020 and in China in December 2019.</w:t>
      </w:r>
    </w:p>
    <w:p>
      <w:pPr>
        <w:spacing w:after="0" w:line="50" w:lineRule="exact"/>
        <w:rPr>
          <w:sz w:val="20"/>
          <w:szCs w:val="20"/>
          <w:color w:val="auto"/>
        </w:rPr>
      </w:pPr>
    </w:p>
    <w:p>
      <w:pPr>
        <w:jc w:val="both"/>
        <w:spacing w:after="0" w:line="201" w:lineRule="auto"/>
        <w:rPr>
          <w:sz w:val="20"/>
          <w:szCs w:val="20"/>
          <w:color w:val="auto"/>
        </w:rPr>
      </w:pPr>
      <w:r>
        <w:rPr>
          <w:rFonts w:ascii="Arial" w:cs="Arial" w:eastAsia="Arial" w:hAnsi="Arial"/>
          <w:sz w:val="14"/>
          <w:szCs w:val="14"/>
          <w:color w:val="auto"/>
        </w:rPr>
        <w:t>Other potential therapies in clinical development for the prevention of COPD exacerbations include injectable biologics. Sanofi’s anti-IL4, Dupixent</w:t>
      </w:r>
      <w:r>
        <w:rPr>
          <w:rFonts w:ascii="Arial" w:cs="Arial" w:eastAsia="Arial" w:hAnsi="Arial"/>
          <w:sz w:val="18"/>
          <w:szCs w:val="18"/>
          <w:color w:val="auto"/>
          <w:vertAlign w:val="superscript"/>
        </w:rPr>
        <w:t>®</w:t>
      </w:r>
      <w:r>
        <w:rPr>
          <w:rFonts w:ascii="Arial" w:cs="Arial" w:eastAsia="Arial" w:hAnsi="Arial"/>
          <w:sz w:val="14"/>
          <w:szCs w:val="14"/>
          <w:color w:val="auto"/>
        </w:rPr>
        <w:t>, AstraZeneca’s anti-IL5, Fasenra</w:t>
      </w:r>
      <w:r>
        <w:rPr>
          <w:rFonts w:ascii="Arial" w:cs="Arial" w:eastAsia="Arial" w:hAnsi="Arial"/>
          <w:sz w:val="18"/>
          <w:szCs w:val="18"/>
          <w:color w:val="auto"/>
          <w:vertAlign w:val="superscript"/>
        </w:rPr>
        <w:t>®</w:t>
      </w:r>
      <w:r>
        <w:rPr>
          <w:rFonts w:ascii="Arial" w:cs="Arial" w:eastAsia="Arial" w:hAnsi="Arial"/>
          <w:sz w:val="14"/>
          <w:szCs w:val="14"/>
          <w:color w:val="auto"/>
        </w:rPr>
        <w:t>, GlaxoSmithKline’s anti-IL5, Nucala</w:t>
      </w:r>
      <w:r>
        <w:rPr>
          <w:rFonts w:ascii="Arial" w:cs="Arial" w:eastAsia="Arial" w:hAnsi="Arial"/>
          <w:sz w:val="18"/>
          <w:szCs w:val="18"/>
          <w:color w:val="auto"/>
          <w:vertAlign w:val="superscript"/>
        </w:rPr>
        <w:t>®</w:t>
      </w:r>
      <w:r>
        <w:rPr>
          <w:rFonts w:ascii="Arial" w:cs="Arial" w:eastAsia="Arial" w:hAnsi="Arial"/>
          <w:sz w:val="14"/>
          <w:szCs w:val="14"/>
          <w:color w:val="auto"/>
        </w:rPr>
        <w:t>, and Chiesi’s PDE4 inhibitor, Tanimilast, are in Phase 3 trials. We are also aware of several anti-inflammatories and bronchodilators that are in Phase 2 clinical trials for the treatment of COPD.</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strive to protect and enhance the proprietary technologies, inventions and improvements that we believe are important to our business, including seeking, maintaining and defending patent rights, whether developed internally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13" w:name="page14"/>
    <w:bookmarkEnd w:id="13"/>
    <w:p>
      <w:pPr>
        <w:jc w:val="both"/>
        <w:spacing w:after="0" w:line="287" w:lineRule="auto"/>
        <w:rPr>
          <w:sz w:val="20"/>
          <w:szCs w:val="20"/>
          <w:color w:val="auto"/>
        </w:rPr>
      </w:pPr>
      <w:r>
        <w:rPr>
          <w:rFonts w:ascii="Arial" w:cs="Arial" w:eastAsia="Arial" w:hAnsi="Arial"/>
          <w:sz w:val="13"/>
          <w:szCs w:val="13"/>
          <w:color w:val="auto"/>
        </w:rPr>
        <w:t>or licensed from third parties. Our policy is to seek to protect our proprietary position by, among other methods, pursuing and obtaining patent protection in the U.S. and in jurisdictions outside of the U.S. related to our proprietary technology, inventions, improvements, platforms and our product candidates that are important to the development and implementation of our business.</w:t>
      </w:r>
    </w:p>
    <w:p>
      <w:pPr>
        <w:spacing w:after="0" w:line="2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As of December 31, 2021, our patent portfolio consisted of nine issued U.S. patents, three pending U.S. patent applications, sixty issued foreign patents and forty-eight pending foreign applications including two patent applications made under the Patent Cooperation Treaty. These patents and patent applications include claims directed to certain respirable formulations comprising ensifentrine, a crystalline form of ensifentrine, combinations of ensifentrine with certain respiratory drugs, certain salts of ensifentrine, ensifentrine for use in the treatment of cystic fibrosis, and a method of making ensifentrine, with expected expiry dates up to 2041.</w:t>
      </w:r>
    </w:p>
    <w:p>
      <w:pPr>
        <w:spacing w:after="0" w:line="54" w:lineRule="exact"/>
        <w:rPr>
          <w:sz w:val="20"/>
          <w:szCs w:val="20"/>
          <w:color w:val="auto"/>
        </w:rPr>
      </w:pPr>
    </w:p>
    <w:p>
      <w:pPr>
        <w:jc w:val="both"/>
        <w:spacing w:after="0" w:line="153" w:lineRule="exact"/>
        <w:rPr>
          <w:sz w:val="20"/>
          <w:szCs w:val="20"/>
          <w:color w:val="auto"/>
        </w:rPr>
      </w:pPr>
      <w:r>
        <w:rPr>
          <w:rFonts w:ascii="Arial" w:cs="Arial" w:eastAsia="Arial" w:hAnsi="Arial"/>
          <w:sz w:val="13"/>
          <w:szCs w:val="13"/>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w:t>
      </w:r>
      <w:r>
        <w:rPr>
          <w:rFonts w:ascii="MS PGothic" w:cs="MS PGothic" w:eastAsia="MS PGothic" w:hAnsi="MS PGothic"/>
          <w:sz w:val="13"/>
          <w:szCs w:val="13"/>
          <w:color w:val="auto"/>
        </w:rPr>
        <w:t>‑</w:t>
      </w:r>
      <w:r>
        <w:rPr>
          <w:rFonts w:ascii="Arial" w:cs="Arial" w:eastAsia="Arial" w:hAnsi="Arial"/>
          <w:sz w:val="13"/>
          <w:szCs w:val="13"/>
          <w:color w:val="auto"/>
        </w:rPr>
        <w:t>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product-by-product basis, from country to country and depends upon many factors, including the type of patent, the scope of its coverage, the availability of regulatory</w:t>
      </w:r>
      <w:r>
        <w:rPr>
          <w:rFonts w:ascii="MS PGothic" w:cs="MS PGothic" w:eastAsia="MS PGothic" w:hAnsi="MS PGothic"/>
          <w:sz w:val="13"/>
          <w:szCs w:val="13"/>
          <w:color w:val="auto"/>
        </w:rPr>
        <w:t>‑</w:t>
      </w:r>
      <w:r>
        <w:rPr>
          <w:rFonts w:ascii="Arial" w:cs="Arial" w:eastAsia="Arial" w:hAnsi="Arial"/>
          <w:sz w:val="13"/>
          <w:szCs w:val="13"/>
          <w:color w:val="auto"/>
        </w:rPr>
        <w:t>related extensions, the availability of legal remedies in a particular country and the validity and enforceability of the patent.</w:t>
      </w:r>
    </w:p>
    <w:p>
      <w:pPr>
        <w:spacing w:after="0" w:line="56" w:lineRule="exact"/>
        <w:rPr>
          <w:sz w:val="20"/>
          <w:szCs w:val="20"/>
          <w:color w:val="auto"/>
        </w:rPr>
      </w:pPr>
    </w:p>
    <w:p>
      <w:pPr>
        <w:jc w:val="both"/>
        <w:spacing w:after="0" w:line="154" w:lineRule="exact"/>
        <w:rPr>
          <w:sz w:val="20"/>
          <w:szCs w:val="20"/>
          <w:color w:val="auto"/>
        </w:rPr>
      </w:pPr>
      <w:r>
        <w:rPr>
          <w:rFonts w:ascii="Arial" w:cs="Arial" w:eastAsia="Arial" w:hAnsi="Arial"/>
          <w:sz w:val="13"/>
          <w:szCs w:val="13"/>
          <w:color w:val="auto"/>
        </w:rPr>
        <w:t>Furthermore, we rely upon trade secrets and know</w:t>
      </w:r>
      <w:r>
        <w:rPr>
          <w:rFonts w:ascii="MS PGothic" w:cs="MS PGothic" w:eastAsia="MS PGothic" w:hAnsi="MS PGothic"/>
          <w:sz w:val="13"/>
          <w:szCs w:val="13"/>
          <w:color w:val="auto"/>
        </w:rPr>
        <w:t>‑</w:t>
      </w:r>
      <w:r>
        <w:rPr>
          <w:rFonts w:ascii="Arial" w:cs="Arial" w:eastAsia="Arial" w:hAnsi="Arial"/>
          <w:sz w:val="13"/>
          <w:szCs w:val="13"/>
          <w:color w:val="auto"/>
        </w:rPr>
        <w:t>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w:t>
      </w:r>
      <w:r>
        <w:rPr>
          <w:rFonts w:ascii="MS PGothic" w:cs="MS PGothic" w:eastAsia="MS PGothic" w:hAnsi="MS PGothic"/>
          <w:sz w:val="13"/>
          <w:szCs w:val="13"/>
          <w:color w:val="auto"/>
        </w:rPr>
        <w:t>‑</w:t>
      </w:r>
      <w:r>
        <w:rPr>
          <w:rFonts w:ascii="Arial" w:cs="Arial" w:eastAsia="Arial" w:hAnsi="Arial"/>
          <w:sz w:val="13"/>
          <w:szCs w:val="13"/>
          <w:color w:val="auto"/>
        </w:rPr>
        <w:t>how and inventions.</w:t>
      </w:r>
    </w:p>
    <w:p>
      <w:pPr>
        <w:spacing w:after="0" w:line="57" w:lineRule="exact"/>
        <w:rPr>
          <w:sz w:val="20"/>
          <w:szCs w:val="20"/>
          <w:color w:val="auto"/>
        </w:rPr>
      </w:pPr>
    </w:p>
    <w:p>
      <w:pPr>
        <w:jc w:val="both"/>
        <w:spacing w:after="0" w:line="155" w:lineRule="exact"/>
        <w:rPr>
          <w:sz w:val="20"/>
          <w:szCs w:val="20"/>
          <w:color w:val="auto"/>
        </w:rPr>
      </w:pPr>
      <w:r>
        <w:rPr>
          <w:rFonts w:ascii="Arial" w:cs="Arial" w:eastAsia="Arial" w:hAnsi="Arial"/>
          <w:sz w:val="14"/>
          <w:szCs w:val="14"/>
          <w:color w:val="auto"/>
        </w:rPr>
        <w:t>Our commercial success will also depend in part on not infringing upon the proprietary rights of third parties. It is uncertain whether the issuance of any third</w:t>
      </w:r>
      <w:r>
        <w:rPr>
          <w:rFonts w:ascii="MS PGothic" w:cs="MS PGothic" w:eastAsia="MS PGothic" w:hAnsi="MS PGothic"/>
          <w:sz w:val="14"/>
          <w:szCs w:val="14"/>
          <w:color w:val="auto"/>
        </w:rPr>
        <w:t>‑</w:t>
      </w:r>
      <w:r>
        <w:rPr>
          <w:rFonts w:ascii="Arial" w:cs="Arial" w:eastAsia="Arial" w:hAnsi="Arial"/>
          <w:sz w:val="14"/>
          <w:szCs w:val="14"/>
          <w:color w:val="auto"/>
        </w:rPr>
        <w:t>party patent would require us to alter our development or commercial strategies, or our drugs or processes, obtain licenses or cease certain activities. Our breach of any license agreements or failure to obtain a license to proprietary rights that we may require to develop or commercialize our future drugs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“Item 1A. Risk Factors - Risks Related to Intellectual Property and Information Technology.”</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agreement with Ligand (formerly Vernalis)</w:t>
      </w:r>
    </w:p>
    <w:p>
      <w:pPr>
        <w:spacing w:after="0" w:line="72"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In February 2005, Rhinopharma Limited (“Rhinopharma”) entered into an assignment and license agreement with Ligand UK Development Limited (formerly Vernalis Development Limited) (“Ligand”), which since October 2018 has been a wholly owned subsidiary of Ligand Pharmaceuticals, Inc. We refer to the assignment and license agreement as the Ligand Agreement. In 2006, we acquired Rhinopharma and all its rights and liabilities under the Ligand Agreement. Pursuant to the Ligand Agreement, Ligand has assigned to us all its rights to certain patents and patent applications relating to ensifentrine and related compounds, or the Ligand Patents. We cannot further assign the Ligand Patents to a third party without Ligand's prior consent. Ligand also granted to us an exclusive, worldwide, royalty-bearing license under certain Ligand know-how to develop, manufacture and commercialize products, or the Licensed Products, based on PDE inhibitors developed using Ligand Patents, Ligand know-how and the physical stock of certain compounds, including ensifentrine, which we refer to as the Program IP, in the treatment of human or animal allergic or inflammatory disorders. Pursuant to the Ligand Agreement, we must maintain the Ligand Patents and use commercially reasonable and diligent efforts to develop and commercialize the Licensed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14" w:name="page15"/>
    <w:bookmarkEnd w:id="14"/>
    <w:p>
      <w:pPr>
        <w:jc w:val="both"/>
        <w:spacing w:after="0" w:line="248" w:lineRule="auto"/>
        <w:rPr>
          <w:sz w:val="20"/>
          <w:szCs w:val="20"/>
          <w:color w:val="auto"/>
        </w:rPr>
      </w:pPr>
      <w:r>
        <w:rPr>
          <w:rFonts w:ascii="Arial" w:cs="Arial" w:eastAsia="Arial" w:hAnsi="Arial"/>
          <w:sz w:val="13"/>
          <w:szCs w:val="13"/>
          <w:color w:val="auto"/>
        </w:rPr>
        <w:t>Under the Ligand Agreement, we are obligated to pay Ligand a milestone payment of £5.0 million upon the first approval of any regulatory authority for the commercialization of any Licensed Product, and a portion equal to a percentage in the mid-twenties of any consideration received from any of our sublicensees for Ligand Patents or Ligand know-how, excluding royalties. We must also pay Ligand, on a Licensed Product-by-Licensed Product and country-by-country basis, a low single digit percentage royalty based on net sales of each Licensed Product for a period beginning with the first commercial sale of such Licensed Product in a country and ending on the later of the expiration of a certain number of years after such first commercial sale and if applicable the expiration of the last to expire valid claim in the Ligand Patents covering the development, manufacture or commercialization of such Licensed Product in such country. Prior to the first commercial sale of each Licensed Product, such royalties also are due in the same percentages for any named patient sales.</w:t>
      </w:r>
    </w:p>
    <w:p>
      <w:pPr>
        <w:spacing w:after="0" w:line="49"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Ligand Agreement continues until terminated by either party in accordance with its terms. Either party may terminate the Ligand Agreement for an uncured material breach, bankruptcy or insolvency of the other party. We may terminate the Ligand Agreement upon 90 days' prior written notice. Ligand may terminate the Ligand Agreement if we notify Ligand of our intention to abandon any Ligand Patents or allow any Ligand Patents to lapse. Upon termination of the Ligand Agreement, we must cease use of any Program IP and assign the Ligand Patents and any improvements thereto back to Ligand.</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161"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FDA and comparable regulatory authorities in state and local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FDA drug approval process</w:t>
      </w:r>
    </w:p>
    <w:p>
      <w:pPr>
        <w:spacing w:after="0" w:line="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the U.S., the FDA regulates drugs under the Federal Food, Drug, and Cosmetic Act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file an application for assessment or non approval of a pending new drug applications (“NDA”),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The process required by the FDA before a drug may be marketed in the United States generally involves the following:</w:t>
      </w:r>
    </w:p>
    <w:p>
      <w:pPr>
        <w:spacing w:after="0" w:line="72" w:lineRule="exact"/>
        <w:rPr>
          <w:sz w:val="20"/>
          <w:szCs w:val="20"/>
          <w:color w:val="auto"/>
        </w:rPr>
      </w:pPr>
    </w:p>
    <w:p>
      <w:pPr>
        <w:ind w:left="260" w:hanging="255"/>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Completion of non-clinical laboratory tests, animal studies and formulation studies in compliance with the FDA's good laboratory practice (“GLP”) regulations;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Submission to the FDA of an investigational new drug application (“IND”), which must become effective before human clinical trials may begin;</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Approval by an independent institutional review board (“IRB”) or ethics committee at each clinical site before each trial may be initiated;</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7"/>
        </w:numPr>
        <w:rPr>
          <w:rFonts w:ascii="Arial" w:cs="Arial" w:eastAsia="Arial" w:hAnsi="Arial"/>
          <w:sz w:val="14"/>
          <w:szCs w:val="14"/>
          <w:color w:val="auto"/>
        </w:rPr>
      </w:pPr>
      <w:r>
        <w:rPr>
          <w:rFonts w:ascii="Arial" w:cs="Arial" w:eastAsia="Arial" w:hAnsi="Arial"/>
          <w:sz w:val="14"/>
          <w:szCs w:val="14"/>
          <w:color w:val="auto"/>
        </w:rPr>
        <w:t>Performance of adequate and well-controlled human clinical trials in accordance with good clinical practice (“GCP”) requirements to establish the safety and efficacy of the proposed drug product for each indication;</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Submission to the FDA of an NDA after completion of all pivotal trials;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Completion of an FDA advisory committee review, if required by the FDA;</w:t>
      </w:r>
    </w:p>
    <w:p>
      <w:pPr>
        <w:spacing w:after="0" w:line="72" w:lineRule="exact"/>
        <w:rPr>
          <w:rFonts w:ascii="Arial" w:cs="Arial" w:eastAsia="Arial" w:hAnsi="Arial"/>
          <w:sz w:val="14"/>
          <w:szCs w:val="14"/>
          <w:color w:val="auto"/>
        </w:rPr>
      </w:pPr>
    </w:p>
    <w:p>
      <w:pPr>
        <w:jc w:val="both"/>
        <w:ind w:left="260" w:hanging="255"/>
        <w:spacing w:after="0" w:line="237" w:lineRule="auto"/>
        <w:tabs>
          <w:tab w:leader="none" w:pos="256" w:val="left"/>
        </w:tabs>
        <w:numPr>
          <w:ilvl w:val="0"/>
          <w:numId w:val="7"/>
        </w:numPr>
        <w:rPr>
          <w:rFonts w:ascii="Arial" w:cs="Arial" w:eastAsia="Arial" w:hAnsi="Arial"/>
          <w:sz w:val="14"/>
          <w:szCs w:val="14"/>
          <w:color w:val="auto"/>
        </w:rPr>
      </w:pPr>
      <w:r>
        <w:rPr>
          <w:rFonts w:ascii="Arial" w:cs="Arial" w:eastAsia="Arial" w:hAnsi="Arial"/>
          <w:sz w:val="14"/>
          <w:szCs w:val="14"/>
          <w:color w:val="auto"/>
        </w:rPr>
        <w:t>Satisfactory completion of an FDA inspection of the manufacturing facility or facilities at which the product is produced to assess compliance with current good manufacturing practice (“cGMP”) requirements and to assure that the facilities, methods and controls are adequate to preserve the drug's identity, strength, quality and purity, and of selected clinical investigation sites to assess compliance with GCP;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15" w:name="page16"/>
    <w:bookmarkEnd w:id="15"/>
    <w:p>
      <w:pPr>
        <w:ind w:right="1700" w:firstLine="5"/>
        <w:spacing w:after="0" w:line="347" w:lineRule="auto"/>
        <w:tabs>
          <w:tab w:leader="none" w:pos="251"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FDA review and approval of the NDA and U.S. Prescribing Information to permit commercial marketing of the product for particular indications for use in the U.S.. </w:t>
      </w:r>
      <w:r>
        <w:rPr>
          <w:rFonts w:ascii="Arial" w:cs="Arial" w:eastAsia="Arial" w:hAnsi="Arial"/>
          <w:sz w:val="14"/>
          <w:szCs w:val="14"/>
          <w:i w:val="1"/>
          <w:iCs w:val="1"/>
          <w:color w:val="auto"/>
        </w:rPr>
        <w:t>Non-clinical Studies</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Non-clinical studies include laboratory evaluation of product chemistry, toxicity and formulation, as well as animal studies to assess potential safety and efficacy. An IND sponsor must submit the results of the non-clinical tests, together with manufacturing information, analytical data and any available clinical data or literature, among other things, to the FDA as part of an IND. An IND is a request for authorization from the FDA to ship in interstate commerce and administer an investigational new drug product to humans.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Clinical Trials</w:t>
      </w:r>
    </w:p>
    <w:p>
      <w:pPr>
        <w:spacing w:after="0" w:line="7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Clinical trials involve the administration of the investigational new drug to human subjects under the supervision of qualified investigators in accordance with GCP requirements, which include the requirement that all research subjects or a legal representative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In addition, an IRB at each institution participating in the clinical trial must review and approve the plan for any clinical trial before it commences at that institution.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reviews the data and recommends whether or not a study may move forward at designated checkpoints. It may halt the clinical trial if it determines that there is an unacceptable safety risk or on other grounds, such as no demonstration of efficacy. Information about certain clinical trials must be submitted within specific timeframes to the National Institutes of Health, or NIH, for public dissemination on their www.clinicaltrials.gov website.</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Human clinical trials are typically conducted in three phases, which may overlap or be combined:</w:t>
      </w:r>
    </w:p>
    <w:p>
      <w:pPr>
        <w:spacing w:after="0" w:line="72" w:lineRule="exact"/>
        <w:rPr>
          <w:sz w:val="20"/>
          <w:szCs w:val="20"/>
          <w:color w:val="auto"/>
        </w:rPr>
      </w:pPr>
    </w:p>
    <w:p>
      <w:pPr>
        <w:ind w:left="260" w:hanging="255"/>
        <w:spacing w:after="0" w:line="249" w:lineRule="auto"/>
        <w:tabs>
          <w:tab w:leader="none" w:pos="256" w:val="left"/>
        </w:tabs>
        <w:numPr>
          <w:ilvl w:val="0"/>
          <w:numId w:val="9"/>
        </w:numPr>
        <w:rPr>
          <w:rFonts w:ascii="Arial" w:cs="Arial" w:eastAsia="Arial" w:hAnsi="Arial"/>
          <w:sz w:val="14"/>
          <w:szCs w:val="14"/>
          <w:color w:val="auto"/>
        </w:rPr>
      </w:pPr>
      <w:r>
        <w:rPr>
          <w:rFonts w:ascii="Arial" w:cs="Arial" w:eastAsia="Arial" w:hAnsi="Arial"/>
          <w:sz w:val="14"/>
          <w:szCs w:val="14"/>
          <w:color w:val="auto"/>
        </w:rPr>
        <w:t>Phase 1: The drug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9"/>
        </w:numPr>
        <w:rPr>
          <w:rFonts w:ascii="Arial" w:cs="Arial" w:eastAsia="Arial" w:hAnsi="Arial"/>
          <w:sz w:val="14"/>
          <w:szCs w:val="14"/>
          <w:color w:val="auto"/>
        </w:rPr>
      </w:pPr>
      <w:r>
        <w:rPr>
          <w:rFonts w:ascii="Arial" w:cs="Arial" w:eastAsia="Arial" w:hAnsi="Arial"/>
          <w:sz w:val="14"/>
          <w:szCs w:val="14"/>
          <w:color w:val="auto"/>
        </w:rPr>
        <w:t>Phase 2: The drug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47" w:lineRule="exact"/>
        <w:rPr>
          <w:rFonts w:ascii="Arial" w:cs="Arial" w:eastAsia="Arial" w:hAnsi="Arial"/>
          <w:sz w:val="14"/>
          <w:szCs w:val="14"/>
          <w:color w:val="auto"/>
        </w:rPr>
      </w:pPr>
    </w:p>
    <w:p>
      <w:pPr>
        <w:jc w:val="both"/>
        <w:ind w:left="260" w:hanging="255"/>
        <w:spacing w:after="0" w:line="237" w:lineRule="auto"/>
        <w:tabs>
          <w:tab w:leader="none" w:pos="256" w:val="left"/>
        </w:tabs>
        <w:numPr>
          <w:ilvl w:val="0"/>
          <w:numId w:val="9"/>
        </w:numPr>
        <w:rPr>
          <w:rFonts w:ascii="Arial" w:cs="Arial" w:eastAsia="Arial" w:hAnsi="Arial"/>
          <w:sz w:val="14"/>
          <w:szCs w:val="14"/>
          <w:color w:val="auto"/>
        </w:rPr>
      </w:pPr>
      <w:r>
        <w:rPr>
          <w:rFonts w:ascii="Arial" w:cs="Arial" w:eastAsia="Arial" w:hAnsi="Arial"/>
          <w:sz w:val="14"/>
          <w:szCs w:val="14"/>
          <w:color w:val="auto"/>
        </w:rPr>
        <w:t>Phase 3: The drug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48"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16" w:name="page17"/>
    <w:bookmarkEnd w:id="16"/>
    <w:p>
      <w:pPr>
        <w:jc w:val="both"/>
        <w:spacing w:after="0" w:line="237" w:lineRule="auto"/>
        <w:rPr>
          <w:sz w:val="20"/>
          <w:szCs w:val="20"/>
          <w:color w:val="auto"/>
        </w:rPr>
      </w:pPr>
      <w:r>
        <w:rPr>
          <w:rFonts w:ascii="Arial" w:cs="Arial" w:eastAsia="Arial" w:hAnsi="Arial"/>
          <w:sz w:val="14"/>
          <w:szCs w:val="14"/>
          <w:color w:val="auto"/>
        </w:rPr>
        <w:t>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Marketing Approval</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w:t>
      </w:r>
    </w:p>
    <w:p>
      <w:pPr>
        <w:spacing w:after="0" w:line="5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 Under the Prescription Drug User Fee Act guidelines that are currently in effect, the FDA has a goal of ten months from the date of “filing”of a standard NDA for a new molecular entity to review and act on the submission. This review typically takes twelve months from the date the NDA is submitted to FDA because the FDA has approximately two months to make a “filing” decision after it the application is submitted.</w:t>
      </w:r>
    </w:p>
    <w:p>
      <w:pPr>
        <w:spacing w:after="0" w:line="46"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5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49"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17" w:name="page18"/>
    <w:bookmarkEnd w:id="17"/>
    <w:p>
      <w:pPr>
        <w:jc w:val="both"/>
        <w:spacing w:after="0" w:line="287" w:lineRule="auto"/>
        <w:rPr>
          <w:sz w:val="20"/>
          <w:szCs w:val="20"/>
          <w:color w:val="auto"/>
        </w:rPr>
      </w:pPr>
      <w:r>
        <w:rPr>
          <w:rFonts w:ascii="Arial" w:cs="Arial" w:eastAsia="Arial" w:hAnsi="Arial"/>
          <w:sz w:val="13"/>
          <w:szCs w:val="13"/>
          <w:color w:val="auto"/>
        </w:rPr>
        <w:t>changes to proposed labeling or the development of adequate controls and specifications. The FDA may also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4"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from the FDA.</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The FDA offers a number of expedited development and review programs for qualifying product candidates. For example, the fast track program is intended to expedite or facilitate the process for reviewing new products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product candidate may be eligible for priority review.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54"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56"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Any marketing application for a drug submitted to the FDA for approval, including a product candidate with a fast track designation and/or breakthrough therapy designation, may be eligible for other types of FDA programs to expedite the FDA review and approval process, such as priority review and accelerated approval. An NDA is eligible for priority review if the product candidate is designed to treat a serious or life-threatening disease or condition, and if approved, would provide a significant improvement in safety or effectiveness compared to available alternatives for such disease or condition. For new molecular entity NDAs, priority review designation means the FDA’s goal is to take action on the marketing application within six months of the 60-day filing date (as compared to ten months under standard review).</w:t>
      </w:r>
    </w:p>
    <w:p>
      <w:pPr>
        <w:spacing w:after="0" w:line="56"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Additionally,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5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Orphan drug designation and exclusivity</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Under the Orphan Drug Act, the FDA may grant orphan designation to a drug intended to treat a rare disease or condition, defined as a disease or condition with a patient population of fewer than 200,000 individuals in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18" w:name="page19"/>
    <w:bookmarkEnd w:id="18"/>
    <w:p>
      <w:pPr>
        <w:jc w:val="both"/>
        <w:spacing w:after="0" w:line="237" w:lineRule="auto"/>
        <w:rPr>
          <w:sz w:val="20"/>
          <w:szCs w:val="20"/>
          <w:color w:val="auto"/>
        </w:rPr>
      </w:pPr>
      <w:r>
        <w:rPr>
          <w:rFonts w:ascii="Arial" w:cs="Arial" w:eastAsia="Arial" w:hAnsi="Arial"/>
          <w:sz w:val="14"/>
          <w:szCs w:val="14"/>
          <w:color w:val="auto"/>
        </w:rPr>
        <w:t>States, or a patient population greater than 200,000 individuals in the United States and when there is no reasonable expectation that the cost of developing and making available the drug or biologic in the United States will be recovered from sales in the United States for that drug or biologic. Orphan drug designation must be requested before submitting an NDA. After the FDA grants orphan drug designation, the generic identity of the therapeutic agent and its potential orphan use are disclosed publicly by the FDA.</w:t>
      </w:r>
    </w:p>
    <w:p>
      <w:pPr>
        <w:spacing w:after="0" w:line="54"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drug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A designated orphan drug many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Post-Approval Requirements</w:t>
      </w:r>
    </w:p>
    <w:p>
      <w:pPr>
        <w:spacing w:after="0" w:line="72"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under which NDA applicants must pay a substantial “program fee” for each prescription drug product approved in an NDA.</w:t>
      </w:r>
    </w:p>
    <w:p>
      <w:pPr>
        <w:spacing w:after="0" w:line="54"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5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46" w:lineRule="exact"/>
        <w:rPr>
          <w:sz w:val="20"/>
          <w:szCs w:val="20"/>
          <w:color w:val="auto"/>
        </w:rPr>
      </w:pPr>
    </w:p>
    <w:p>
      <w:pPr>
        <w:ind w:left="260" w:hanging="255"/>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Restrictions on the marketing or manufacturing of the product, complete withdrawal of the product from the market or product recalls;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Fines, warning letters or holds on post-approval clinical trials;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Refusal of the FDA to approve pending NDAs or supplements to approved NDAs, or suspension or revocation of product approvals;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Product seizure or detention, or refusal to permit the import or export of products; or</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Injunctions or the imposition of civil or criminal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19" w:name="page20"/>
    <w:bookmarkEnd w:id="19"/>
    <w:p>
      <w:pPr>
        <w:jc w:val="both"/>
        <w:spacing w:after="0" w:line="233" w:lineRule="auto"/>
        <w:rPr>
          <w:sz w:val="20"/>
          <w:szCs w:val="20"/>
          <w:color w:val="auto"/>
        </w:rPr>
      </w:pPr>
      <w:r>
        <w:rPr>
          <w:rFonts w:ascii="Arial" w:cs="Arial" w:eastAsia="Arial" w:hAnsi="Arial"/>
          <w:sz w:val="14"/>
          <w:szCs w:val="14"/>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Drug Product Marketing Exclusivity</w:t>
      </w:r>
    </w:p>
    <w:p>
      <w:pPr>
        <w:spacing w:after="0" w:line="72"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Market exclusivity provisions authorized under the FDCA can delay the submission or the approval of certain marketing applications. For example,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(a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54"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Foreign regulation</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In order to market any medicinal product outside of the U.S., similar regulatory requirements, including adherence to GLP, Good Clinical Practices (“GCP”) and Good Manufacturing Practice (“GMP”), to initiate clinical trials and, subsequently, to obtain marketing approval of a new pharmaceutical product are in place in each jurisdiction and vary country to country.</w:t>
      </w:r>
    </w:p>
    <w:p>
      <w:pPr>
        <w:spacing w:after="0" w:line="2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Each jurisdiction will apply these regulations in their assessment of clinical trial applications and marketing authorization applications. The time required to obtain approval in other countries and jurisdictions might differ from and be longer than that required to obtain FDA approval. Regulatory approval in one country or jurisdiction does not ensure regulatory approval in another. In addition, a failure or delay in obtaining regulatory approval in one country or jurisdiction may negatively impact the regulatory process in others.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Non-clinical studies and clinical trials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Similarly to the United States, the various phases of non-clinical and clinical research in the European Union (“EU”) are subject to significant regulatory controls.</w:t>
      </w:r>
    </w:p>
    <w:p>
      <w:pPr>
        <w:spacing w:after="0" w:line="72"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Non-clinical studies are performed to demonstrate the health or environmental safety of new biological substances. Non-clinical studies must be conducted in compliance with the principles of GLP, as set forth in EU Directive 2004/10/EC.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Clinical trials of medicinal products in the EU must be conducted in accordance with EU and national regulations and the International Conference on Harmonization (“ICH”) guidelines on GCP as well as the applicable regulatory requirements and the ethical principles that have their origin in the Declaration of Helsinki. If the sponsor of the clinical trial is not established within the EU, it must appoint an EU entity to act as its legal representative.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auto"/>
        </w:rPr>
        <w:t>sponsor must take out a clinical trial insurance policy, and in most EU countries, the sponsor is liable to provide ‘no fault’ compensation to any study subject injured in the clinical trial.</w:t>
      </w:r>
    </w:p>
    <w:p>
      <w:pPr>
        <w:spacing w:after="0" w:line="72"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54"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While the Clinical Trials Directive required a separate clinical trial application (“CTA”) to be submitted in each member state, to both the competent national health authority and an independent ethics committee, much like the FDA and IRB respectively,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Additionally, sponsors may still choose to submit a CTA under either the Clinical Trials Directive or the CTR until January 31, 2023 and, if authorized, those will be governed by the Clinical Trials Directive until January 31, 2025. By that date, all ongoing trials will become subject to the provisions of the CTR.</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Medicines used in clinical trials must be manufactured in accordance with GMP. Other national and EU-wide regulatory requirements may also apply.</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Marketing authorization</w:t>
      </w:r>
    </w:p>
    <w:p>
      <w:pPr>
        <w:spacing w:after="0" w:line="72"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In the EEA, medicinal products can only be placed on the market after obtaining a marketing authorization (“MA”). To obtain regulatory approval of a product candidate under EU regulatory systems, we must submit a marketing authorization application, or MAA. The process for doing this depends, among other things, on the nature of the medicinal product. There are two types of MAs:</w:t>
      </w:r>
    </w:p>
    <w:p>
      <w:pPr>
        <w:spacing w:after="0" w:line="1" w:lineRule="exact"/>
        <w:rPr>
          <w:sz w:val="20"/>
          <w:szCs w:val="20"/>
          <w:color w:val="auto"/>
        </w:rPr>
      </w:pPr>
    </w:p>
    <w:p>
      <w:pPr>
        <w:jc w:val="both"/>
        <w:ind w:left="260" w:hanging="255"/>
        <w:spacing w:after="0" w:line="229" w:lineRule="auto"/>
        <w:tabs>
          <w:tab w:leader="none" w:pos="256" w:val="left"/>
        </w:tabs>
        <w:numPr>
          <w:ilvl w:val="0"/>
          <w:numId w:val="11"/>
        </w:numPr>
        <w:rPr>
          <w:rFonts w:ascii="Arial" w:cs="Arial" w:eastAsia="Arial" w:hAnsi="Arial"/>
          <w:sz w:val="14"/>
          <w:szCs w:val="14"/>
          <w:color w:val="auto"/>
        </w:rPr>
      </w:pPr>
      <w:r>
        <w:rPr>
          <w:rFonts w:ascii="Arial" w:cs="Arial" w:eastAsia="Arial" w:hAnsi="Arial"/>
          <w:sz w:val="14"/>
          <w:szCs w:val="14"/>
          <w:color w:val="auto"/>
        </w:rPr>
        <w:t>“Centralized MAs” are issued by the European Commission through the centralized procedure, based on the opinion of the Committee for Medicinal Products for Human Use (“CHMP”) of the European Medicines Agency (“EMA”), and are valid throughout the entire territory of the EEA. The centralized procedure is mandatory for certain types of medicinal products, such as (i) medicines derived from biotechnology processes, (ii) advanced therapy medicinal products (such as gene therapy, somatic cell therapy and tissue engineered products), (iii) orphan designated medicinal products, and (iv) products that contain a new active substance indicated for the treatment of certain diseases such as HIV/AIDS,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54" w:lineRule="exact"/>
        <w:rPr>
          <w:rFonts w:ascii="Arial" w:cs="Arial" w:eastAsia="Arial" w:hAnsi="Arial"/>
          <w:sz w:val="14"/>
          <w:szCs w:val="14"/>
          <w:color w:val="auto"/>
        </w:rPr>
      </w:pPr>
    </w:p>
    <w:p>
      <w:pPr>
        <w:jc w:val="both"/>
        <w:ind w:left="260" w:hanging="255"/>
        <w:spacing w:after="0" w:line="230" w:lineRule="auto"/>
        <w:tabs>
          <w:tab w:leader="none" w:pos="256" w:val="left"/>
        </w:tabs>
        <w:numPr>
          <w:ilvl w:val="0"/>
          <w:numId w:val="11"/>
        </w:numPr>
        <w:rPr>
          <w:rFonts w:ascii="Arial" w:cs="Arial" w:eastAsia="Arial" w:hAnsi="Arial"/>
          <w:sz w:val="14"/>
          <w:szCs w:val="14"/>
          <w:color w:val="auto"/>
        </w:rPr>
      </w:pPr>
      <w:r>
        <w:rPr>
          <w:rFonts w:ascii="Arial" w:cs="Arial" w:eastAsia="Arial" w:hAnsi="Arial"/>
          <w:sz w:val="14"/>
          <w:szCs w:val="14"/>
          <w:color w:val="auto"/>
        </w:rPr>
        <w:t>“National MAs” are issued by the competent authorities of the member states of the EEA and only cover their respective territory, and are available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56"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Under the above described procedures, in order to grant the MA, the EMA or the competent authorities of the member states of the EEA make an assessment of the risk-benefit balance of the product on the basis of scientific criteria concerning its quality, safety and efficacy. MAs have an initial duration of five years. After these five years, the authorization may be renewed on the basis of a reevaluation of the risk-benefit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21" w:name="page22"/>
    <w:bookmarkEnd w:id="21"/>
    <w:p>
      <w:pPr>
        <w:jc w:val="both"/>
        <w:spacing w:after="0" w:line="243" w:lineRule="auto"/>
        <w:rPr>
          <w:sz w:val="20"/>
          <w:szCs w:val="20"/>
          <w:color w:val="auto"/>
        </w:rPr>
      </w:pPr>
      <w:r>
        <w:rPr>
          <w:rFonts w:ascii="Arial" w:cs="Arial" w:eastAsia="Arial" w:hAnsi="Arial"/>
          <w:sz w:val="13"/>
          <w:szCs w:val="13"/>
          <w:color w:val="auto"/>
        </w:rPr>
        <w:t>Under the centralized procedure the maximum timeframe for the evaluation of a MAA by the EMA is 210 days. In exceptional cases, the CHMP might perform an accelerated assessment of a MAA in no more than 150 days (not including clock stops). Innovative products that target an unmet medical need and are expected to be of major public health interest may be eligible for a number of expedited development and review programs, such as the Priority Medicines (“PRIME”) scheme, which provides incentives similar to the breakthrough therapy designation in the U.S. In March 2016, the EMA launched an initiative, the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Data and marketing exclusivity</w:t>
      </w:r>
    </w:p>
    <w:p>
      <w:pPr>
        <w:spacing w:after="0" w:line="72"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In the EEA, new products authorized for marketing, or reference products, generally receive eight years of data exclusivity and an additional two years of market exclusivity upon MA.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overall 10-year market exclusivity period can be extended to a maximum of eleven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active substance, and products may not qualify for data exclusivity.</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Pediatric development</w:t>
      </w:r>
    </w:p>
    <w:p>
      <w:pPr>
        <w:spacing w:after="0" w:line="72"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In the EEA, MAAs for new medicinal products have to include the results of studies conducted in the pediatric population, in compliance with a pediatric investigation plan (“PIP”), agreed with the EMA's Pediatric Committee (“PDCO”). The PIP sets out the timing and measures proposed to generate data to support a pediatric indication of the drug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We have received a waiver for pediatric data in COPD.</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Orphan Medicinal Products</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criteria for designating an “orphan medicinal product” in the EU are similar in principle to those in the United States.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w:t>
      </w:r>
    </w:p>
    <w:p>
      <w:pPr>
        <w:spacing w:after="0" w:line="46"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Orphan medicinal products are eligible for financial incentives such as reduction of fees or fee waivers and are, upon grant of a marketing authorization, entitled to ten years of market exclusivity for the approved therapeutic indication which means that the EU regulatory authorities cannot accept another MAA, or grant an MA, or accept an application to extend a MA for a similar product for the same indication for a period of ten years. The period of market exclusivity is extended by two years for orphan medicinal products that have also complied with an agreed PIP. No extension to any supplementary protection certificate can be granted on the basis of pediatric studies for orphan indications.The application for orphan drug designation must be submitted before the application for 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color w:val="auto"/>
        </w:rPr>
        <w:t>Orphan drug designation does not convey any advantage in, or shorten the duration of, the regulatory review and approval process.</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or where the prevalence of the condition has increased above the threshold. Additionally, MA may be granted to a similar product for the same indication at any time if (1) the second applicant can establish that its product, although similar, is safer, more effective or otherwise clinically superior; (2) the applicant consents to a second orphan medicinal product application; or (3) the applicant cannot supply enough orphan medicinal product.</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Post-Approval Requirements</w:t>
      </w:r>
    </w:p>
    <w:p>
      <w:pPr>
        <w:spacing w:after="0" w:line="72"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Similar to the United States, both MA holders and manufacturers of medicinal products are subject to comprehensive regulatory oversight by the EMA, the European Commission and/or the competent regulatory authorities of the EU member states. The holder of a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All new MAA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The aforementioned EU rules are generally applicable in the European Economic Area (“EEA”) which consists of the 27 EU member states plus Norway, Liechtenstein and Iceland.</w:t>
      </w:r>
    </w:p>
    <w:p>
      <w:pPr>
        <w:spacing w:after="0" w:line="7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Failure by us or by any of our third-party partners, including suppliers, manufacturers and distributors to comply with EU and EU member state laws that apply to the conduct of clinical trials, manufacturing approval, MA of medicinal products and marketing of such products, both before and after grant of the MA, manufacturing of medicinal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Brexit and the Regulatory Framework in the United Kingdom</w:t>
      </w:r>
    </w:p>
    <w:p>
      <w:pPr>
        <w:spacing w:after="0" w:line="34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United Kingdom (“UK”) left the EU on January 31, 2020, following which existing EU medicinal product legislation continued to apply in the UK during the transition period under the terms of the EU-UK Withdrawal Agreement. The transition period, which ended on December 31, 2020, maintained access to the EU single market and to the global trade deals negotiated by the EU on behalf of its members. The transition period provided time for the UK and EU to negotiate a framework for partnership for the future, which was then crystallized in the Trade and Cooperation Agreement (“TCA”) and became effective on the January 1, 2021. The TCA includes specific provisions concerning pharmaceuticals, which include the mutual recognition of GMP inspections of manufacturing facilities for medicinal products and GMP documents issued, but does not foresee wholesale mutual recognition of UK and EU pharmaceutical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23" w:name="page24"/>
    <w:bookmarkEnd w:id="23"/>
    <w:p>
      <w:pPr>
        <w:jc w:val="both"/>
        <w:spacing w:after="0" w:line="233" w:lineRule="auto"/>
        <w:rPr>
          <w:sz w:val="20"/>
          <w:szCs w:val="20"/>
          <w:color w:val="auto"/>
        </w:rPr>
      </w:pPr>
      <w:r>
        <w:rPr>
          <w:rFonts w:ascii="Arial" w:cs="Arial" w:eastAsia="Arial" w:hAnsi="Arial"/>
          <w:sz w:val="14"/>
          <w:szCs w:val="14"/>
          <w:color w:val="auto"/>
        </w:rPr>
        <w:t>EU laws which have been transposed into UK law through secondary legislation continue to be applicable as “retained EU law”. However, new legislation such as the EU CTR will not be applicable. The UK government has passed a new Medicines and Medical Devices Act 2021, which introduces delegated powers in favor of the Secretary of State or an ‘appropriate authority’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54"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As of January 1, 2021, the Medicines and Healthcare products Regulatory Agency (“MHRA”) is the UK’s standalone medicines and medical devices regulator. As a result of the Northern Ireland protocol, different rules will apply in Northern Ireland than in England, Wales, and Scotland, together, Great Britain (“GB”); broadly, Northern Ireland will continue to follow the EU regulatory regime, but its national competent authority will remain the MHRA. The MHRA has published a guidance on how various aspects of the UK regulatory regime for medicines will operate in GB and in Northern Ireland following the expiry of the Brexit transition period on December 31, 2020. The guidance includes clinical trials, importing, exporting, and pharmacovigilance and is relevant to any business involved in the research, development, or commercialization of medicines in the UK. The new guidance was given effect via the Human Medicines Regulations (Amendment etc.) (EU Exit) Regulations 2019 (the “Exit Regulations”).</w:t>
      </w:r>
    </w:p>
    <w:p>
      <w:pPr>
        <w:spacing w:after="0" w:line="54"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The MHRA 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 free of charge on January 1, 2021, unless the MA holder chooses to opt-out. In order to use the centralized procedure to obtain a MA that will be valid throughout the EEA, companies must be established in the EEA. Therefore after Brexit, without first establishing an EAA entity, companies established in the UK can no longer use the EU centralized procedure and instead an EEA entity must hold any centralized MAs . In order to obtain a UK MA to commercialize products in the UK, an applicant must be established in the UK and must follow one of the UK national authorization procedures or one of the remaining post-Brexit international cooperation procedures to obtain an MA to commercialize products in the UK. The MHRA may rely on a decision taken by the European Commission on the approval of a new (centralized procedure) MA when determining an application for a GB authorization; or use the MHRA’s decentralized or mutual recognition procedures which enable MAs approved in EU member states (or Iceland, Liechtenstein, Norway) to be granted in GB.</w:t>
      </w:r>
    </w:p>
    <w:p>
      <w:pPr>
        <w:spacing w:after="0" w:line="55"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There is no pre-MA orphan designation. Instead, the MHRA will review applications for orphan designation in parallel to the corresponding MA application. The criteria are essentially the same, but have been tailored for the market, i.e., the prevalence of the condition in GB, rather than the EU, must not be more than five in 10,000. Should an orphan designation be granted, the period of market exclusivity will be set from the date of first approval of the product in GB.</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U.S. Healthcare Laws</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In addition to FDA restrictions on marketing of pharmaceutical and biological products, other U.S. federal and state healthcare regulatory laws restrict business practices in the pharmaceutical industry, which include, but are not limited to, state and federal anti-kickback, false claims and physician payment and drug pricing transparency laws. Similar laws exist in foreign jurisdictions.</w:t>
      </w:r>
    </w:p>
    <w:p>
      <w:pPr>
        <w:spacing w:after="0" w:line="24"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its facts and circumstances. Several courts have interpreted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24" w:name="page25"/>
    <w:bookmarkEnd w:id="24"/>
    <w:p>
      <w:pPr>
        <w:spacing w:after="0"/>
        <w:rPr>
          <w:sz w:val="20"/>
          <w:szCs w:val="20"/>
          <w:color w:val="auto"/>
        </w:rPr>
      </w:pPr>
      <w:r>
        <w:rPr>
          <w:rFonts w:ascii="Arial" w:cs="Arial" w:eastAsia="Arial" w:hAnsi="Arial"/>
          <w:sz w:val="12"/>
          <w:szCs w:val="12"/>
          <w:color w:val="auto"/>
        </w:rPr>
        <w:t>the statute's intent requirement to mean that if any one purpose of an arrangement involving remuneration is to induce referrals of federal healthcare covered business, the statute has been violated.</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addition, a person or entity does not need to have actual knowledge of the statute or specific intent to violate it in order to have committed a violation. The majority of states also have anti-kickback laws, which establish similar prohibitions and in some cases may apply to items or services reimbursed by any third-party payor, including commercial insurers.</w:t>
      </w:r>
    </w:p>
    <w:p>
      <w:pPr>
        <w:spacing w:after="0" w:line="48"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or off-label, uses. Moreover, a claim including items or services resulting from a violation of the U.S. federal Anti-Kickback Statue constitutes a false or fraudulent claim for the purposes of the federal civil False Claims Act.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54"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Violations of fraud and abuse laws, including federal and state anti-kickback and false claims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56"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56"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In addition, there has been a recent trend of increased federal and state regulation of payments made to physicians and certain other healthcare providers. The Physician Payments Sunshine Act imposes, among other things, annual reporting requirements for covered manufacturers for certain payments and "transfers of value" provided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significant civil monetary penalties and additional penalties for "knowing failures." Covered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color w:val="auto"/>
        </w:rPr>
        <w:t>Coverage and Reimbursement</w:t>
      </w:r>
    </w:p>
    <w:p>
      <w:pPr>
        <w:spacing w:after="0" w:line="72"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56"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In the United States, 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5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the EEA, governments influence the price of products through their pricing and reimbursement rules and control of national health care systems 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by the government. member states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in general, particularly prescription products, has become very intense. As a result, increasingly high barriers are being erected to the entry of new products. In addition, in some countries, cross border imports from low-priced markets exert a commercial pressure on pricing within a country.</w:t>
      </w:r>
    </w:p>
    <w:p>
      <w:pPr>
        <w:spacing w:after="0" w:line="5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Healthcare Reform</w:t>
      </w:r>
    </w:p>
    <w:p>
      <w:pPr>
        <w:spacing w:after="0" w:line="7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March 2010, the Patient Protection and Affordable Care Act, as amended by the Health Care and Education Reconciliation Act, or collectively, the ACA,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auto"/>
        </w:rPr>
        <w:t>plans; imposed mandatory discounts for certain Medicare Part D beneficiaries as a condition for manufacturers' outpatient drugs coverage under Medicare Part D.</w:t>
      </w:r>
    </w:p>
    <w:p>
      <w:pPr>
        <w:spacing w:after="0" w:line="72"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spacing w:after="0" w:line="54"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Additionally, on August 2, 2011, the Budget Control Act of 2011 created measures for spending reductions was enacted, which, among other things, included aggregate reductions of Medicare payments to providers of 2% per fiscal year, which went into effect on April 1, 2013 and, due to subsequent legislative amendments to the statute, will stay in effect through 2030, with the exception of a temporary suspension from May 1, 2020 through March 31, 2022,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recently over the manner in which manufacturers set prices for their marketed products, which have resulted in several recent Congressional inquiries and proposed and enacted legislation designed to, among other things, bring more transparency to product pricing, review the relationship between pricing and manufacturer patient programs, and reform government program reimbursement methodologies for pharmaceutical products.</w:t>
      </w:r>
    </w:p>
    <w:p>
      <w:pPr>
        <w:spacing w:after="0" w:line="55"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price increases. In particular, we anticipate that Medicare Part B will play an important role in the reimbursement of ensifentrine. Changes in how products are reimbursed through Medicare Part B may affect the overall coverage for ensifentrine, if approved. Any reduction in reimbursement from Medicare or other government-funded programs may result in a similar reduction in payments from private payors.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Data Privacy and Security Laws</w:t>
      </w:r>
    </w:p>
    <w:p>
      <w:pPr>
        <w:spacing w:after="0" w:line="72"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For example, the General Data Protection Regulation (“GDPR”) imposes strict requirements for processing the personal data of individuals within the European Economic Area.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had to comply with the GDPR and also the United Kingdom GDPR (“UK GDPR”), which, together with the amended UK Data Protection Act 2018, retains the GDPR in UK national law. The UK GDPR mirrors the fines under the GDPR, i.e., fines up to the greater of €20 million (£17.5 million) or 4% of global turnover.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Additional regulation</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the use, handling and disposal of various biologic, chemical and radioactive substances used in, and wastes generated by, operations. If our operations result in contamination of the environment or expose individuals to hazardous substances, we could be liable for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auto"/>
        </w:rPr>
        <w:t>and governmental fines. Equivalent laws have been adopted in certain other countries that impose similar obligations.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U.S. Foreign Corrupt Practices Act</w:t>
      </w:r>
    </w:p>
    <w:p>
      <w:pPr>
        <w:spacing w:after="0" w:line="72"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U.S. Foreign Corrupt Practices Act ("FCPA"), prohibits U.S. corporations and individuals from engaging in certain activities to obtain or retain business abroad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The scope of the FCPA includes interactions with certain healthcare professionals in many countries. Equivalent laws have been adopted in other foreign countries that impose similar obligations.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As of December 31, 2021, we had 24 full-time and 2 part time employees. None of our employees is party to a collective bargaining agreement or represented by a trade union or labor union. We consider our relationship with our employees to be good.</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INFORMATION</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were incorporated in February 2005 as Isis Resources plc under the laws of England and Wales. In September 2006, we acquired Rhinopharma Limited, a private company incorporated in Canada, and changed our name to Verona Pharma plc. Our principal office is located at 3 More London Riverside, London, SE1 2RE, United Kingdom.</w:t>
      </w:r>
    </w:p>
    <w:p>
      <w:pPr>
        <w:spacing w:after="0" w:line="48"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We make available our public filings, including annual reports on Form 10-K, quarterly reports on Form 10-Q, current reports on Form 8-K, and any amendments to those reports, with the SEC free of charge through our website at www.veronapharma.com in the “Investors” section as soon as reasonably practicable after we electronically file such material with, or furnish such material to, the SEC. The information contained in, or accessible through, our website does not constitute a part of this Annual Report.</w:t>
      </w:r>
    </w:p>
    <w:p>
      <w:pPr>
        <w:spacing w:after="0" w:line="134"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Investing in our ADSs involves a high degree of risk. You should carefully consider the risks described below, as well as the other information in this Annual Report, including our consolidated financial statements and the related notes and “Management’s Discussion and Analysis of Financial Condition and Results of Operations.”. The occurrence of any of the events or developments described below could adversely affect our business, financial condition, results of operations and growth prospects. In such an event, the market price of our ADSs could decline, and you may lose all or part of your investment. Additional risks and uncertainties not presently known to us or that we currently deem immaterial also may impair our business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and Industry</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 limited operating history and have never generated any product revenue.</w:t>
      </w:r>
    </w:p>
    <w:p>
      <w:pPr>
        <w:spacing w:after="0" w:line="7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are a clinical-stage biopharmaceutical company with a limited operating history, and have incurred significant operating losses since our inception. We had net losses of $55.6 million and $65.1 million for the years ended December 31, 2021 and 2020, respectively. As of December 31, 2021, we had an accumulated deficit of $263.7 million. Our losses have resulted principally from expenses incurred in research and development of ensifentrine, our only product candidate, and from general and administrative costs that we have incurred while building our business infrastructure. We expect to continue to incur significant operating losses for the foreseeable future as we expand our research and development efforts, advance our clinical development of ensifentrine, and seek to obtain regulatory approval for and commercialize ensifentrine. We anticipate that our expenses will increase substantially as we:</w:t>
      </w:r>
    </w:p>
    <w:p>
      <w:pPr>
        <w:spacing w:after="0" w:line="49" w:lineRule="exact"/>
        <w:rPr>
          <w:sz w:val="20"/>
          <w:szCs w:val="20"/>
          <w:color w:val="auto"/>
        </w:rPr>
      </w:pPr>
    </w:p>
    <w:p>
      <w:pPr>
        <w:ind w:left="260" w:hanging="255"/>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conduct Phase 3 clinical trials of nebulized ensifentrine for the treatment of chronic obstructive pulmonary disease (“COPD”);</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initiate and conduct clinical trials of ensifentrine for the treatment of cystic fibrosis (“CF”), asthma or other indications;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28" w:name="page29"/>
    <w:bookmarkEnd w:id="28"/>
    <w:p>
      <w:pPr>
        <w:ind w:left="260" w:hanging="25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initiate and conduct other future clinical trials in other formulations, for the treatment of COPD or other indications;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initiate and conduct clinical pharmacology studies with any formulation;</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seek to discover and develop or in-license additional respiratory product candidates;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conduct pre-clinical studies to support ensifentrine and potentially other future product candidates;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develop the manufacturing processes and produce clinical and commercial supplies of the ensifentrine active pharmaceutical ingredient and formulated drug products derived from it;</w:t>
      </w:r>
    </w:p>
    <w:p>
      <w:pPr>
        <w:spacing w:after="0" w:line="83" w:lineRule="exact"/>
        <w:rPr>
          <w:rFonts w:ascii="Arial" w:cs="Arial" w:eastAsia="Arial" w:hAnsi="Arial"/>
          <w:sz w:val="13"/>
          <w:szCs w:val="13"/>
          <w:color w:val="auto"/>
        </w:rPr>
      </w:pPr>
    </w:p>
    <w:p>
      <w:pPr>
        <w:ind w:left="260" w:hanging="25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seek regulatory approvals of ensifentrine;</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3"/>
        </w:numPr>
        <w:rPr>
          <w:rFonts w:ascii="Arial" w:cs="Arial" w:eastAsia="Arial" w:hAnsi="Arial"/>
          <w:sz w:val="14"/>
          <w:szCs w:val="14"/>
          <w:color w:val="auto"/>
        </w:rPr>
      </w:pPr>
      <w:r>
        <w:rPr>
          <w:rFonts w:ascii="Arial" w:cs="Arial" w:eastAsia="Arial" w:hAnsi="Arial"/>
          <w:sz w:val="14"/>
          <w:szCs w:val="14"/>
          <w:color w:val="auto"/>
        </w:rPr>
        <w:t>establish commercial infrastructure to support the potential commercialization of ensifentrine, including sales, marketing, operations, reimbursement and distribution infrastructure and scale-up manufacturing capabilities to commercialize ensifentrine, if approved;</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maintain, expand and protect our intellectual property portfolio;</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secure, maintain or obtain freedom to operate for our in-licensed technologies and products;</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3"/>
        </w:numPr>
        <w:rPr>
          <w:rFonts w:ascii="Arial" w:cs="Arial" w:eastAsia="Arial" w:hAnsi="Arial"/>
          <w:sz w:val="14"/>
          <w:szCs w:val="14"/>
          <w:color w:val="auto"/>
        </w:rPr>
      </w:pPr>
      <w:r>
        <w:rPr>
          <w:rFonts w:ascii="Arial" w:cs="Arial" w:eastAsia="Arial" w:hAnsi="Arial"/>
          <w:sz w:val="14"/>
          <w:szCs w:val="14"/>
          <w:color w:val="auto"/>
        </w:rPr>
        <w:t>add clinical, scientific, operational, financial and management information systems and personnel, including personnel to support our product development and potential future commercialization efforts; and</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expand our operations in the United States, the United Kingdom and possibly elsewhere.</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Our expenses may also increase substantially if we experience any delays or encounter any issues with any of the above, including, but not limited to, failed pre-clinical studies or clinical trials, complex results, safety issues or regulatory challenges.</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have devoted substantially all of our financial resources and efforts to the research and development and pre-clinical studies and clinical trials of ensifentrine. We are continuing development of ensifentrine, and we have not completed development of any product candidate or any drugs.</w:t>
      </w:r>
    </w:p>
    <w:p>
      <w:pPr>
        <w:spacing w:after="0" w:line="48"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To become and remain profitable, we must succeed in developing, and eventually commercializing, products that generate significant revenue. This will require us to be successful in a range of challenging activities, including completing clinical trials of ensifentrine, discovering and developing additional product candidates, obtaining regulatory approval for ensifentrine and any future product candidates that successfully complete clinical trials, establishing manufacturing, commercial and marketing capabilities and ultimately distributing and selling any products for which we may obtain regulatory approval. We are only in the preliminary stages of many of these activities. We may never succeed in these activities and, even if we do, we may never generate revenue that is significant enough to achieve profitability.</w:t>
      </w:r>
    </w:p>
    <w:p>
      <w:pPr>
        <w:spacing w:after="0" w:line="56"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FDA, the European Medicines Agency (“EMA”), or other regulatory authorities to perform studies in addition to those we currently anticipate, or if there are any delays in completing our clinical trials or the development of ensifentrine or any other product candidates, our expenses could increase and revenue could be further delayed.</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Even if we do generate product royalties or product sales, we may never achieve or sustain profitability on a quarterly or annual basis. Our failure to sustain profitability would depress the market price of our ADSs and could impair our ability to raise capital, expand our business, diversify our product offerings or continue our operations. A decline in the market price of our ADSs also could cause our ADS holders to lose all or a part of their investment.</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b w:val="1"/>
          <w:bCs w:val="1"/>
          <w:i w:val="1"/>
          <w:iCs w:val="1"/>
          <w:color w:val="auto"/>
        </w:rPr>
        <w:t>We will need additional funding to complete development of any future product candidates, or development of other formulations or target indications of ensifentrine, and to commercialize our products, including ensifentrine, if approved. If we are unable to raise capital when needed, we could be forced to delay, reduce or eliminate our product development programs or commercialization efforts.</w:t>
      </w:r>
    </w:p>
    <w:p>
      <w:pPr>
        <w:spacing w:after="0" w:line="54"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We expect our expenses to increase in connection with our ongoing and planned activities, particularly as we conduct our ongoing clinical trials of ensifentrine, and develop ensifentrine for other indications. In addition, if we obtain regulatory approval for ensifentrine or any other product candidates, we expect to incur significant commercialization expenses related to activities including product positioning studies, product manufacturing, medical affairs, marketing, sales and distribution. Furthermore, we expect to incur ongoing costs associated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29" w:name="page30"/>
    <w:bookmarkEnd w:id="29"/>
    <w:p>
      <w:pPr>
        <w:jc w:val="both"/>
        <w:spacing w:after="0" w:line="237" w:lineRule="auto"/>
        <w:rPr>
          <w:sz w:val="20"/>
          <w:szCs w:val="20"/>
          <w:color w:val="auto"/>
        </w:rPr>
      </w:pPr>
      <w:r>
        <w:rPr>
          <w:rFonts w:ascii="Arial" w:cs="Arial" w:eastAsia="Arial" w:hAnsi="Arial"/>
          <w:sz w:val="14"/>
          <w:szCs w:val="14"/>
          <w:color w:val="auto"/>
        </w:rPr>
        <w:t>operating as a public company in the United States and maintaining a listing on the Nasdaq Global Market, or Nasdaq.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54"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If we obtain regulatory approval for ensifentrine, we estimate that our existing cash resources and short-term investments will not be sufficient to commercialize ensifentrine. We will require additional funds to conduct any post-marketing studies to support the commercial positioning of ensifentrine for the treatment of COPD, if regulatory approval is received. We have based this estimate on assumptions that may prove to be incorrect, and we could use our available capital resources sooner than we currently expect. In addition,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Our future capital requirements will depend on many factors, including:</w:t>
      </w:r>
    </w:p>
    <w:p>
      <w:pPr>
        <w:spacing w:after="0" w:line="72" w:lineRule="exact"/>
        <w:rPr>
          <w:sz w:val="20"/>
          <w:szCs w:val="20"/>
          <w:color w:val="auto"/>
        </w:rPr>
      </w:pPr>
    </w:p>
    <w:p>
      <w:pPr>
        <w:ind w:left="260" w:hanging="25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costs, progress and results of our ongoing Phase 3 clinical trials for the maintenance treatment of COPD;</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costs, timing and outcome of the regulatory review of ensifentrine, including any post-marketing studies that could be required by regulatory authorities, if regulatory approval is received;</w:t>
      </w:r>
    </w:p>
    <w:p>
      <w:pPr>
        <w:spacing w:after="0" w:line="83" w:lineRule="exact"/>
        <w:rPr>
          <w:rFonts w:ascii="Arial" w:cs="Arial" w:eastAsia="Arial" w:hAnsi="Arial"/>
          <w:sz w:val="13"/>
          <w:szCs w:val="13"/>
          <w:color w:val="auto"/>
        </w:rPr>
      </w:pPr>
    </w:p>
    <w:p>
      <w:pPr>
        <w:ind w:left="260" w:hanging="25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cost, progress and results of any other studies required to support the commercial positioning of ensifentrine for the treatment of COPD, if regulatory approval is received;</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cost, progress and results of any clinical trials for the treatment of CF, asthma or other indications;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cost of manufacturing clinical and, if approved, commercial supplies of the ensifentrine active ingredient and derived formulated drug products;</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scope, progress, results and costs of pre-clinical development, laboratory testing and clinical trials for ensifentrine in other indications and of the development of DPI and pMDI formulations of ensifentrine for the maintenance treatment of COPD and potentially asthma and other respiratory diseases;</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costs, timing and outcome of potential future commercialization activities, including manufacturing, marketing, sales and distribution, for ensifentrine;</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timing and amount of revenue, if any, received from commercial sales of ensifentrine;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sales price and availability of adequate third-party coverage and reimbursement for ensifentrine;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effect of competing technological and market developments; and</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extent to which we acquire or invest in businesses, products and technologies, including entering into licensing or collaboration arrangements for ensifentrine, although we currently have no commitments or agreements to complete any such transactions.</w:t>
      </w:r>
    </w:p>
    <w:p>
      <w:pPr>
        <w:spacing w:after="0" w:line="48"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Any additional fundraising efforts may divert our management from their day-to-day activities, which may adversely affect our ability to develop and commercialize ensifentrine. In addition, we cannot guarantee that future financing will be available in sufficient amounts or on terms acceptable to us, if at all. Moreover, the terms of any financing may adversely affect our business, the holdings or the rights of our shareholders, or the value of our ordinary shares or ADSs.</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If we are unable to obtain funding on a timely basis, we may be required to significantly curtail, delay or discontinue our research and development programs relating to ensifentrine or any commercialization efforts, be unable to expand our operations, or be unable to otherwise capitalize on our business opportunities, as desired, which could harm our business and potentially cause us to discontinue operations.</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b w:val="1"/>
          <w:bCs w:val="1"/>
          <w:i w:val="1"/>
          <w:iCs w:val="1"/>
          <w:color w:val="auto"/>
        </w:rPr>
        <w:t>We depend solely on the success of ensifentrine, our only product candidate under development. We cannot give any assurance that ensifentrine will receive regulatory approval for any indication, which is necessary before it can be commercialized. If we, and any collaborators with whom we have entered or may enter into agreements for the development and commercialization of ensifentrine, are unable to commercialize ensifentrine,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i w:val="1"/>
          <w:iCs w:val="1"/>
          <w:color w:val="auto"/>
        </w:rPr>
        <w:t>experience significant delays in doing so, our ability to generate revenue and our financial condition will be adversely affected.</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We do not currently generate any revenues from sales of any products, and we may never be able to develop or commercialize a marketable product. We have invested substantially all of our efforts and financial resources in the development of ensifentrine, and we do not have any other product candidate currently under development. Our ability to generate royalty and product revenues, which we do not expect will occur for at least the next several years, if ever, will depend heavily on the successful development and eventual commercialization of ensifentrine, if approved, which may never occur. Ensifentrine will require additional clinical development, management of clinical, pre-clinical and manufacturing activities, regulatory approval in multiple jurisdictions, procurement of manufacturing supply, commercialization, substantial additional investment and significant marketing efforts before we generate any revenues from product sales. We are not permitted to market or promote ensifentrine or any product candidates in the United States, Europe or other countries before we receive regulatory approval from the FDA, the European Commission or comparable foreign regulatory authorities, and we may never receive such regulatory approval for ensifentrine or any future product candidate. We have not submitted an NDA to the FDA, a marketing authorization application (“MAA”) to the EMA or comparable applications to other regulatory authorities. The success of ensifentrine will depend on many factors, including the following:</w:t>
      </w:r>
    </w:p>
    <w:p>
      <w:pPr>
        <w:spacing w:after="0" w:line="40" w:lineRule="exact"/>
        <w:rPr>
          <w:sz w:val="20"/>
          <w:szCs w:val="20"/>
          <w:color w:val="auto"/>
        </w:rPr>
      </w:pPr>
    </w:p>
    <w:p>
      <w:pPr>
        <w:ind w:left="260" w:hanging="255"/>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may not be able to demonstrate that ensifentrine is safe and effective as a treatment for our targeted indications to the satisfaction of the applicable regulatory authorities;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applicable regulatory authorities may require additional pre-clinical or clinical trials, which would increase our costs and prolong our development;</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results of clinical trials of ensifentrine may not meet the level of statistical or clinical significance required by the applicable regulatory authorities for marketing approval;</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applicable regulatory authorities may disagree with the number, design, size, conduct or implementation of our planned clinical trials;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contract research organizations (“CROs”) that we retain to conduct clinical trials may take actions outside of our control that materially adversely impact our clinical trials;</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applicable regulatory authorities may not find the data from pre-clinical studies and clinical trials sufficient to demonstrate that the clinical and other benefits of ensifentrine outweigh its safety risks or may disagree with our interpretation of data;</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ability to demonstrate a non-clinical safety profile that is acceptable to the applicable regulatory authorities;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unexpected operational or clinical issues may prevent completion or interpretation of clinical study results;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unexpected manufacturing issues, product performance issues or stability issues may delay or otherwise adversely affect the progress of our clinical development program;</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applicable regulatory authorities may not accept data generated at our clinical trial sites;</w:t>
      </w:r>
    </w:p>
    <w:p>
      <w:pPr>
        <w:spacing w:after="0" w:line="72" w:lineRule="exact"/>
        <w:rPr>
          <w:rFonts w:ascii="Arial" w:cs="Arial" w:eastAsia="Arial" w:hAnsi="Arial"/>
          <w:sz w:val="14"/>
          <w:szCs w:val="14"/>
          <w:color w:val="auto"/>
        </w:rPr>
      </w:pPr>
    </w:p>
    <w:p>
      <w:pPr>
        <w:jc w:val="both"/>
        <w:ind w:left="260" w:hanging="255"/>
        <w:spacing w:after="0" w:line="237" w:lineRule="auto"/>
        <w:tabs>
          <w:tab w:leader="none" w:pos="256" w:val="left"/>
        </w:tabs>
        <w:numPr>
          <w:ilvl w:val="0"/>
          <w:numId w:val="15"/>
        </w:numPr>
        <w:rPr>
          <w:rFonts w:ascii="Arial" w:cs="Arial" w:eastAsia="Arial" w:hAnsi="Arial"/>
          <w:sz w:val="14"/>
          <w:szCs w:val="14"/>
          <w:color w:val="auto"/>
        </w:rPr>
      </w:pPr>
      <w:r>
        <w:rPr>
          <w:rFonts w:ascii="Arial" w:cs="Arial" w:eastAsia="Arial" w:hAnsi="Arial"/>
          <w:sz w:val="14"/>
          <w:szCs w:val="14"/>
          <w:color w:val="auto"/>
        </w:rPr>
        <w:t>if we submit an NDA to the FDA,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53" w:lineRule="exact"/>
        <w:rPr>
          <w:rFonts w:ascii="Arial" w:cs="Arial" w:eastAsia="Arial" w:hAnsi="Arial"/>
          <w:sz w:val="14"/>
          <w:szCs w:val="14"/>
          <w:color w:val="auto"/>
        </w:rPr>
      </w:pPr>
    </w:p>
    <w:p>
      <w:pPr>
        <w:ind w:left="260" w:hanging="255"/>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applicable regulatory authorities may require development of a risk evaluation and mitigation strategy, or REMS, or similar risk management measures as a condition of approval;</w:t>
      </w:r>
    </w:p>
    <w:p>
      <w:pPr>
        <w:spacing w:after="0" w:line="83" w:lineRule="exact"/>
        <w:rPr>
          <w:rFonts w:ascii="Arial" w:cs="Arial" w:eastAsia="Arial" w:hAnsi="Arial"/>
          <w:sz w:val="13"/>
          <w:szCs w:val="13"/>
          <w:color w:val="auto"/>
        </w:rPr>
      </w:pPr>
    </w:p>
    <w:p>
      <w:pPr>
        <w:ind w:left="260" w:hanging="255"/>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applicable regulatory authorities may identify deficiencies in the manufacturing processes or facilities of our third-party manufacturers;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applicable regulatory authorities may change their approval policies or adopt new regulations;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if we license ensifentrine to others, the efforts of those parties in completing clinical trials of, receiving regulatory approval for, and commercializing ensifentrine;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through our clinical trials, we may discover factors that limit the commercial viability of ensifentrine or make the commercialization of ensifentrine unfeasible;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31" w:name="page32"/>
    <w:bookmarkEnd w:id="31"/>
    <w:p>
      <w:pPr>
        <w:ind w:left="260" w:hanging="255"/>
        <w:spacing w:after="0" w:line="249" w:lineRule="auto"/>
        <w:tabs>
          <w:tab w:leader="none" w:pos="256" w:val="left"/>
        </w:tabs>
        <w:numPr>
          <w:ilvl w:val="0"/>
          <w:numId w:val="16"/>
        </w:numPr>
        <w:rPr>
          <w:rFonts w:ascii="Arial" w:cs="Arial" w:eastAsia="Arial" w:hAnsi="Arial"/>
          <w:sz w:val="14"/>
          <w:szCs w:val="14"/>
          <w:color w:val="auto"/>
        </w:rPr>
      </w:pPr>
      <w:r>
        <w:rPr>
          <w:rFonts w:ascii="Arial" w:cs="Arial" w:eastAsia="Arial" w:hAnsi="Arial"/>
          <w:sz w:val="14"/>
          <w:szCs w:val="14"/>
          <w:color w:val="auto"/>
        </w:rPr>
        <w:t>if we retain rights under a collaboration agreement for ensifentrine, our efforts in completing pre-clinical studies and clinical trials of, receiving marketing approvals for, establishing commercial manufacturing capabilities for, and commercializing ensifentrine; and</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6"/>
        </w:numPr>
        <w:rPr>
          <w:rFonts w:ascii="Arial" w:cs="Arial" w:eastAsia="Arial" w:hAnsi="Arial"/>
          <w:sz w:val="14"/>
          <w:szCs w:val="14"/>
          <w:color w:val="auto"/>
        </w:rPr>
      </w:pPr>
      <w:r>
        <w:rPr>
          <w:rFonts w:ascii="Arial" w:cs="Arial" w:eastAsia="Arial" w:hAnsi="Arial"/>
          <w:sz w:val="14"/>
          <w:szCs w:val="14"/>
          <w:color w:val="auto"/>
        </w:rPr>
        <w:t>if approved, acceptance of ensifentrine by patients, the medical community and third-party payors, effectively competing with other therapies, a continued acceptable safety profile following approval and qualifying for, maintaining, enforcing and defending our intellectual property rights and claims.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An unfavorable outcome in any of these factors could result in our experiencing significant delays or an inability to successfully commercialize ensifentrine.</w:t>
      </w:r>
    </w:p>
    <w:p>
      <w:pPr>
        <w:spacing w:after="0" w:line="72"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We cannot be certain that ensifentrine or any future product candidates will be successful in clinical trials or receive regulatory approval. Further, ensifentrine or any future product candidates may not receive regulatory approval even if they are successful in clinical trials. If we do not receive regulatory approvals for ensifentrine or any future product candidates, we may not be able to continue our operations. Even if we successfully obtain regulatory approvals to manufacture and market ensifentrine or any future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56"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We plan to seek regulatory approval to commercialize ensifentrine both in the United States and the European Union (“EU”), and potentially in additional foreign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of ensifentrine, and we cannot predict success in these jurisdictions.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COVID-19 pandemic has and may continue to adversely impact our business, including our preclinical studies and clinical trials.</w:t>
      </w:r>
    </w:p>
    <w:p>
      <w:pPr>
        <w:spacing w:after="0" w:line="7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COVID-19 pandemic has spread globally including in countries where we have operations or planned or ongoing preclinical studies and clinical trials. Governments from many countries have established stay at home measures including, among other things, the prohibition of public gatherings and restrictions on domestic and international travel. The pandemic and government measures taken in response have also had a significant impact, both direct and indirect, on businesses and commerce, as worker shortages continue to occur; supply chains are being disrupted; facilities and production have been suspended; and demand for certain goods and services, such as medical services and supplies, has spiked, while demand for other goods and services, such as travel, has fallen. In response to the spread of COVID-19, we have closed our principal office in the U.K. and our office in the U.S. with all employees continuing their work outside of our offices. As our ENHANCE clinical trial program continues we are actively monitoring the potential impact of the COVID-19 pandemic on the program cost and timelines.</w:t>
      </w:r>
    </w:p>
    <w:p>
      <w:pPr>
        <w:spacing w:after="0" w:line="49" w:lineRule="exact"/>
        <w:rPr>
          <w:sz w:val="20"/>
          <w:szCs w:val="20"/>
          <w:color w:val="auto"/>
        </w:rPr>
      </w:pPr>
    </w:p>
    <w:p>
      <w:pPr>
        <w:ind w:left="260" w:hanging="255"/>
        <w:spacing w:after="0" w:line="249" w:lineRule="auto"/>
        <w:tabs>
          <w:tab w:leader="none" w:pos="2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If the COVID-19 pandemic continues for a significant length of time, we may experience additional disruptions that could severely impact our business, preclinical studies and clinical trials, including in particular the cost and timelines of our Phase 3 program and:</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delays in receiving approval from local regulatory authorities to initiate our planned clinical trials in certain countries;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delays or difficulties in enrolling patients in our clinical trials;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delays or difficulties in clinical site initiation, active involvement and retention, including difficulties in recruiting clinical site investigators and clinical site staff;</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disruption to manufacturers that could affect the supply and/or delivery of drug product for our clinical trials or difficulty sourcing key components necessary for the manufacture of ensifentrine drug substance and its derived formulated products;</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delays in clinical sites receiving the supplies and materials needed to conduct our clinical trials, including the potential for COVID-19 test shortages and interruption in global shipping that may affect the transport of clinical trial materials and laboratory samples;</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changes in local regulations as part of a response to the COVID-19 pandemic which may require us to undertake additional testing or change the ways in which our clinical trials are conducted, which may result in unexpected costs, or to discontinue such clinical trials altogether;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32" w:name="page33"/>
    <w:bookmarkEnd w:id="32"/>
    <w:p>
      <w:pPr>
        <w:ind w:left="260" w:hanging="255"/>
        <w:spacing w:after="0" w:line="249" w:lineRule="auto"/>
        <w:tabs>
          <w:tab w:leader="none" w:pos="256" w:val="left"/>
        </w:tabs>
        <w:numPr>
          <w:ilvl w:val="0"/>
          <w:numId w:val="18"/>
        </w:numPr>
        <w:rPr>
          <w:rFonts w:ascii="Arial" w:cs="Arial" w:eastAsia="Arial" w:hAnsi="Arial"/>
          <w:sz w:val="14"/>
          <w:szCs w:val="14"/>
          <w:color w:val="auto"/>
        </w:rPr>
      </w:pPr>
      <w:r>
        <w:rPr>
          <w:rFonts w:ascii="Arial" w:cs="Arial" w:eastAsia="Arial" w:hAnsi="Arial"/>
          <w:sz w:val="14"/>
          <w:szCs w:val="14"/>
          <w:color w:val="auto"/>
        </w:rPr>
        <w:t>diversion of healthcare resources away from the conduct of clinical trials, including the diversion of hospitals serving as our clinical trial sites and hospital staff supporting the conduct of our clinical trials;</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8"/>
        </w:numPr>
        <w:rPr>
          <w:rFonts w:ascii="Arial" w:cs="Arial" w:eastAsia="Arial" w:hAnsi="Arial"/>
          <w:sz w:val="14"/>
          <w:szCs w:val="14"/>
          <w:color w:val="auto"/>
        </w:rPr>
      </w:pPr>
      <w:r>
        <w:rPr>
          <w:rFonts w:ascii="Arial" w:cs="Arial" w:eastAsia="Arial" w:hAnsi="Arial"/>
          <w:sz w:val="14"/>
          <w:szCs w:val="14"/>
          <w:color w:val="auto"/>
        </w:rPr>
        <w:t>risk that participants enrolled in our clinical trials will contract COVID-19 while the clinical trial is ongoing, which could impact the results of the clinical trial, including by increasing the amount of missing data or the number of observed adverse events;</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interruptions or delays in preclinical studies due to restricted or limited operations at our third party research and development services;</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delays in necessary interactions with local regulators, ethics committees and other important agencies and contractors due to limitations in employee resources or forced furlough of government employees;</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8"/>
        </w:numPr>
        <w:rPr>
          <w:rFonts w:ascii="Arial" w:cs="Arial" w:eastAsia="Arial" w:hAnsi="Arial"/>
          <w:sz w:val="14"/>
          <w:szCs w:val="14"/>
          <w:color w:val="auto"/>
        </w:rPr>
      </w:pPr>
      <w:r>
        <w:rPr>
          <w:rFonts w:ascii="Arial" w:cs="Arial" w:eastAsia="Arial" w:hAnsi="Arial"/>
          <w:sz w:val="14"/>
          <w:szCs w:val="14"/>
          <w:color w:val="auto"/>
        </w:rPr>
        <w:t>diversion of or limitations on employee resources that would otherwise be focused on the operations of our business and the conduct of our clinical trials, including because of sickness of employees or their families or the desire of employees to avoid contact with large groups of people;</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8"/>
        </w:numPr>
        <w:rPr>
          <w:rFonts w:ascii="Arial" w:cs="Arial" w:eastAsia="Arial" w:hAnsi="Arial"/>
          <w:sz w:val="14"/>
          <w:szCs w:val="14"/>
          <w:color w:val="auto"/>
        </w:rPr>
      </w:pPr>
      <w:r>
        <w:rPr>
          <w:rFonts w:ascii="Arial" w:cs="Arial" w:eastAsia="Arial" w:hAnsi="Arial"/>
          <w:sz w:val="14"/>
          <w:szCs w:val="14"/>
          <w:color w:val="auto"/>
        </w:rPr>
        <w:t>higher clinical trial insurance costs and/or delays in operations at insurance agencies, which may impact timelines for the issuance of insurance coverage policies and local coverage determinations delays; and</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refusal of the FDA, the EMA or comparable foreign regulatory authorities to accept data from clinical trials in affected geographies.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Health regulatory agencies globally may also experience disruptions in their operations as a result of the COVID-19 pandemic. The FDA, EMA and comparable foreign regulatory agencies may have slower response times or be under-resourced to review or meet to discuss our regulatory submissions, or to continue to monitor our clinical trials and, as a result, review, inspection and other timelines may be materially delayed.</w:t>
      </w:r>
    </w:p>
    <w:p>
      <w:pPr>
        <w:spacing w:after="0" w:line="54"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 COVID-19 pandemic continues to rapidly evolve. The extent to which the pandemic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business closures or business disruptions, the availability and efficacy of vaccines, and the effectiveness of other actions taken to contain and treat the disease.</w:t>
      </w:r>
    </w:p>
    <w:p>
      <w:pPr>
        <w:spacing w:after="0" w:line="4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While the potential economic impact brought by and the duration of the COVID-19 pandemic may be difficult to assess or predict, the widespread pandemic has resulted in, and may continue to result in, significant disruption of global financial markets, reducing our ability to access capital, which could in the future negatively affect our liquidity. In addition, the recession or market correction resulting from the spread of COVID-19 could materially affect our business.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limited operating history may make it difficult for investors to evaluate the success of our business to date and to assess our future viability.</w:t>
      </w:r>
    </w:p>
    <w:p>
      <w:pPr>
        <w:spacing w:after="0" w:line="7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Since our inception in 2005, we have devoted substantially all of our resources to developing ensifentrine, building our intellectual property portfolio, developing our supply chain, planning our business, raising capital and providing general and administrative support for these operations. We have completed multiple Phase 1 and 2 clinical trials for ensifentrine, but we have not yet demonstrated our ability to successfully complete any Phase 3 or other registrational clinical trials, obtain regulatory approvals, manufacture a commercial-scale product or arrange for a third party to do so on our behalf or conduct sales and marketing activities necessary for successful product commercialization. Additionally, we are not profitable and have incurred losses in each year since our inception, and we expect our financial condition and operating results to continue to fluctuate significantly from quarter to quarter and year to year due to a variety of factors, many of which are beyond our control. Consequently, any predictions investors make about our future success or viability may not be as accurate as they could be if we had a longer operating history.</w:t>
      </w:r>
    </w:p>
    <w:p>
      <w:pPr>
        <w:spacing w:after="0" w:line="4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November 2020, we and Verona Pharma, Inc. (“Verona U.S.”) entered into a loan and security agreement, as amended (the “Loan Agreement”), with Silicon Valley Bank (“SVB”), pursuant to which a term loan facility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33" w:name="page34"/>
    <w:bookmarkEnd w:id="33"/>
    <w:p>
      <w:pPr>
        <w:jc w:val="both"/>
        <w:spacing w:after="0" w:line="237" w:lineRule="auto"/>
        <w:rPr>
          <w:sz w:val="20"/>
          <w:szCs w:val="20"/>
          <w:color w:val="auto"/>
        </w:rPr>
      </w:pPr>
      <w:r>
        <w:rPr>
          <w:rFonts w:ascii="Arial" w:cs="Arial" w:eastAsia="Arial" w:hAnsi="Arial"/>
          <w:sz w:val="14"/>
          <w:szCs w:val="14"/>
          <w:color w:val="auto"/>
        </w:rPr>
        <w:t>aggregate amount of up to $30.0 million (the “Term Loan”) is available to us in three tranches. We received the first tranche of $5.0 million at closing. Only upon satisfaction of certain clinical milestones relating to ensifentrine and subject to customary terms and conditions will the following be available to the Company: (i) the second tranche will allow us to borrow an additional amount up to $10.0 million through September 30, 2022, and (ii) the third tranche will allow us to borrow an additional amount up to $15.0 million through June 30, 2023.</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Term Loan is secured by a lien on substantially all of our and Verona U.S.’s assets, other than the equity interests of Verona U.S. and other than intellectual property, provided that such lien on substantially all assets includes any rights to payments and proceeds from the sale, licensing or disposition of intellectual property. We have also granted SVB a negative pledge with respect to our intellectual property.</w:t>
      </w:r>
    </w:p>
    <w:p>
      <w:pPr>
        <w:spacing w:after="0" w:line="5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Loan Agreement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Loan Agreement also contains other customary provisions, such as expense reimbursement, non-disclosure obligations as well as indemnification rights for the benefit of SVB. The Loan Agreement includes a minimum cash covenant triggered when our consolidated cash and cash equivalents drop below $45.0 million at any time after the occurrence of certain clinical and/or regulatory event. Upon such trigger, we would be required cash collateralize an amount equal to the outstanding obligations to SVB plus the amount of any prepayment penalty and a final payment which would be due in the event the Loan Agreement were prepaid in full with respect to the Term Loans advanced as of such time. Any such cash collateralization could have a material adverse impact on our liquidity and financial condition.</w:t>
      </w:r>
    </w:p>
    <w:p>
      <w:pPr>
        <w:spacing w:after="0" w:line="49"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The events of default under the Loan Agreement include, but are not limited to: (i) insolvency, liquidation, bankruptcy or similar events; (ii) failure to pay any debts due under the Loan Agreement or other loan documents on a timely basis; (iii) failure to observe certain covenants under the Loan Agreement; (iv) occurrence of a material adverse effect; (v) material misrepresentation by us; (vi) occurrence of any default under any other agreement involving material indebtedness; and (vii) certain material money judgments. If we default under the Loan Agreement, SVB may accelerate all of our repayment obligations and take control of our and Verona U.S.’s pledged assets, potentially requiring us to renegotiate our agreement on terms less favorable to us or to immediately cease operations. Further, if we are liquidated, the lenders’ right to repayment would be senior to the rights of our ADS holders or shareholders to receive any proceeds from the liquidation. Any declaration by SVB of an event of default could significantly harm our business and prospects and could cause the price of our ADSs to decline. If we raise any additional debt financing, the terms of such additional debt could further restrict our operating and financial flexibility.</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Raising additional capital may cause dilution to our holders, restrict our operations or require us to relinquish rights to our technologies or product candidates.</w:t>
      </w:r>
    </w:p>
    <w:p>
      <w:pPr>
        <w:spacing w:after="0" w:line="7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Until such time, if ever, as we can generate substantial product revenues, we expect to finance our cash needs through a combination of securities offerings, debt financings, license and collaboration agreements and research grants. If we raise capital through securities offerings, the ownership interest of our ADS holders and shareholders will be diluted, and the terms of these securities may include liquidation or other preferences that adversely affect these holders’ rights as holders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or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ADS holders and shareholders, and may cause the market price of our ADSs to decline.</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may become subject to economic, political, regulatory and other risks associated with international operations.</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As a company based in the United Kingdom and listed on Nasdaq, our business is subject to risks associated with conducting business internationally. Many of our suppliers and collaborative and clinical trial relationships are located outside the United Kingdom and the United States. Accordingly, our future results could be harmed by a variety of factors,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34" w:name="page35"/>
    <w:bookmarkEnd w:id="34"/>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economic weakness, including inflation, or political instability in particular non-U.S. economies and markets;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differing regulatory requirements for drug approvals in non-U.S. countries;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differing jurisdictions could present different issues for securing, maintaining or obtaining freedom to operate in such jurisdictions;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potentially reduced protection for intellectual property rights;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difficulties in compliance with non-U.S. laws and regulations;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in non-U.S. regulations and customs, tariffs and trade barriers;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in non-U.S. currency exchange rates of the euro and currency controls;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in a specific country’s or region’s political or economic environment;</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trade protection measures, import or export licensing requirements or other restrictive actions by U.S. or non-U.S. governments;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differing reimbursement regimes and price controls in certain non-U.S. markets;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negative consequences from changes in tax laws;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compliance with tax, employment, immigration and labor laws for employees living or traveling abroad;</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workforce uncertainty in countries where labor unrest is more common than in the United States;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difficulties associated with staffing and managing international operations, including differing labor relations;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production shortages resulting from any events affecting raw material supply or manufacturing capabilities abroad; and</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9"/>
        </w:numPr>
        <w:rPr>
          <w:rFonts w:ascii="Arial" w:cs="Arial" w:eastAsia="Arial" w:hAnsi="Arial"/>
          <w:sz w:val="14"/>
          <w:szCs w:val="14"/>
          <w:color w:val="auto"/>
        </w:rPr>
      </w:pPr>
      <w:r>
        <w:rPr>
          <w:rFonts w:ascii="Arial" w:cs="Arial" w:eastAsia="Arial" w:hAnsi="Arial"/>
          <w:sz w:val="14"/>
          <w:szCs w:val="14"/>
          <w:color w:val="auto"/>
        </w:rPr>
        <w:t>business interruptions resulting from geopolitical actions, including war and terrorism, or natural disasters including earthquakes, typhoons, floods and fires, or public health emergencies, such as the COVID-19 pandemic.</w:t>
      </w:r>
    </w:p>
    <w:p>
      <w:pPr>
        <w:spacing w:after="0" w:line="48"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Our Phase 3 ENHANCE-1 clinical program is being conducted at a number of clinical trial sites in Russia. If the U.S. or other countries impose further sanctions or other restrictions as a result of the current conflict between Russia and Ukraine, we may encounter problems transferring funds into Russia to pay the clinical trial sites, supplying ensifentrine and equipment to trial sites, or which would increase the cost and timelines of our Phase 3 program.</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Exchange rate fluctuations may materially affect our results of operations and financial condition.</w:t>
      </w:r>
    </w:p>
    <w:p>
      <w:pPr>
        <w:spacing w:after="0" w:line="72"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Although we are based in the United Kingdom, our financial statements are denominated in U.S dollars and many of our business activities are carried out with partners outside the U.S. and United Kingdom and these transactions may be denominated in another currency. As a result, our business and the price of our ADSs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Development, Clinical Testing and Regulatory Approval</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48"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Our only product candidate, ensifentrine, is in clinical development. Clinical drug development is a lengthy and expensive process with uncertain timelines and uncertain outcomes. If clinical trials of ensifentrine are prolonged or delayed, or if ensifentrine in later stage clinical trials fails to show the desired safety and efficacy, we or our collaborators may be unable to obtain required regulatory approvals and be unable to commercialize ensifentrine on a timely basis, or at all.</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To obtain the requisite regulatory approvals to market and sell ensifentrine, we or any collaborator for ensifentrine must demonstrate through extensive pre-clinical studies and clinical trials that ensifentrine is safe and effective in humans. Clinical testing is expensive and can take many years to complete, and its outcome is inherently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35" w:name="page36"/>
    <w:bookmarkEnd w:id="35"/>
    <w:p>
      <w:pPr>
        <w:jc w:val="both"/>
        <w:spacing w:after="0" w:line="233" w:lineRule="auto"/>
        <w:rPr>
          <w:sz w:val="20"/>
          <w:szCs w:val="20"/>
          <w:color w:val="auto"/>
        </w:rPr>
      </w:pPr>
      <w:r>
        <w:rPr>
          <w:rFonts w:ascii="Arial" w:cs="Arial" w:eastAsia="Arial" w:hAnsi="Arial"/>
          <w:sz w:val="14"/>
          <w:szCs w:val="14"/>
          <w:color w:val="auto"/>
        </w:rPr>
        <w:t>Failure can occur at any time during the clinical trial process. The results of pre-clinical studies and early-stage clinical trials of ensifentrine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Our future clinical trial results may not be successful.</w:t>
      </w:r>
    </w:p>
    <w:p>
      <w:pPr>
        <w:spacing w:after="0" w:line="54"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We may experience delays in our ongoing clinical trials and we do not know whether planned clinical trials will begin on time, need to be redesigned, enroll patients on time or be completed on schedule, if at all. Our clinical trials can be delayed, suspended, or terminated, or the utility of data from these trials may be compromised, for a variety of reasons, including the following:</w:t>
      </w:r>
    </w:p>
    <w:p>
      <w:pPr>
        <w:spacing w:after="0" w:line="24" w:lineRule="exact"/>
        <w:rPr>
          <w:sz w:val="20"/>
          <w:szCs w:val="20"/>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inability to generate sufficient preclinical, toxicology or other in vivo or in vitro data to support the initiation or continuation of clinical trials;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delays in or failure to obtain regulatory agreement on clinical trial design or implementation, including dose and frequency of administration;</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delays in or failure to obtain regulatory authorization to commence a trial;</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inability of a CRO to meet their contracted obligations regarding subject enrollment, data collection, data monitoring, laboratory sample management, programming and analysis or other activities;</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delays in or failure to obtain institutional review board (“IRB”), or ethics committee approval at each site;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delays in or failure to recruit suitable patients to participate in a trial;</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failure to have patients complete a trial or return for post-treatment follow-up;</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clinical sites deviating from trial protocol or dropping out of a trial or committing gross misconduct or fraud;</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delays to the addition of new clinical trial sites;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inability to achieve or maintain double blinding of ensifentrine;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unexpected technical issues during manufacture of ensifentrine and the corresponding drug products;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variability in drug product performance and/or stability;</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discoveries that may reduce the commercial viability of ensifentrine;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inability to manufacture sufficient quantities of ensifentrine for use in clinical trials;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quality or stability of ensifentrine falling below acceptable standards for either safety or efficacy;</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third-party actions claiming infringement by ensifentrine in clinical trials and obtaining injunctions interfering with our progress;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business interruptions resulting from geo-political actions, including war and terrorism, or natural disasters including earthquakes, typhoons, floods and fires;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trade sanctions imposed by the United States or other governments impacting our ability to transfer money to certain countries, such as Russia, to pay clinical trials sites in those countries;</w:t>
      </w:r>
    </w:p>
    <w:p>
      <w:pPr>
        <w:spacing w:after="0" w:line="83" w:lineRule="exact"/>
        <w:rPr>
          <w:rFonts w:ascii="Arial" w:cs="Arial" w:eastAsia="Arial" w:hAnsi="Arial"/>
          <w:sz w:val="13"/>
          <w:szCs w:val="13"/>
          <w:color w:val="auto"/>
        </w:rPr>
      </w:pPr>
    </w:p>
    <w:p>
      <w:pPr>
        <w:ind w:left="260" w:hanging="255"/>
        <w:spacing w:after="0" w:line="249" w:lineRule="auto"/>
        <w:tabs>
          <w:tab w:leader="none" w:pos="256" w:val="left"/>
        </w:tabs>
        <w:numPr>
          <w:ilvl w:val="0"/>
          <w:numId w:val="20"/>
        </w:numPr>
        <w:rPr>
          <w:rFonts w:ascii="Arial" w:cs="Arial" w:eastAsia="Arial" w:hAnsi="Arial"/>
          <w:sz w:val="14"/>
          <w:szCs w:val="14"/>
          <w:color w:val="auto"/>
        </w:rPr>
      </w:pPr>
      <w:r>
        <w:rPr>
          <w:rFonts w:ascii="Arial" w:cs="Arial" w:eastAsia="Arial" w:hAnsi="Arial"/>
          <w:sz w:val="14"/>
          <w:szCs w:val="14"/>
          <w:color w:val="auto"/>
        </w:rPr>
        <w:t>safety or tolerability concerns causing us or our collaborators, as applicable, to suspend or terminate a trial if we or our collaborators find that the participants are being exposed to unacceptable health risks;</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changes in regulatory requirements, policies and guidelines;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lower than anticipated retention rates of patients and volunteers in clinical trials;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failure of our third-party research contractors to comply with regulatory requirements or to meet their contractual obligations to us in a timely manner, or at all; and</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difficulty in certain countries in identifying the sub-populations that we are trying to evaluate in a particular trial, which may delay enrollment.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36" w:name="page37"/>
    <w:bookmarkEnd w:id="36"/>
    <w:p>
      <w:pPr>
        <w:jc w:val="both"/>
        <w:spacing w:after="0" w:line="248" w:lineRule="auto"/>
        <w:rPr>
          <w:sz w:val="20"/>
          <w:szCs w:val="20"/>
          <w:color w:val="auto"/>
        </w:rPr>
      </w:pPr>
      <w:r>
        <w:rPr>
          <w:rFonts w:ascii="Arial" w:cs="Arial" w:eastAsia="Arial" w:hAnsi="Arial"/>
          <w:sz w:val="13"/>
          <w:szCs w:val="13"/>
          <w:color w:val="auto"/>
        </w:rPr>
        <w:t>In addition, disruptions caused by the COVID-19 pandemic may increase the likelihood that we encounter such difficulties or delays in initiating, enrolling, conducting or completing our planned and ongoing clinical trials. We could encounter delays if a clinical trial is suspended or terminated by us, by the IRBs of the institutions in which such trials are being conducted, by the Data Review Committee or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failure of our clinical trials to demonstrate adequate efficacy and safety, changes in governmental regulations or administrative actions or lack of adequate funding to continue the clinical trial.</w:t>
      </w:r>
    </w:p>
    <w:p>
      <w:pPr>
        <w:spacing w:after="0" w:line="4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study. The FDA or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 as the case may be, and may ultimately lead to the denial of marketing approval of ensifentrine.</w:t>
      </w:r>
    </w:p>
    <w:p>
      <w:pPr>
        <w:spacing w:after="0" w:line="4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If we experience delays in the completion of any clinical trial of ensifentrine or any clinical trial of ensifentrine is terminated, the commercial prospects of ensifentrine may be harmed, and our ability to generate product revenues from ensifentrine, if any, will be delayed. Moreover, any delays in completing our clinical trials will increase our costs, slow down the development and approval process of ensifentrine and jeopardize our ability to commence product sales and generate revenue, if any. Significant clinical trial delays could also allow our competitors to bring products to market before we do or shorten any periods during which we have the exclusive right to commercialize ensifentrine and could impair our ability to commercialize ensifentrine. In addition, many of the factors that cause, or lead to, a delay in the commencement or completion of clinical trials may also ultimately lead to the denial of regulatory approval of ensifentrine.</w:t>
      </w:r>
    </w:p>
    <w:p>
      <w:pPr>
        <w:spacing w:after="0" w:line="4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(or other ethics committees) at the medical institutions where the clinical trials are conducted. In addition, clinical trials must be conducted with supplies of ensifentrine produced under current good manufacturing practice, or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EU and the United States may subject us to further delays and expenses as a result of increased shipment costs, additional regulatory requirements and the engagement of non-EU and non-U.S. CROs, as well as expose us to risks associated with clinical investigators who are unknown to the FDA or the EMA, and different standards of diagnosis, screening and medical care.</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b w:val="1"/>
          <w:bCs w:val="1"/>
          <w:i w:val="1"/>
          <w:iCs w:val="1"/>
          <w:color w:val="auto"/>
        </w:rPr>
        <w:t>Ensifentrine may have serious adverse, undesirable or unacceptable side effects which may delay or prevent marketing approval. If such side effects are identified during the development of ensifentrine or following approval, if any, we may need to abandon our development of ensifentrine, the commercial profile of any approved label may be limited, or we may be subject to other significant negative consequences following marketing approval, if any.</w:t>
      </w:r>
    </w:p>
    <w:p>
      <w:pPr>
        <w:spacing w:after="0" w:line="5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Undesirable side effects that may be caused by ensifentrine could cause us or regulatory authorities to interrupt, delay or halt clinical trials and could result in a more restrictive label or the delay or denial of regulatory approval by the FDA or other comparable foreign authorities. 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37" w:name="page38"/>
    <w:bookmarkEnd w:id="37"/>
    <w:p>
      <w:pPr>
        <w:jc w:val="both"/>
        <w:spacing w:after="0" w:line="237" w:lineRule="auto"/>
        <w:rPr>
          <w:sz w:val="20"/>
          <w:szCs w:val="20"/>
          <w:color w:val="auto"/>
        </w:rPr>
      </w:pPr>
      <w:r>
        <w:rPr>
          <w:rFonts w:ascii="Arial" w:cs="Arial" w:eastAsia="Arial" w:hAnsi="Arial"/>
          <w:sz w:val="14"/>
          <w:szCs w:val="14"/>
          <w:color w:val="auto"/>
        </w:rPr>
        <w:t>reported by patients. Many times, side effects are only detectable after investigational products are tested in large-scale clinical trials or, in some cases, after they are made available to patients on a commercial scale following approval. We have completed 19 Phase 1 and 2 clinical trials of ensifentrine. In these trials, some patients have experienced mild to moderate adverse reactions, including headache, cough, worsening of COPD, nasopharyngitis and hypertension.</w:t>
      </w:r>
    </w:p>
    <w:p>
      <w:pPr>
        <w:spacing w:after="0" w:line="5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Results of our future clinical trials could reveal a high and unacceptable severity and prevalence of adverse side effects. In such an event, our trials could be suspended or terminated and the FDA or other comparable foreign regulatory authorities could order us to cease further development of or deny approval of ensifentrine for any or all targeted indications. The drug-related side effects could affect patient recruitment or the ability of enrolled patients to complete the trial or result in potential product liability claims. Additionally, if ensifentrine receives marketing approval and we or others later identify undesirable or unacceptable side effects caused by ensifentrine, a number of potentially significant negative consequences could result, including:</w:t>
      </w:r>
    </w:p>
    <w:p>
      <w:pPr>
        <w:spacing w:after="0" w:line="46" w:lineRule="exact"/>
        <w:rPr>
          <w:sz w:val="20"/>
          <w:szCs w:val="20"/>
          <w:color w:val="auto"/>
        </w:rPr>
      </w:pPr>
    </w:p>
    <w:p>
      <w:pPr>
        <w:ind w:left="260" w:hanging="255"/>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regulatory authorities may withdraw approvals of such products and require us to take ensifentrine off the market;</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regulatory authorities may require the addition of labeling statements, specific warnings, a contraindication or field alerts to physicians and pharmacies;</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regulatory authorities may require a medication guide outlining the risks of such side effects for distribution to patients, or that we implement a REMS plan or similar risk management measures to ensure that the benefits of ensifentrine outweigh its risks;</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may be required to change the way ensifentrine is administered, conduct additional clinical trials or change the labeling of ensifentrine;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may be subject to limitations on how we may promote ensifentrine;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sales of ensifentrine may decrease significantly;</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may be subject to litigation or product liability claims; and</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reputation may suffer.</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Any of these events could prevent us or any collaborators from achieving or maintaining market acceptance of ensifentrine or could substantially increase commercialization costs and expenses, which in turn could delay or prevent us from generating significant revenue from the sale of ensifentrine.</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successful in our efforts to develop ensifentrine for multiple indications, including asthma, CF or other respiratory diseases.</w:t>
      </w:r>
    </w:p>
    <w:p>
      <w:pPr>
        <w:spacing w:after="0" w:line="7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Part of our strategy is to continue to develop ensifentrine in indications other than COPD, such as CF and asthma. Although our research and development efforts to date have suggested that ensifentrine has the potential to treat CF and asthma, we may not be able to develop ensifentrine in these indications or any other disease, or development may not be successful. In addition, the potential use of ensifentrine in other diseases may not be suitable for clinical development, including as a result of difficulties enrolling patients in any clinical studies we plan to initiate or the potential for harmful side effects or other characteristics that might suggest marketing approval and market acceptance are unlikely. If we do not continue to successfully develop and begin to commercialize ensifentrine for multiple indications, we will face difficulty in obtaining product revenues in future periods, which could significantly harm our financial position.</w:t>
      </w:r>
    </w:p>
    <w:p>
      <w:pPr>
        <w:spacing w:after="0" w:line="4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depend on enrollment of patients in our clinical trials for ensifentrine. If we are unable to enroll patients in our clinical trials, or enrollment is slower than anticipated, our research and development efforts could be adversely affected.</w:t>
      </w:r>
    </w:p>
    <w:p>
      <w:pPr>
        <w:spacing w:after="0" w:line="48"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Successful and timely completion of clinical trials for ensifentrine will require that we enroll a sufficient number of patient candidates. Trials may be subject to delays as a result of patient enrollment taking longer than anticipated or patient withdrawal and other external factors including COVID-19. Patient enrollment depends on many factors, including the size and nature of the patient population, the severity of the disease under investigation, eligibility criteria for the trial, the proximity of patients to clinical sites, the design of the clinical protocol, the ability to obtain and maintain patient consents, the risk that enrolled patients will drop out of a trial, the availability of competing clinical trials, the availability of new drugs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38" w:name="page39"/>
    <w:bookmarkEnd w:id="38"/>
    <w:p>
      <w:pPr>
        <w:jc w:val="both"/>
        <w:spacing w:after="0" w:line="262" w:lineRule="auto"/>
        <w:rPr>
          <w:sz w:val="20"/>
          <w:szCs w:val="20"/>
          <w:color w:val="auto"/>
        </w:rPr>
      </w:pPr>
      <w:r>
        <w:rPr>
          <w:rFonts w:ascii="Arial" w:cs="Arial" w:eastAsia="Arial" w:hAnsi="Arial"/>
          <w:sz w:val="13"/>
          <w:szCs w:val="13"/>
          <w:color w:val="auto"/>
        </w:rPr>
        <w:t>in a timely and cost-effective manner. Higher than expected numbers of patients could also discontinue participation in the clinical trials. Delays in the completion of any clinical trial of ensifentrine will increase our costs, slow down our development and approval of ensifentrine and delay or potentially jeopardize our ability to commence product sales and generate revenue. In addition, some of the factors that cause, or lead to, a delay in the commencement or completion of clinical trials may also ultimately lead to the denial of regulatory approval of ensifentrine.</w:t>
      </w:r>
    </w:p>
    <w:p>
      <w:pPr>
        <w:spacing w:after="0" w:line="4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may become exposed to costly and damaging liability claims, either when testing ensifentrine in the clinic or at the commercial stage, and our product liability insurance may not cover all damages from such claims.</w:t>
      </w:r>
    </w:p>
    <w:p>
      <w:pPr>
        <w:spacing w:after="0" w:line="48"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current and future use of ensifentrine by us and any collaborators in clinical trials, and the sale of ensifentrine, if approved, in the future, may expose us to liability claims. These claims might be made by patients that use the product, healthcare providers, pharmaceutical companies, our collaborators or others selling ensifentrine. Any claims against us, regardless of their merit, could be difficult and costly to defend and could adversely affect the market for ensifentrine or any prospects for commercialization of ensifentrine. In addition, regardless of the merits or eventual outcome, liability claims may result in:</w:t>
      </w:r>
    </w:p>
    <w:p>
      <w:pPr>
        <w:spacing w:after="0" w:line="56" w:lineRule="exact"/>
        <w:rPr>
          <w:sz w:val="20"/>
          <w:szCs w:val="20"/>
          <w:color w:val="auto"/>
        </w:rPr>
      </w:pPr>
    </w:p>
    <w:p>
      <w:pPr>
        <w:ind w:left="260" w:hanging="255"/>
        <w:spacing w:after="0"/>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decreased demand for ensifentrine;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injury to our reputation;</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withdrawal of clinical trial participants;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costs to defend related litigation;</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diversion of management’s time and our resources;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substantial monetary awards to trial participants or patients;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regulatory investigation, product recalls or withdrawals, or labeling, marketing or promotional restrictions;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loss of revenue; and</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inability to commercialize or promote ensifentrine.</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Although the clinical trial process is designed to identify and assess potential side effects, it is always possible that a drug, even after regulatory approval, may exhibit unforeseen side effects. If ensifentrine were to cause adverse side effects during clinical trials or after approval, we may be exposed to substantial liabilities. Physicians and patients may not comply with any warnings that identify known potential adverse effects and patients who should not use ensifentrine.</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Although we maintain product liability insurance for ensifentrine, it is possible that our liabilities could exceed our insurance coverage. We intend to expand our insurance coverage to include the sale of commercial products if we obtain marketing approval for ensifentrine.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The regulatory approval processes of the FDA, the EMA and comparable foreign regulatory authorities are lengthy, time consuming and inherently unpredictable, and if we are ultimately unable to obtain regulatory approval for ensifentrine, our business will be substantially harmed.</w:t>
      </w:r>
    </w:p>
    <w:p>
      <w:pPr>
        <w:spacing w:after="0" w:line="48"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time required to obtain approval by the FDA, the European Commission and comparable foreign regulatory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ensifentrine and it is possible that ensifentrine or any product candidates we may develop in the future will never obtain regulatory approval.</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Prior to obtaining approval to commercialize a product candidate in the United States or abroad, we or our collaborators must demonstrate with substantial evidence from well-controlled clinical trials, and to the satisfaction of the FDA or foreign regulatory agencies, that such product candidate is safe and effective for its intended 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39" w:name="page40"/>
    <w:bookmarkEnd w:id="39"/>
    <w:p>
      <w:pPr>
        <w:jc w:val="both"/>
        <w:spacing w:after="0" w:line="237" w:lineRule="auto"/>
        <w:rPr>
          <w:sz w:val="20"/>
          <w:szCs w:val="20"/>
          <w:color w:val="auto"/>
        </w:rPr>
      </w:pPr>
      <w:r>
        <w:rPr>
          <w:rFonts w:ascii="Arial" w:cs="Arial" w:eastAsia="Arial" w:hAnsi="Arial"/>
          <w:sz w:val="14"/>
          <w:szCs w:val="14"/>
          <w:color w:val="auto"/>
        </w:rPr>
        <w:t>Results from nonclinical studies and clinical trials can be interpreted in different ways. Even if we believe the nonclinical or clinical data for our product candidate are promising, such data may not be sufficient to support approval by the FDA and other regulatory authorities. The FDA or foreign regulatory agencies may also require us to conduct additional preclinical studies or clinical trials for ensifentrine either prior to or post-approval, or it may object to elements of our clinical development program.</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Ensifentrine could fail to receive regulatory approval for many reasons, including the following:</w:t>
      </w:r>
    </w:p>
    <w:p>
      <w:pPr>
        <w:spacing w:after="0" w:line="72" w:lineRule="exact"/>
        <w:rPr>
          <w:sz w:val="20"/>
          <w:szCs w:val="20"/>
          <w:color w:val="auto"/>
        </w:rPr>
      </w:pPr>
    </w:p>
    <w:p>
      <w:pPr>
        <w:ind w:left="260" w:hanging="255"/>
        <w:spacing w:after="0" w:line="249" w:lineRule="auto"/>
        <w:tabs>
          <w:tab w:leader="none" w:pos="2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 may be unable to demonstrate to the satisfaction of the FDA, the EMA or comparable foreign regulatory authorities that ensifentrine is safe and effective, with the required level of statistical significance, for its proposed indication;</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 may be unable to demonstrate that ensifentrine’s clinical and other benefits outweigh its safety risks;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FDA, the EMA or comparable foreign regulatory authorities may disagree with our interpretation of data from pre-clinical studies or clinical trials or may find the data to be unacceptable;</w:t>
      </w:r>
    </w:p>
    <w:p>
      <w:pPr>
        <w:spacing w:after="0" w:line="83" w:lineRule="exact"/>
        <w:rPr>
          <w:rFonts w:ascii="Arial" w:cs="Arial" w:eastAsia="Arial" w:hAnsi="Arial"/>
          <w:sz w:val="13"/>
          <w:szCs w:val="13"/>
          <w:color w:val="auto"/>
        </w:rPr>
      </w:pPr>
    </w:p>
    <w:p>
      <w:pPr>
        <w:ind w:left="260" w:hanging="255"/>
        <w:spacing w:after="0" w:line="249" w:lineRule="auto"/>
        <w:tabs>
          <w:tab w:leader="none" w:pos="2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FDA, the EMA or comparable foreign regulatory authorities may find that the dose or doses evaluated in Phase 3 clinical trials or the way in which double blinding was effected to be unacceptable;</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data collected from clinical trials of ensifentrine may, for other reasons, not be sufficient to support the submission of an NDA in the United States, a marketing authorization application (“MAA”) in the EU, or other comparable submission to obtain regulatory approval in other countries;</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FDA or comparable foreign regulatory authorities may fail to approve the manufacturing processes or facilities of third-party manufacturers with which we contract for clinical and commercial supplies;</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approval policies or regulations of the FDA or comparable foreign regulatory authorities may significantly change in a manner rendering our clinical data insufficient for approval;</w:t>
      </w:r>
    </w:p>
    <w:p>
      <w:pPr>
        <w:spacing w:after="0" w:line="83" w:lineRule="exact"/>
        <w:rPr>
          <w:rFonts w:ascii="Arial" w:cs="Arial" w:eastAsia="Arial" w:hAnsi="Arial"/>
          <w:sz w:val="13"/>
          <w:szCs w:val="13"/>
          <w:color w:val="auto"/>
        </w:rPr>
      </w:pPr>
    </w:p>
    <w:p>
      <w:pPr>
        <w:ind w:left="260" w:hanging="255"/>
        <w:spacing w:after="0"/>
        <w:tabs>
          <w:tab w:leader="none" w:pos="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FDA, the EMA or comparable foreign regulatory authorities may disagree with the design or implementation of our clinical trials; and</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FDA, the EMA or comparable foreign regulatory authorities may disagree with our proposed product specifications and performance characteristics.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This lengthy approval process as well as the unpredictability of future clinical trial results may result in our failing to obtain regulatory approval to market ensifentrine. The FDA, the EMA and other regulatory authorities have substantial discretion in the approval process, and determining when or whether regulatory approval will be obtained for ensifentrine. Even if we believe the data collected from clinical trials of ensifentrine are promising, such data may not be sufficient to support approval by the FDA, the European Commission or any other regulatory authority.</w:t>
      </w:r>
    </w:p>
    <w:p>
      <w:pPr>
        <w:spacing w:after="0" w:line="41"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In addition, even if we were to obtain approval for any jurisdiction, regulatory authorities may approve ensifentrine for fewer or more limited indications than we request, may not approve the price we intend to charge for ensifentrine, may grant approval contingent on the performance of costly post-marketing clinical trials, or may approve ensifentrine with a label that does not include the labeling claims necessary or desirable for the successful commercialization of ensifentrine. Any of the foregoing scenarios could materially harm the commercial prospects for ensifentrine.</w:t>
      </w:r>
    </w:p>
    <w:p>
      <w:pPr>
        <w:spacing w:after="0" w:line="41" w:lineRule="exact"/>
        <w:rPr>
          <w:sz w:val="20"/>
          <w:szCs w:val="20"/>
          <w:color w:val="auto"/>
        </w:rPr>
      </w:pPr>
    </w:p>
    <w:p>
      <w:pPr>
        <w:jc w:val="both"/>
        <w:spacing w:after="0" w:line="331" w:lineRule="auto"/>
        <w:rPr>
          <w:sz w:val="20"/>
          <w:szCs w:val="20"/>
          <w:color w:val="auto"/>
        </w:rPr>
      </w:pPr>
      <w:r>
        <w:rPr>
          <w:rFonts w:ascii="Arial" w:cs="Arial" w:eastAsia="Arial" w:hAnsi="Arial"/>
          <w:sz w:val="12"/>
          <w:szCs w:val="12"/>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resulting staff changes, may also slow the time necessary for new drugs, or modifications to cleared or approved drugs, to be reviewed and/or approved by necessary government agencies, which would adversely affect our business. For example, over the last several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auto"/>
        </w:rPr>
        <w:t>the U.S. government has shut down several times and certain regulatory agencies, such as the FDA, have had to furlough critical FDA employees and stop critical activities.</w:t>
      </w:r>
    </w:p>
    <w:p>
      <w:pPr>
        <w:spacing w:after="0" w:line="72"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in July 2020, the FDA resumed certain on-site inspections of domestic manufacturing facilities subject to a risk-based prioritization system. The FDA utilized this risk-based assessment system to assist in determining when and where it was safest to conduct prioritized domestic inspections. Additionally, on April 14,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 domestic facilities and was continuing to maintain this level of operation as of September 2021. More recently, the FDA has continued to monitor and implement changes to its inspectional activities to ensure the safety of its employees and those of the firms it regulates as it adapts to the evolving COVID-19 pandemic. Regulatory authorities outside the United States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b w:val="1"/>
          <w:bCs w:val="1"/>
          <w:i w:val="1"/>
          <w:iCs w:val="1"/>
          <w:color w:val="auto"/>
        </w:rPr>
        <w:t>Even if ensifentrine obtains regulatory approval, we will be subject to ongoing obligations and continued regulatory review, which may result in significant additional expense. Additionally, ensifentrine, if approved, could be subject to labeling and other restrictions and market withdrawal and we may be subject to penalties if we fail to comply with regulatory requirements or experience unanticipated problems with ensifentrine.</w:t>
      </w:r>
    </w:p>
    <w:p>
      <w:pPr>
        <w:spacing w:after="0" w:line="54"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If the FDA or a comparable foreign regulatory authority approves ensifentrine, the manufacturing processes, labeling, packaging, distribution, adverse event reporting, storage, advertising, promotion and record keeping for ensifentrine will be subject to extensive and ongoing regulatory requirements. These requirements include payment of annual user fees, submissions of safety and other post-marketing information and reports, facility registration and drug listing, as well as continued compliance with cGMP and similar foreign requirements for the manufacture of ensifentrine and GCP requirements for any clinical trials that we conduct post-approval, all of which may result in significant expense and limit our ability to commercialize ensifentrine. In addition, any approval we may obtain for ensifentrine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w:t>
      </w:r>
    </w:p>
    <w:p>
      <w:pPr>
        <w:spacing w:after="0" w:line="52"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We and our contract manufacturers will also be subject to periodic inspection by the FDA and other regulatory authorities to monitor compliance with these requirements and the terms of any product approval we may obtain.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and other comparable foreign regulatory requirements may subject our company to administrative or judicially imposed sanctions, including:</w:t>
      </w:r>
    </w:p>
    <w:p>
      <w:pPr>
        <w:spacing w:after="0" w:line="56" w:lineRule="exact"/>
        <w:rPr>
          <w:sz w:val="20"/>
          <w:szCs w:val="20"/>
          <w:color w:val="auto"/>
        </w:rPr>
      </w:pPr>
    </w:p>
    <w:p>
      <w:pPr>
        <w:ind w:left="260" w:hanging="255"/>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delays in or the rejection of product approvals;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restrictions on our ability to conduct clinical trials, including full or partial clinical holds on ongoing or planned trials;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restrictions on the products, manufacturers or manufacturing process;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warning or untitled letters;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civil and criminal penalties;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injunctions;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suspension or withdrawal of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41" w:name="page42"/>
    <w:bookmarkEnd w:id="41"/>
    <w:p>
      <w:pPr>
        <w:ind w:left="260" w:hanging="255"/>
        <w:spacing w:after="0"/>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product seizures, detentions or import bans;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voluntary or mandatory product recalls and publicity requirements;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total or partial suspension of production; and</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imposition of restrictions on operations, including costly new manufacturing requirements.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occurrence of any event or penalty described above may inhibit our ability to commercialize ensifentrine and generate revenue and could require us to expend significant time and resources in response and could generate negative publicity.</w:t>
      </w:r>
    </w:p>
    <w:p>
      <w:pPr>
        <w:spacing w:after="0" w:line="48"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In addition,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FDA and other regulatory agencies actively enforce the laws and regulations prohibiting the promotion of off-label uses.</w:t>
      </w:r>
    </w:p>
    <w:p>
      <w:pPr>
        <w:spacing w:after="0" w:line="72"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If ensifentrine is approved for any indication and we are found to have improperly promoted off-label uses for ensifentrine,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ensifentrine, if approved, we could become subject to significant liability, which would materially adversely affect our business and financial condition.</w:t>
      </w:r>
    </w:p>
    <w:p>
      <w:pPr>
        <w:spacing w:after="0" w:line="3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Europe, off-label use is not per se regulated by the EU pharmaceutical legislation and a difference is made between the strict regulation of medicinal product and the use of medicinal products in medical practice. Off-label use is deferred to national regulation and may vary depending on the EU Member State(s).</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Even if we obtain marketing approval of ensifentrine for any indication in a major pharmaceutical market such as the United States or EU, we may never obtain approval or commercialize ensifentrine in other major markets, which would limit our ability to realize its full market potential.</w:t>
      </w:r>
    </w:p>
    <w:p>
      <w:pPr>
        <w:spacing w:after="0" w:line="48"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order to market any products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ensifentrine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currently do not have any product candidates approved for sale in any jurisdiction, whether in the EU, the United States or any other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ensifentrine will be compromised.</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Our employees and independent contractors, including principal investigators, consultants, vendors and collaboration partners may engage in misconduct or other improper activities, including noncompliance with regulatory standards and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42" w:name="page43"/>
    <w:bookmarkEnd w:id="42"/>
    <w:p>
      <w:pPr>
        <w:jc w:val="both"/>
        <w:spacing w:after="0" w:line="241" w:lineRule="auto"/>
        <w:rPr>
          <w:sz w:val="20"/>
          <w:szCs w:val="20"/>
          <w:color w:val="auto"/>
        </w:rPr>
      </w:pPr>
      <w:r>
        <w:rPr>
          <w:rFonts w:ascii="Arial" w:cs="Arial" w:eastAsia="Arial" w:hAnsi="Arial"/>
          <w:sz w:val="13"/>
          <w:szCs w:val="13"/>
          <w:color w:val="auto"/>
        </w:rPr>
        <w:t>We are exposed to the risk that our employees and independent contractors, including principal investigators, consultants, vendors and collaboration partners may engage in fraudulent conduct or other illegal activities. Misconduct by these parties could include intentional, reckless or negligent conduct or unauthorized activities that violate: (i) the laws and regulations of the FDA and other similar regulatory bodies and the EU, including those laws that require the reporting of true, complete and accurate information to such authorities; (ii) manufacturing standards; (iii) federal and state data privacy, security, fraud and abuse and other healthcare laws and regulations in the United States and abroad;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and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6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8"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From time to time, we may publicly disclose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Healthcare Laws and Other Legal Compliance Matters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Enacted and future legislation may increase the difficulty and cost for us to obtain marketing approval of and commercialize ensifentrine and may affect the prices we may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43" w:name="page44"/>
    <w:bookmarkEnd w:id="43"/>
    <w:p>
      <w:pPr>
        <w:jc w:val="both"/>
        <w:spacing w:after="0" w:line="230" w:lineRule="auto"/>
        <w:rPr>
          <w:sz w:val="20"/>
          <w:szCs w:val="20"/>
          <w:color w:val="auto"/>
        </w:rPr>
      </w:pPr>
      <w:r>
        <w:rPr>
          <w:rFonts w:ascii="Arial" w:cs="Arial" w:eastAsia="Arial" w:hAnsi="Arial"/>
          <w:sz w:val="14"/>
          <w:szCs w:val="14"/>
          <w:color w:val="auto"/>
        </w:rPr>
        <w:t>In the United States, the EU and other foreign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changes the way healthcare is financed by both governmental and private insurers. Among the provisions of the ACA, those of greatest importance to the pharmaceutical and biotechnology industries include the following:</w:t>
      </w:r>
    </w:p>
    <w:p>
      <w:pPr>
        <w:spacing w:after="0" w:line="56" w:lineRule="exact"/>
        <w:rPr>
          <w:sz w:val="20"/>
          <w:szCs w:val="20"/>
          <w:color w:val="auto"/>
        </w:rPr>
      </w:pPr>
    </w:p>
    <w:p>
      <w:pPr>
        <w:ind w:left="260" w:hanging="255"/>
        <w:spacing w:after="0" w:line="249" w:lineRule="auto"/>
        <w:tabs>
          <w:tab w:leader="none" w:pos="2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an annual, non-deductible fee payable by any entity that manufactures or imports certain branded prescription drugs and biologic agents, which is apportioned among these entities according to their market share in certain government healthcare programs;</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a new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an increase in the statutory minimum rebates a manufacturer must pay under the Medicaid Drug Rebate Program to 23.1% and 13.0% of the average manufacturer price for branded and generic drugs, respectively;</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 new methodology by which rebates owed by manufacturers under the Medicaid Drug Rebate Program are calculated for drugs that are inhaled, infused, instilled, implanted or injected;</w:t>
      </w:r>
    </w:p>
    <w:p>
      <w:pPr>
        <w:spacing w:after="0" w:line="83" w:lineRule="exact"/>
        <w:rPr>
          <w:rFonts w:ascii="Arial" w:cs="Arial" w:eastAsia="Arial" w:hAnsi="Arial"/>
          <w:sz w:val="13"/>
          <w:szCs w:val="13"/>
          <w:color w:val="auto"/>
        </w:rPr>
      </w:pPr>
    </w:p>
    <w:p>
      <w:pPr>
        <w:ind w:left="260" w:hanging="255"/>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extension of a manufacturer’s Medicaid rebate liability to covered drugs dispensed to individuals who are enrolled in Medicaid managed care organizations;</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 new Patient-Centered Outcomes Research Institute to oversee, identify priorities in, and conduct comparative clinical effectiveness research, along with funding for such research; and</w:t>
      </w:r>
    </w:p>
    <w:p>
      <w:pPr>
        <w:spacing w:after="0" w:line="83" w:lineRule="exact"/>
        <w:rPr>
          <w:rFonts w:ascii="Arial" w:cs="Arial" w:eastAsia="Arial" w:hAnsi="Arial"/>
          <w:sz w:val="13"/>
          <w:szCs w:val="13"/>
          <w:color w:val="auto"/>
        </w:rPr>
      </w:pPr>
    </w:p>
    <w:p>
      <w:pPr>
        <w:ind w:left="260" w:hanging="255"/>
        <w:spacing w:after="0" w:line="249" w:lineRule="auto"/>
        <w:tabs>
          <w:tab w:leader="none" w:pos="2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establishment of a Center for Medicare Innovation at the Centers for Medicare &amp; Medicaid Services, or CMS, to test innovative payment and service delivery models to lower Medicare and Medicaid spending, potentially including prescription drug spending.</w:t>
      </w:r>
    </w:p>
    <w:p>
      <w:pPr>
        <w:spacing w:after="0" w:line="48"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spacing w:after="0" w:line="5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 addition, other legislative changes have been proposed and adopted in the United States since the ACA was enacted. For example, the Budget Control Act of 2011 has, among other things, led to aggregate reductions of Medicare payments to providers of 2% per fiscal year, which, due to subsequent legislative amendments to the statute, will remain in effect through 2030, with the exception of a temporary suspension from May 1, 2020 through March 31, 2022,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laws and any laws enacted in the future may result in additional reductions in Medicare and other health care funding, which could have a material adverse effect on our customers and accordingly, our financial operations.</w:t>
      </w:r>
    </w:p>
    <w:p>
      <w:pPr>
        <w:spacing w:after="0" w:line="49"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We expect that additional U.S. federal healthcare reform measures will be adopted in the future, any of which could limit the amounts that the U.S. federal government will pay for healthcare products and services, which could result in reduced demand for ensifentrine or additional pricing pressures.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44" w:name="page45"/>
    <w:bookmarkEnd w:id="44"/>
    <w:p>
      <w:pPr>
        <w:jc w:val="both"/>
        <w:spacing w:after="0" w:line="276" w:lineRule="auto"/>
        <w:rPr>
          <w:sz w:val="20"/>
          <w:szCs w:val="20"/>
          <w:color w:val="auto"/>
        </w:rPr>
      </w:pPr>
      <w:r>
        <w:rPr>
          <w:rFonts w:ascii="Arial" w:cs="Arial" w:eastAsia="Arial" w:hAnsi="Arial"/>
          <w:sz w:val="12"/>
          <w:szCs w:val="12"/>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ensifentrine or put pressure on our product pricing.</w:t>
      </w:r>
    </w:p>
    <w:p>
      <w:pPr>
        <w:spacing w:after="0" w:line="34"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In the EU, similar political, economic and regulatory developments may affect our ability to profitably commercialize ensifentrine, if approved. In addition to continuing pressure on prices and cost containment measures, legislative developments at the EU or member state level may result in significant additional requirements or obstacles that may increase our operating costs. The delivery of health 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ensifentrine, restrict or regulate post-approval activities and affect our ability to commercialize ensifentrine, if approved. In international markets, reimbursement and healthcare payment systems vary significantly by country, and many countries have instituted price ceilings on specific products and therapies.</w:t>
      </w:r>
    </w:p>
    <w:p>
      <w:pPr>
        <w:spacing w:after="0" w:line="5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ensifentrine may lose any regulatory approval that may have been obtained and we may not achieve or sustain profitability.</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Our business operations and current and future relationships with investigators, healthcare professionals, consultants, third-party payors and customers will be subject to applicable healthcare regulatory laws, which could expose us to penalties.</w:t>
      </w:r>
    </w:p>
    <w:p>
      <w:pPr>
        <w:spacing w:after="0" w:line="48"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Our business operations and current and future arrangements with investigators, healthcare professionals, consultants, third-party payors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ensifentrine, if approved. Such laws include:</w:t>
      </w:r>
    </w:p>
    <w:p>
      <w:pPr>
        <w:spacing w:after="0" w:line="54" w:lineRule="exact"/>
        <w:rPr>
          <w:sz w:val="20"/>
          <w:szCs w:val="20"/>
          <w:color w:val="auto"/>
        </w:rPr>
      </w:pPr>
    </w:p>
    <w:p>
      <w:pPr>
        <w:jc w:val="both"/>
        <w:ind w:left="260" w:hanging="255"/>
        <w:spacing w:after="0" w:line="254" w:lineRule="auto"/>
        <w:tabs>
          <w:tab w:leader="none" w:pos="256"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46" w:lineRule="exact"/>
        <w:rPr>
          <w:rFonts w:ascii="Arial" w:cs="Arial" w:eastAsia="Arial" w:hAnsi="Arial"/>
          <w:sz w:val="13"/>
          <w:szCs w:val="13"/>
          <w:color w:val="auto"/>
        </w:rPr>
      </w:pPr>
    </w:p>
    <w:p>
      <w:pPr>
        <w:jc w:val="both"/>
        <w:ind w:left="260" w:hanging="255"/>
        <w:spacing w:after="0" w:line="230" w:lineRule="auto"/>
        <w:tabs>
          <w:tab w:leader="none" w:pos="256"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U.S. federal false claims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p>
      <w:pPr>
        <w:spacing w:after="0" w:line="56" w:lineRule="exact"/>
        <w:rPr>
          <w:rFonts w:ascii="Arial" w:cs="Arial" w:eastAsia="Arial" w:hAnsi="Arial"/>
          <w:sz w:val="14"/>
          <w:szCs w:val="14"/>
          <w:color w:val="auto"/>
        </w:rPr>
      </w:pPr>
    </w:p>
    <w:p>
      <w:pPr>
        <w:jc w:val="both"/>
        <w:ind w:left="260" w:hanging="255"/>
        <w:spacing w:after="0" w:line="237" w:lineRule="auto"/>
        <w:tabs>
          <w:tab w:leader="none" w:pos="256"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45" w:name="page46"/>
    <w:bookmarkEnd w:id="45"/>
    <w:p>
      <w:pPr>
        <w:ind w:left="260"/>
        <w:spacing w:after="0"/>
        <w:rPr>
          <w:sz w:val="20"/>
          <w:szCs w:val="20"/>
          <w:color w:val="auto"/>
        </w:rPr>
      </w:pPr>
      <w:r>
        <w:rPr>
          <w:rFonts w:ascii="Arial" w:cs="Arial" w:eastAsia="Arial" w:hAnsi="Arial"/>
          <w:sz w:val="14"/>
          <w:szCs w:val="14"/>
          <w:color w:val="auto"/>
        </w:rPr>
        <w:t>or entity does not need to have actual knowledge of the statute or specific intent to violate it in order to have committed a violation;</w:t>
      </w:r>
    </w:p>
    <w:p>
      <w:pPr>
        <w:spacing w:after="0" w:line="72" w:lineRule="exact"/>
        <w:rPr>
          <w:sz w:val="20"/>
          <w:szCs w:val="20"/>
          <w:color w:val="auto"/>
        </w:rPr>
      </w:pPr>
    </w:p>
    <w:p>
      <w:pPr>
        <w:ind w:left="260" w:hanging="255"/>
        <w:spacing w:after="0"/>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FDCA, which prohibits, among other things, the adulteration or misbranding of drugs, biologics and medical devices;</w:t>
      </w:r>
    </w:p>
    <w:p>
      <w:pPr>
        <w:spacing w:after="0" w:line="72" w:lineRule="exact"/>
        <w:rPr>
          <w:rFonts w:ascii="Arial" w:cs="Arial" w:eastAsia="Arial" w:hAnsi="Arial"/>
          <w:sz w:val="14"/>
          <w:szCs w:val="14"/>
          <w:color w:val="auto"/>
        </w:rPr>
      </w:pPr>
    </w:p>
    <w:p>
      <w:pPr>
        <w:jc w:val="both"/>
        <w:ind w:left="260" w:hanging="255"/>
        <w:spacing w:after="0" w:line="230" w:lineRule="auto"/>
        <w:tabs>
          <w:tab w:leader="none" w:pos="2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the physicians described above and their immediate family members;</w:t>
      </w:r>
    </w:p>
    <w:p>
      <w:pPr>
        <w:spacing w:after="0" w:line="56" w:lineRule="exact"/>
        <w:rPr>
          <w:rFonts w:ascii="Arial" w:cs="Arial" w:eastAsia="Arial" w:hAnsi="Arial"/>
          <w:sz w:val="14"/>
          <w:szCs w:val="14"/>
          <w:color w:val="auto"/>
        </w:rPr>
      </w:pPr>
    </w:p>
    <w:p>
      <w:pPr>
        <w:jc w:val="both"/>
        <w:ind w:left="260" w:hanging="255"/>
        <w:spacing w:after="0" w:line="228" w:lineRule="auto"/>
        <w:tabs>
          <w:tab w:leader="none" w:pos="2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and state laws and regulations that require drug manufacturers to file reports relating to pricing and marketing information, which requires tracking gifts and other remuneration and items of value provided to healthcare professionals and entities; and state laws governing the privacy and security of health-related and other personal information in certain circumstances, many of which differ from each other in significant ways and often are not preempted by HIPAA, thus complicating compliance efforts; and</w:t>
      </w:r>
    </w:p>
    <w:p>
      <w:pPr>
        <w:spacing w:after="0" w:line="54" w:lineRule="exact"/>
        <w:rPr>
          <w:rFonts w:ascii="Arial" w:cs="Arial" w:eastAsia="Arial" w:hAnsi="Arial"/>
          <w:sz w:val="14"/>
          <w:szCs w:val="14"/>
          <w:color w:val="auto"/>
        </w:rPr>
      </w:pPr>
    </w:p>
    <w:p>
      <w:pPr>
        <w:jc w:val="both"/>
        <w:ind w:left="260" w:hanging="255"/>
        <w:spacing w:after="0" w:line="229" w:lineRule="auto"/>
        <w:tabs>
          <w:tab w:leader="none" w:pos="2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the EU, interactions between pharmaceutical companies and health care professionals and health care organizations,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pharmaceutical products is prohibited in the EU. Relationships with healthcare professionals and associations are subject to stringent anti-gift statutes and anti-bribery laws, the scope of which differs across the EU. In addition, national “Sunshine Acts” may require pharmaceutical companies to report/publish transfers of value provided to health care professionals and associations on a regular (e.g. annual) basis. Failure to comply with these requirements could result in reputational risk, public reprimands, administrative penalties, fines or imprisonment;</w:t>
      </w:r>
    </w:p>
    <w:p>
      <w:pPr>
        <w:spacing w:after="0" w:line="5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Ensuring that our internal operations and business arrangements with third parties comply with applicable healthcare laws and regulations involves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a corporate integrity agreement or other agreement to resolve allegations of non-compliance with these laws,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48"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Implementation standards and enforcement practices are likely to remain uncertain for the foreseeable future, and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46" w:name="page47"/>
    <w:bookmarkEnd w:id="46"/>
    <w:p>
      <w:pPr>
        <w:jc w:val="both"/>
        <w:spacing w:after="0" w:line="229" w:lineRule="auto"/>
        <w:rPr>
          <w:sz w:val="20"/>
          <w:szCs w:val="20"/>
          <w:color w:val="auto"/>
        </w:rPr>
      </w:pPr>
      <w:r>
        <w:rPr>
          <w:rFonts w:ascii="Arial" w:cs="Arial" w:eastAsia="Arial" w:hAnsi="Arial"/>
          <w:sz w:val="14"/>
          <w:szCs w:val="14"/>
          <w:color w:val="auto"/>
        </w:rPr>
        <w:t>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54"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As our operations and business grow, we may become subject to or affected by new or additional data protection laws and regulations and face increased scrutiny or attention from regulatory authorities. In the United States,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We do not believe that we are currently acting as a covered entity or business associate under HIPAA and thus are not directly subject to its requirements or penalties. However,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54"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California recently enacted the California Consumer Privacy Act, (“CCPA”), which went into effect on January 1, 2020. The CCPA, among other things, creates data privacy obligations for covered companies and provides privacy rights to California consumers, including rights to access and delete their information, to opt out of certain information sharing, and receive detailed information about how their personal information is used. The CCPA also creates a private right of action with statutory damages for certain data breaches, thereby potentially increasing risks associated with a data breach. Although the law includes limited exceptions for health-related information, it may regulate or impact our processing of personal information depending on the context.Further, the California Privacy Rights Act (“CPRA”) recently passed in California. The CPRA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 laws have passed in Virginia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5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are also subject to diverse laws and regulations relating to data privacy and security in the EU and the EEA, including the GDPR. The GDPR went into effect in May 2018 and imposes strict requirements for processing the personal data of individuals within the EEA. The GDPR imposes strict obligations on the ability to process health-related and other personal data of individuals within the EEA, including in relation to use, collection, analysis, and transfer (including cross-border transfer) of such personal data. The law is also developing rapidly and, in July 2020, the Court of Justice of the EU limited how organizations could lawfully transfer personal data from the EEA to the U.S. In addition, EU and EEA member states may impose further obligations relating to the processing of genetic, biometric or health data, which could further add to our compliance costs and limit how we process this information.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Relatedly, following the United Kingdom’s withdrawal from the EEA and the European Union, and the expiry of the transition period, companies have to comply with both the GDPR and the GDPR as incorporated into United Kingdom national law, the latter regime having the ability to separately fine up to the greater of £17.5 million or 4% of global turnover. The relationship between the United Kingdom and the European Union in relation to certain aspects of data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auto"/>
        </w:rPr>
        <w:t>law remains unclear, for example around how data can lawfully be transferred between each jurisdiction, which exposes us to further compliance risk.</w:t>
      </w:r>
    </w:p>
    <w:p>
      <w:pPr>
        <w:spacing w:after="0" w:line="7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Pursuant to the EU-UK Trade and Cooperation Agreement of December 24, 2020, transfers of personal data from the European Union to the United Kingdom may continue to take place without a need for additional safeguards during a further transition period, to expire on (1) the date on which an adequacy decision with respect to the United Kingdom is adopted by the EU Commission; or (2) the expiry of four months, which shall be extended by a further two months unless either the European Union or the United Kingdom objects. It remains unclear whether the EU Commission will adopt an adequacy decision with respect to the United Kingdom. In the absence of such decision after the expiry of the additional transition period, companies may need to put in place additional safeguards for transfers of personal data from the European Union to the United Kingdom, such as standard contractual clauses approved by the EU Commission.</w:t>
      </w:r>
    </w:p>
    <w:p>
      <w:pPr>
        <w:spacing w:after="0" w:line="49"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We are also subject to evolving European privacy laws on cookies, and if we commence any EU marketing campaigns, also on e-marketing. The EU is in the process of replacing the e-Privacy Directive (2002/58/EC) with a new set of rules taking the form of a regulation, which will be directly implemented in the laws of each European Member State. The draft e-Privacy Regulation imposes strict opt-in marketing rules with limited exceptions for business-to-business communications, alters rules on third-party cookies, web beacons and similar technology and significantly increases fining powers to the greater of €20 million or 4% of total global annual revenue. While the e-Privacy Regulation was originally intended to be adopted on May 25, 2018 (alongside the GDPR), it is still going through the European legislative process.</w:t>
      </w:r>
    </w:p>
    <w:p>
      <w:pPr>
        <w:spacing w:after="0" w:line="56"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Compliance with applicable data protection laws and regulations could require us to take on more onerous obligations in our contracts, restrict our ability to collect, use and disclose data, or in some cases, impact our ability to operate in certain jurisdictions. Failure by us or our collaborators and third-party providers to comply with applicable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such information.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results of operations and prospects.</w:t>
      </w:r>
    </w:p>
    <w:p>
      <w:pPr>
        <w:spacing w:after="0" w:line="3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are subject to environmental, health and safety laws and regulations, and we may become exposed to liability and substantial expenses in connection with environmental compliance or remediation activities.</w:t>
      </w:r>
    </w:p>
    <w:p>
      <w:pPr>
        <w:spacing w:after="0" w:line="48"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Our sub-contracted operations, including our research,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w:t>
      </w:r>
    </w:p>
    <w:p>
      <w:pPr>
        <w:spacing w:after="0" w:line="54"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and development efforts may be interrupted or delayed.</w:t>
      </w:r>
    </w:p>
    <w:p>
      <w:pPr>
        <w:spacing w:after="0" w:line="4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48"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48" w:name="page49"/>
    <w:bookmarkEnd w:id="48"/>
    <w:p>
      <w:pPr>
        <w:jc w:val="both"/>
        <w:spacing w:after="0" w:line="249" w:lineRule="auto"/>
        <w:rPr>
          <w:sz w:val="20"/>
          <w:szCs w:val="20"/>
          <w:color w:val="auto"/>
        </w:rPr>
      </w:pPr>
      <w:r>
        <w:rPr>
          <w:rFonts w:ascii="Arial" w:cs="Arial" w:eastAsia="Arial" w:hAnsi="Arial"/>
          <w:sz w:val="14"/>
          <w:szCs w:val="14"/>
          <w:color w:val="auto"/>
        </w:rPr>
        <w:t>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48"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We also are subject to other laws and regulations governing any international operations, including regulations administered by the governments of the United Kingdom and the United States, and authorities in the EU, including applicable export control regulations, economic sanctions on countries and persons, customs requirements and currency exchange regulations, or, collectively, the Trade Control laws. In particular, we have engaged a number of clinical trial sites in Russia in connection with our Phase 3 ENHANCE clinical program and, with the current tensions between Russia and Ukraine, there is an increased risk that the United States or other governments impose sanctions that impact our ability to pay the clinical sites and continue to conduct our clinical program in Russia, which would increase the cost and timeline of our Phase 3 program.</w:t>
      </w:r>
    </w:p>
    <w:p>
      <w:pPr>
        <w:spacing w:after="0" w:line="56"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 consuming, require significant personnel resources and harm our reputation.</w:t>
      </w:r>
    </w:p>
    <w:p>
      <w:pPr>
        <w:spacing w:after="0" w:line="56"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Commercialization</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operate in a highly competitive and rapidly changing industry, which may result in others discovering, developing or commercializing competing products before or more successfully than we do.</w:t>
      </w:r>
    </w:p>
    <w:p>
      <w:pPr>
        <w:spacing w:after="0" w:line="4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biopharmaceutical and pharmaceutical industries are highly competitive and subject to significant and rapid technological change. Our success is highly dependent on our ability to discover, develop and obtain marketing approval for new products on a cost-effective basis and to market them successfully. If ensifentrine is approved for any indication, we will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United States and other jurisdictions. These organizations may have significantly greater resources than we do and conduct similar research, seek patent protection and establish collaborative arrangements for research, development, manufacturing and marketing of products that may compete with ensifentrine.</w:t>
      </w:r>
    </w:p>
    <w:p>
      <w:pPr>
        <w:spacing w:after="0" w:line="49"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Given the number of products already on the market to treat COPD, asthma and CF, we expect to face intense competition if ensifentrine is approved for these indications. Companies including Boehringer Ingelheim, GlaxoSmithKline, AstraZeneca, Novartis, Vertex, Viatris, Theravance, Gilead, Genentech and Sunovion currently have treatments on the market for COPD, CF and asthma, and we anticipate that new companies will enter these markets in the future. If we successfully develop and commercialize ensifentrine, it will compete with existing therapies and new therapies that may become available in the future. The highly competitive nature of, and rapid technological changes in, the biopharmaceutical and pharmaceutical industries could render ensifentrine obsolete, less competitive or uneconomical. Our competitors may, among other things:</w:t>
      </w:r>
    </w:p>
    <w:p>
      <w:pPr>
        <w:spacing w:after="0" w:line="56" w:lineRule="exact"/>
        <w:rPr>
          <w:sz w:val="20"/>
          <w:szCs w:val="20"/>
          <w:color w:val="auto"/>
        </w:rPr>
      </w:pPr>
    </w:p>
    <w:p>
      <w:pPr>
        <w:ind w:left="260" w:hanging="255"/>
        <w:spacing w:after="0" w:line="249" w:lineRule="auto"/>
        <w:tabs>
          <w:tab w:leader="none" w:pos="2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develop and commercialize products that are safer, more effective, less expensive, more convenient or easier to administer, or have fewer or less severe side effects;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obtain quicker regulatory approval;</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establish superior proprietary positions covering our products and technologies;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implement more effective approaches to sales and marketing;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49" w:name="page50"/>
    <w:bookmarkEnd w:id="49"/>
    <w:p>
      <w:pPr>
        <w:ind w:left="260" w:hanging="255"/>
        <w:spacing w:after="0"/>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form more advantageous strategic alliances.</w:t>
      </w:r>
    </w:p>
    <w:p>
      <w:pPr>
        <w:spacing w:after="0" w:line="72"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any collaborators we may have may decide to market and sell products that compete with ensifentrine. Our commercial opportunity could be reduced or eliminated if our competitors develop and commercialize products that are more effective, have fewer or less severe side effects, are more convenient or are less expensive than ensifentrine. Our competitors may also obtain FDA or other regulatory approval for their product candidates more rapidly than we may obtain approval for ours, which could result in our competitors establishing or strengthening their market position before we are able to enter the market.</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may be unable to obtain orphan drug designation from the FDA or similar foreign authorities for ensifentrine for the treatment of CF, and even if we do obtain such designations, we may be unable to obtain or maintain the benefits associated with orphan drug designation, including the potential for orphan drug exclusivity.</w:t>
      </w:r>
    </w:p>
    <w:p>
      <w:pPr>
        <w:spacing w:after="0" w:line="48"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Under the Orphan Drug Act, the FDA may designate a product as an orphan drug if it is intended to treat a rare disease or condition,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EU, orphan drug designation may be granted to promote the development of products (1) that are intended for the diagnosis, prevention or treatment that is life-threatening or chronically debilitating, and (2) either (a) such condition affects no more than five in 10,000 persons in the EU when the application is made, or (b) the product, without the benefits derived from orphan status, would be unlikely to generate sufficient returns in the EU to justify the necessary investment, and (3) there exists no satisfactory method of diagnosis, prevention or treatment of such condition authorized for marketing in the EU, or, if such a method exists, the medicine must be of significant benefit to those affected by the condition.</w:t>
      </w:r>
    </w:p>
    <w:p>
      <w:pPr>
        <w:spacing w:after="0" w:line="4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the United States, orphan drug designation entitles a party to financial incentives such as opportunities for grant funding toward clinical trial costs, tax credits for qualified clinical testing and application 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the availability of sufficient quantities of the orphan drug to meet the needs of patients with the rare disease or condition. Under the FDA’s regulations, the FDA will deny orphan drug exclusivity to a designated drug upon approval if the FDA has already approved another drug with the same active ingredient for the same indication, unless the drug is demonstrated to be clinically superior to the previously approved drug. In the EU, orphan drug designation entitles a party to financial incentives such as reduction of fees or fee waivers. Upon grant of a marketing authorization, orphan medicinal products are entitled to ten years of market exclusivity, during which time no similar medicinal product for the same indication may be placed on the market. This period may be reduced to six years if, at the end of the fifth year, it is established that the product no longer meets the orphan designation criteria, including where it is shown that the product is sufficiently profitable not to justify maintenance of market exclusivity.</w:t>
      </w:r>
    </w:p>
    <w:p>
      <w:pPr>
        <w:spacing w:after="0" w:line="54"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We may seek orphan drug designation from the FDA and the European Commission for ensifentrine for the treatment of CF. Even if we are able to obtain orphan designation for ensifentrine in the United States and/or the EU, we may not be the first to obtain marketing approval for any particular orphan indication due to the uncertainties associated with developing pharmaceutical products, which could prevent us from marketing ensifentrine if another company is able to obtain orphan drug exclusivity before we do. In addition, exclusive marketing rights in the United States and/or the EU may be unavailable if we seek approval for an indication broader than the orphan-designated indication or may be lost if the FDA and/or foreign regulatory authorities later determine that the request for designation was materially defective or if we are unable to assure sufficient quantities of the product to meet the needs of patients with the rare disease or condition following approval. Further, even if we obtain orphan drug exclusivity for ensifentrine, that exclusivity may not effectively protect ensifentrine from competition because different drugs with different active moieties can be approved for the same condition.</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addition, the FDA or foreign regulatory authorities can subsequently approve products with the same active moiety for the same condition if the FDA or foreign regulatory authorities conclude that the later drug is clinically superior on the basis of greater safety, greater effectiveness, or a major contribution to patient care. Orphan drug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50" w:name="page51"/>
    <w:bookmarkEnd w:id="50"/>
    <w:p>
      <w:pPr>
        <w:jc w:val="both"/>
        <w:spacing w:after="0" w:line="249" w:lineRule="auto"/>
        <w:rPr>
          <w:sz w:val="20"/>
          <w:szCs w:val="20"/>
          <w:color w:val="auto"/>
        </w:rPr>
      </w:pPr>
      <w:r>
        <w:rPr>
          <w:rFonts w:ascii="Arial" w:cs="Arial" w:eastAsia="Arial" w:hAnsi="Arial"/>
          <w:sz w:val="14"/>
          <w:szCs w:val="14"/>
          <w:color w:val="auto"/>
        </w:rPr>
        <w:t>designation neither shortens the development time or regulatory review time of a drug nor gives the drug any advantage in the regulatory review or approval process. In addition, while we intend to seek orphan drug designation for ensifentrine for the treatment of CF, we may never receive such designation.</w:t>
      </w:r>
    </w:p>
    <w:p>
      <w:pPr>
        <w:spacing w:after="0" w:line="48" w:lineRule="exact"/>
        <w:rPr>
          <w:sz w:val="20"/>
          <w:szCs w:val="20"/>
          <w:color w:val="auto"/>
        </w:rPr>
      </w:pPr>
    </w:p>
    <w:p>
      <w:pPr>
        <w:jc w:val="both"/>
        <w:spacing w:after="0" w:line="237" w:lineRule="auto"/>
        <w:rPr>
          <w:sz w:val="20"/>
          <w:szCs w:val="20"/>
          <w:color w:val="auto"/>
        </w:rPr>
      </w:pPr>
      <w:r>
        <w:rPr>
          <w:rFonts w:ascii="Arial" w:cs="Arial" w:eastAsia="Arial" w:hAnsi="Arial"/>
          <w:sz w:val="14"/>
          <w:szCs w:val="14"/>
          <w:b w:val="1"/>
          <w:bCs w:val="1"/>
          <w:i w:val="1"/>
          <w:iCs w:val="1"/>
          <w:color w:val="auto"/>
        </w:rPr>
        <w:t>The successful commercialization of ensifentrine will depend in part on the extent to which governmental authorities and health insurers establish adequate coverage, reimbursement levels and pricing policies for ensifentrine. Failure to obtain or maintain adequate coverage and reimbursement for ensifentrine, if approved, could limit our ability to market ensifentrine and decrease our ability to generate revenue.</w:t>
      </w:r>
    </w:p>
    <w:p>
      <w:pPr>
        <w:spacing w:after="0" w:line="54"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ensifentrine, assuming approval. Our ability to achieve acceptable levels of coverage and reimbursement by governmental authorities, private health insurers and other organizations will have an effect on our ability to successfully commercialize ensifentrine. Assuming we obtain coverage for ensifentrine by a third-party payor, the resulting reimbursement payment rates may not be adequate or may require co-payments that patients find unacceptably high. Moreover, for drugs and biologics administered under the supervision of a physician, obtaining coverage and adequate reimbursement may be particularly difficult because of the higher prices often associated with such products. We cannot be sure that coverage and reimbursement in the United States, the EU or elsewhere will be available for ensifentrine or any product that we may develop, and any reimbursement that may become available may be decreased or eliminated in the future.</w:t>
      </w:r>
    </w:p>
    <w:p>
      <w:pPr>
        <w:spacing w:after="0" w:line="54"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ensifentrine as substitutable and only offer to reimburse patients for the less expensive product. Even if we show improved efficacy or improved convenience of administration with ensifentrine, pricing of existing drugs may limit the amount we will be able to charge for ensifentrine. These payors may deny or revoke the reimbursement status of a given product or establish prices for new or existing marketed products at levels that are too low to enable us to realize an appropriate return on our investment in ensifentrine. If reimbursement is not available or is available only at limited levels, we may not be able to successfully commercialize ensifentrine, and may not be able to obtain a satisfactory financial return on ensifentrine.</w:t>
      </w:r>
    </w:p>
    <w:p>
      <w:pPr>
        <w:spacing w:after="0" w:line="54"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ensifentrine.</w:t>
      </w:r>
    </w:p>
    <w:p>
      <w:pPr>
        <w:spacing w:after="0" w:line="56"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Obtaining and maintaining reimbursement status is time 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ensifentrine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 Specifically, we believe that Medicare Part B will play an important role in the reimbursement of ensifentrine. Changes within how products are reimbursed through Medicare Part B could occur and those changes may affect the overall coverage of ensifentrine in the future.</w:t>
      </w:r>
    </w:p>
    <w:p>
      <w:pPr>
        <w:spacing w:after="0" w:line="5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ensifentrine.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ensifentrine. Accordingly, in markets outside the United States, the reimbursement for ensifentrine may be reduced compared with the United States and may be insufficient to generate commercially reasonable revenue and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51" w:name="page52"/>
    <w:bookmarkEnd w:id="51"/>
    <w:p>
      <w:pPr>
        <w:jc w:val="both"/>
        <w:spacing w:after="0" w:line="230" w:lineRule="auto"/>
        <w:rPr>
          <w:sz w:val="20"/>
          <w:szCs w:val="20"/>
          <w:color w:val="auto"/>
        </w:rPr>
      </w:pPr>
      <w:r>
        <w:rPr>
          <w:rFonts w:ascii="Arial" w:cs="Arial" w:eastAsia="Arial" w:hAnsi="Arial"/>
          <w:sz w:val="14"/>
          <w:szCs w:val="14"/>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ensifentrine. We expect to experience pricing pressures in connection with the sale of ensifentrine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56"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addition, even if a pharmaceutical product obtains a marketing authorization in the European Union, there can be no assurance that reimbursement for such product will be secured on a timely basis or at all.</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Ensifentrine may not gain market acceptance, in which case our ability to generate product revenues will be compromised.</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Even if the FDA or any other regulatory authority approves the marketing of ensifentrine, whether developed on our own or with a collaborator, physicians, healthcare providers, patients or the medical community may not accept or use ensifentrine. If ensifentrine does not achieve an adequate level of acceptance, we may not generate significant product revenues or any profits from operations. The degree of market acceptance of ensifentrine will depend on a variety of factors, including:</w:t>
      </w:r>
    </w:p>
    <w:p>
      <w:pPr>
        <w:spacing w:after="0" w:line="54" w:lineRule="exact"/>
        <w:rPr>
          <w:sz w:val="20"/>
          <w:szCs w:val="20"/>
          <w:color w:val="auto"/>
        </w:rPr>
      </w:pPr>
    </w:p>
    <w:p>
      <w:pPr>
        <w:ind w:left="260" w:hanging="255"/>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timing of market introduction;</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number and clinical profile of competing products;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clinical indications for which ensifentrine is approved;</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ability to provide acceptable evidence of safety and efficacy;</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prevalence and severity of any side effects;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relative convenience, frequency, and ease of administration;</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cost effectiveness;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marketing, sales, and distribution support;</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availability of adequate coverage, reimbursement and adequate payment from health maintenance organizations and other insurers, both public and private; and</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other potential advantages over alternative treatment methods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If ensifentrine fails to gain market acceptance, this will adversely impact our ability to generate revenues. Even if ensifentrine achieves market acceptance, the market may prove not to be large enough to allow us to generate significant revenues.</w:t>
      </w:r>
    </w:p>
    <w:p>
      <w:pPr>
        <w:spacing w:after="0" w:line="48" w:lineRule="exact"/>
        <w:rPr>
          <w:sz w:val="20"/>
          <w:szCs w:val="20"/>
          <w:color w:val="auto"/>
        </w:rPr>
      </w:pPr>
    </w:p>
    <w:p>
      <w:pPr>
        <w:jc w:val="both"/>
        <w:spacing w:after="0" w:line="331" w:lineRule="auto"/>
        <w:rPr>
          <w:sz w:val="20"/>
          <w:szCs w:val="20"/>
          <w:color w:val="auto"/>
        </w:rPr>
      </w:pPr>
      <w:r>
        <w:rPr>
          <w:rFonts w:ascii="Arial" w:cs="Arial" w:eastAsia="Arial" w:hAnsi="Arial"/>
          <w:sz w:val="12"/>
          <w:szCs w:val="12"/>
          <w:b w:val="1"/>
          <w:bCs w:val="1"/>
          <w:i w:val="1"/>
          <w:iCs w:val="1"/>
          <w:color w:val="auto"/>
        </w:rPr>
        <w:t>We currently have no commercial infrastructure, including sales, marketing, operations, distribution, and reimbursement infrastructure. If we are unable to develop commercial infrastructure, including sales, marketing, operations, distribution and reimbursement capabilities on our own or through collaborations, we may not be successful in commercializing ensifentrine.</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have no sales, marketing, or operations, distribution or reimbursement capabilities and we have not previously marketed, sold or distributed pharmaceutical products. If ensifentrine is approved, we intend either to establish our commercial infrastructure including sales, marketing, operations, distribution, and reimbursement with technical expertise and supporting distribution capabilities to commercialize ensifentrine, or to outsource this function to a third party. Either of these options would be expensive and time consuming. Some or all of these costs may be incurred in advance of any approval of ensifentrine. In addition, we may not be able to hire a sales force that is sufficient in size or has adequate expertise in the medical markets that we intend to target. Any failure or delay in the development of our internal sales, marketing and distribution capabilities would adversely impact the commercialization of ensifentrine.</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To the extent that we enter into collaboration agreements with respect to marketing, sales or distribution, our product revenue may be lower than if we directly marketed or sold ensifentrine, if approved.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ensifentrine. If we are not successful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52" w:name="page53"/>
    <w:bookmarkEnd w:id="52"/>
    <w:p>
      <w:pPr>
        <w:spacing w:after="0"/>
        <w:rPr>
          <w:sz w:val="20"/>
          <w:szCs w:val="20"/>
          <w:color w:val="auto"/>
        </w:rPr>
      </w:pPr>
      <w:r>
        <w:rPr>
          <w:rFonts w:ascii="Arial" w:cs="Arial" w:eastAsia="Arial" w:hAnsi="Arial"/>
          <w:sz w:val="13"/>
          <w:szCs w:val="13"/>
          <w:color w:val="auto"/>
        </w:rPr>
        <w:t>commercializing ensifentrine, either on our own or through collaborations with one or more third parties, our future product revenue will suffer and we may incur significant additional losses.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Dependence on Third Parties</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b w:val="1"/>
          <w:bCs w:val="1"/>
          <w:i w:val="1"/>
          <w:iCs w:val="1"/>
          <w:color w:val="auto"/>
        </w:rPr>
        <w:t>We rely, and expect to continue to rely, on third parties, including independent clinical investigators and CROs, to conduct our pre-clinical studies and clinical trials. If these third parties do not successfully carry out their contractual duties or meet expected deadlines, we may not be able to obtain regulatory approval for or commercialize ensifentrine and our business could be substantially harmed.</w:t>
      </w:r>
    </w:p>
    <w:p>
      <w:pPr>
        <w:spacing w:after="0" w:line="54"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We have relied upon and plan to continue to rely upon third parties, including independent clinical investigators and CROs, to conduct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CROs or if we or any of our CROs fail to comply with applicable GCP requirements, the clinical data generated in our clinical trials may be deemed unreliable and the FDA, the EMA or comparable foreign regulatory authorities may require us to perform additional clinical trials before approving our marketing applications. We cannot provide assurance that upon a regulatory inspection of us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41"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Further, these investigators and CROs are not our employees and we will not be able to control, other than by contract, the amount of resources, including time, which they devote to ensifentrine and clinical trials. If independent investigators or CROs fail to devote sufficient resources to the development of ensifentrine, or if their performance is substandard, it may delay or compromise the prospects for approval and commercialization of ensifentrine. In addition, the use of third-party service providers requires us to disclose our proprietary information to these parties, which could increase the risk that this information will be misappropriated.</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Our existing and future CROs have or may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5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If any of our relationships with these third-party CROs terminate, we may not be able to enter into arrangements with alternative CROs or to do so on commercially reasonable terms. Switching or adding CROs involves additional cost and requires management’s time and focus. In addition, there is a natural transition period when a new CRO commences work. As a result, delays could occur, which could materially impact our ability to meet our desired clinical development timelines. In addition, if our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commercialize, ensifentrine. As a result, our results of operations and the commercial prospects for ensifentrine would be harmed, our costs could increase and our ability to generate revenues could be delayed.</w:t>
      </w:r>
    </w:p>
    <w:p>
      <w:pPr>
        <w:spacing w:after="0" w:line="49" w:lineRule="exact"/>
        <w:rPr>
          <w:sz w:val="20"/>
          <w:szCs w:val="20"/>
          <w:color w:val="auto"/>
        </w:rPr>
      </w:pPr>
    </w:p>
    <w:p>
      <w:pPr>
        <w:jc w:val="both"/>
        <w:spacing w:after="0" w:line="237" w:lineRule="auto"/>
        <w:rPr>
          <w:sz w:val="20"/>
          <w:szCs w:val="20"/>
          <w:color w:val="auto"/>
        </w:rPr>
      </w:pPr>
      <w:r>
        <w:rPr>
          <w:rFonts w:ascii="Arial" w:cs="Arial" w:eastAsia="Arial" w:hAnsi="Arial"/>
          <w:sz w:val="14"/>
          <w:szCs w:val="14"/>
          <w:b w:val="1"/>
          <w:bCs w:val="1"/>
          <w:i w:val="1"/>
          <w:iCs w:val="1"/>
          <w:color w:val="auto"/>
        </w:rPr>
        <w:t>The collaboration and license agreement with Nuance Pharma is important to our business. If Nuance Pharma is unable to develop and commercialize products containing ensifentrine in Greater China, if we or Nuance Pharma fail to adequately perform under the Nuance Agreement, or if we or Nuance Pharma terminate the Nuance Agreement, our business would be adversely affected.</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entered into a collaboration and license agreement with Nuance Pharma effective June 9, 2021 (the “Nuance Agreement”) under which we granted Nuance Pharma the exclusive rights to develop and commercialize products containing ensifentrine (the “Nuance Licensed Products”) in Greater China (China, Taiwan, Hong Kong and Macau).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53" w:name="page54"/>
    <w:bookmarkEnd w:id="53"/>
    <w:p>
      <w:pPr>
        <w:jc w:val="both"/>
        <w:spacing w:after="0" w:line="237" w:lineRule="auto"/>
        <w:rPr>
          <w:sz w:val="20"/>
          <w:szCs w:val="20"/>
          <w:color w:val="auto"/>
        </w:rPr>
      </w:pPr>
      <w:r>
        <w:rPr>
          <w:rFonts w:ascii="Arial" w:cs="Arial" w:eastAsia="Arial" w:hAnsi="Arial"/>
          <w:sz w:val="14"/>
          <w:szCs w:val="14"/>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54"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Termination of the Nuance Agreement could cause significant setbacks in our ability to develop and commercialize the Nuance Licensed Products in Greater China. Any suitable alternative collaboration or license agreement would take considerable time to negotiate and could also be on less favorable terms to us. In addition, under the Nuance Agreement, Nuance Pharma agreed to assume all costs related to clinical development and commercialization of the Nuance Licensed Products in Greater China. If the Nuance Agreement were to be terminated, and whether or not we identify another suitable collaborator, we may need to seek additional financing to support the clinical development and commercialization of the Nuance Licensed Products in Greater China, which could have a material adverse effect on our business.</w:t>
      </w:r>
    </w:p>
    <w:p>
      <w:pPr>
        <w:spacing w:after="0" w:line="56"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Under the Nuance Agreement, we are dependent upon Nuance Pharma to successfully develop and commercialize Nuance Licensed Products. Although we have formed a joint steering committee with Nuance Pharma to oversee and coordinate the overall conduct of the clinical development and commercialization of the Nuance Licensed Products in Greater China, we do not control all aspects of Nuance Pharma’s development and commercialization or the resources it allocates to the development of the Nuance Licensed Products identified under the Nuance Agreement. Our interests and Nuance Pharma’s interests may differ or conflict from time to time, or we may disagree with Nuance Pharma’s level of effort or resource allocation. Nuance Pharma may internally prioritize programs under development within the collaboration differently than we would, or it may not allocate sufficient resources to effectively or optimally develop or commercialize the Nuance Licensed Products. If these events were to occur, our ability to receive revenue from the commercialization of the Nuance Licensed Products would be reduced, and our business would be adversely affected.</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enter into new strategic relationships for ensifentrine, our business, research and development and commercialization prospects could be adversely affected.</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Our development program for ensifentrine and the potential commercialization of ensifentrine will require substantial additional cash to fund expenses. Therefore, we may decide to enter into collaborations with pharmaceutical or biopharmaceutical companies for the development and potential commercialization of ensifentrine. For example, we may seek a collaborator for development of our DPI or pMDI formulation of ensifentrine for the maintenance treatment of COPD and potentially asthma and other respiratory diseases.</w:t>
      </w:r>
    </w:p>
    <w:p>
      <w:pPr>
        <w:spacing w:after="0" w:line="54"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We face significant competition in seeking appropriate collaborators. Collaborations are complex and time consuming to negotiate and document. We may also be restricted under existing and future collaboration agreements from entering into agreements on certain terms with other potential collaborators. We may not be able to negotiate collaborations on acceptable terms, or at all. If that were to occur, we may have to curtail the development of ensifentrine, reduce or delay its development program,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ensifentrine to market and generate product revenue. If we do enter into a collaboration agreement, we could be subject to the following risks, among others, any of which could adversely affect our ability to develop and commercialize ensifentrine:</w:t>
      </w:r>
    </w:p>
    <w:p>
      <w:pPr>
        <w:spacing w:after="0" w:line="54" w:lineRule="exact"/>
        <w:rPr>
          <w:sz w:val="20"/>
          <w:szCs w:val="20"/>
          <w:color w:val="auto"/>
        </w:rPr>
      </w:pPr>
    </w:p>
    <w:p>
      <w:pPr>
        <w:ind w:left="260" w:hanging="255"/>
        <w:spacing w:after="0"/>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may not be able to control the amount and timing of resources that the collaborator devotes to the development of ensifentrine;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collaborator may experience financial difficulties;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may be required to relinquish important rights such as marketing, distribution and intellectual property rights;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 collaborator could move forward with a competing product developed either independently or in collaboration with third parties, including our competitors;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safety and/or efficacy data from a collaborator’s clinical development activities may conflict with our data and could potentially impact our global clinical development activities;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 collaborator may unlawfully use or disclose confidential information and materials in breach of confidentiality obligations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54" w:name="page55"/>
    <w:bookmarkEnd w:id="54"/>
    <w:p>
      <w:pPr>
        <w:ind w:left="260" w:hanging="255"/>
        <w:spacing w:after="0"/>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business combinations or significant changes in a collaborator’s business strategy may adversely affect our willingness to complete our obligations under any arrangement;</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or a collaborator could fail to adequately perform our obligations under the agreement and/or the agreement could fall into dispute;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we may be involved in lawsuits to protect or enforce patents covering ensifentrine, or relating to the terms of our collaborations, which could be expensive, time consuming and unsuccessful; or</w:t>
      </w:r>
    </w:p>
    <w:p>
      <w:pPr>
        <w:spacing w:after="0" w:line="83" w:lineRule="exact"/>
        <w:rPr>
          <w:rFonts w:ascii="Arial" w:cs="Arial" w:eastAsia="Arial" w:hAnsi="Arial"/>
          <w:sz w:val="13"/>
          <w:szCs w:val="13"/>
          <w:color w:val="auto"/>
        </w:rPr>
      </w:pPr>
    </w:p>
    <w:p>
      <w:pPr>
        <w:ind w:left="260" w:hanging="255"/>
        <w:spacing w:after="0" w:line="249" w:lineRule="auto"/>
        <w:tabs>
          <w:tab w:leader="none" w:pos="256"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collaboration may not provide sufficient funds to be profitable for us after we fulfill our payment liabilities under our agreement with Ligand Pharmaceuticals, Inc., or Ligand, which acquired Vernalis Development Limited, or Vernalis, in October 2018.</w:t>
      </w:r>
    </w:p>
    <w:p>
      <w:pPr>
        <w:spacing w:after="0" w:line="48" w:lineRule="exact"/>
        <w:rPr>
          <w:sz w:val="20"/>
          <w:szCs w:val="20"/>
          <w:color w:val="auto"/>
        </w:rPr>
      </w:pPr>
    </w:p>
    <w:p>
      <w:pPr>
        <w:jc w:val="both"/>
        <w:spacing w:after="0" w:line="230" w:lineRule="auto"/>
        <w:rPr>
          <w:sz w:val="20"/>
          <w:szCs w:val="20"/>
          <w:color w:val="auto"/>
        </w:rPr>
      </w:pPr>
      <w:r>
        <w:rPr>
          <w:rFonts w:ascii="Arial" w:cs="Arial" w:eastAsia="Arial" w:hAnsi="Arial"/>
          <w:sz w:val="14"/>
          <w:szCs w:val="14"/>
          <w:b w:val="1"/>
          <w:bCs w:val="1"/>
          <w:i w:val="1"/>
          <w:iCs w:val="1"/>
          <w:color w:val="auto"/>
        </w:rPr>
        <w:t>We currently rely on third-party manufacturers and suppliers for production of the active pharmaceutical ingredient ensifentrine and its derived formulated products. Our dependence on these third parties may impair the advancement of our research and development programs and the development of ensifentrine. Moreover, we intend to rely on third parties to produce commercial supplies of ensifentrine, if approved, and commercialization could be stopped, delayed or made less profitable if those third parties fail to obtain the necessary approvals from the FDA or comparable regulatory authorities, fail to provide us with sufficient quantities of product in a timely manner or fail to do so at acceptable quality levels or prices or fail to otherwise complete their duties in compliance with their obligations to us or other parties.</w:t>
      </w:r>
    </w:p>
    <w:p>
      <w:pPr>
        <w:spacing w:after="0" w:line="5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have limited personnel with experience in manufacturing, and we do not own facilities for manufacturing ensifentrine and its derived formulated products. Instead, we rely on and expect to continue to rely on third-party contract manufacturing organizations (CMOs), for the supply of cGMP- or GMP-grade clinical trial materials and commercial quantities of ensifentrine and its derived formulated products, if approved. While we may contract with other CMOs in the future, we currently have one CMO for the manufacture of ensifentrine drug substance and one CMO for each formulation of ensifentrine. The facilities used to manufacture ensifentrine and its derived formulated products must be approved by the FDA pursuant to inspections that will be conducted after we submit an NDA to the FDA, and by comparable foreign regulatory authorities for approvals outside the United States. While we provide sponsor oversight of manufacturing activities, we do not and will not directly control the manufacturing process of, and are or will be essentially dependent on, our CMOs for compliance with cGMP and similar foreign requirements for the manufacture of ensifentrine and its derived formulated products. If a CMO cannot successfully manufacture material that conforms to our specifications and the regulatory requirements of the FDA or a comparable foreign regulatory authority, it will not be able to secure or maintain regulatory approval for the manufacture of ensifentrine and its derived formulated products in its manufacturing facilities. In addition, we have little direct control over the ability of a CMO to maintain adequate quality control, quality assurance and qualified personnel. If the FDA or a comparable foreign regulatory authority does not approve these facilities for the manufacture of ensifentrine and its derived formulated products or if it withdraws any such approval in the future, we may need to find alternative manufacturing facilities, which would delay our development program and significantly impact our ability to develop, obtain regulatory approval for or market ensifentrine and its derived formulated products, if approved. In addition, any failure to achieve and maintain compliance with these laws, regulations and standards could subject us to the risk that we may have to suspend the manufacture of ensifentrine and its derived formulated products or that obtained approvals could be revoked. Furthermore, third-party providers may breach existing agreements they have with us because of factors beyond our control. They may also terminate or refuse to renew their agreement because of their own financial difficulties or business priorities, at a time that is costly or otherwise inconvenient for us. If we were unable to find an adequate replacement or another acceptable solution in time, our clinical trials could be delayed or our commercial activities could be harmed. In addition, the fact that we are dependent on our suppliers, CMOs and other third parties for the manufacture, storage and distribution of ensifentrine and its derived formulated products means that we are subject to the risk that ensifentrine and its derived formulated products may have manufacturing defects that we have limited ability to prevent, detect or control.</w:t>
      </w:r>
    </w:p>
    <w:p>
      <w:pPr>
        <w:spacing w:after="0" w:line="58"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We rely on and will continue to rely on CMOs to purchase from third-party suppliers the materials necessary to produce ensifentrine and its derived formulated products and the inhalation and nebulization devices to deliver ensifentrine. We do not and will not have any direct control over the process or timing of the acquisition and delivery of these supplies by any CMO or its third-party suppliers, or the quality or quantity of such supplies. These supplies could be interrupted from time to time and, if interrupted, we cannot be certain that alternative supplies could be obtained within a reasonable timeframe, at an acceptable cost or quality, or at all. There are a limited number of suppliers for the raw materials that we may use to manufacture ensifentrine and for the drug delivery devices (e.g. nebulizers) that we use for clinical trials with ensifentrine, and we will need to assess alternate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55" w:name="page56"/>
    <w:bookmarkEnd w:id="55"/>
    <w:p>
      <w:pPr>
        <w:jc w:val="both"/>
        <w:spacing w:after="0" w:line="228" w:lineRule="auto"/>
        <w:rPr>
          <w:sz w:val="20"/>
          <w:szCs w:val="20"/>
          <w:color w:val="auto"/>
        </w:rPr>
      </w:pPr>
      <w:r>
        <w:rPr>
          <w:rFonts w:ascii="Arial" w:cs="Arial" w:eastAsia="Arial" w:hAnsi="Arial"/>
          <w:sz w:val="14"/>
          <w:szCs w:val="14"/>
          <w:color w:val="auto"/>
        </w:rPr>
        <w:t>suppliers to prevent a possible disruption to our clinical trials, and if approved, ultimately to commercial sales. Although we generally do not begin a clinical trial unless we believe we have on hand, or will be able to obtain, a sufficient supply of ensifentrine to complete the clinical trial, any significant delay in the supply of ensifentrine drug products, or the raw material components needed to produce, or devices needed to deliver, ensifentrine, for an ongoing clinical trial due to our CMOs or their third-party suppliers could considerably delay completion of our clinical trials, product testing and potential regulatory approval of ensifentrine. If our CMOs, their third-party supplies, or we are unable to purchase these supplies after regulatory approval has been obtained for ensifentrine, the commercial launch of ensifentrine would be delayed or there would be a shortage in supply, which would impair our ability to generate revenues from the sale of ensifentrine. In addition, growth in the costs and expenses of these supplies may impair our ability to cost-effectively manufacture ensifentrine. Additionally, CMOs are experiencing labor constraints which could impact their ability to manufacture and deliver ensifentrine.</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We rely and will continue to rely on CMOs and third-party suppliers to comply with and respect the proprietary rights of others in conducting their contractual obligations for us. If a CMO or third-party suppliers fails to acquire the proper licenses or otherwise infringes third-party proprietary rights in the course of providing services to us, we may have to find alternative CMOs or third-party suppliers, or defend against claims of infringement, either of which would significantly impact our ability to develop, obtain regulatory approval for, or market ensifentrine and any of its derived formulated products, if approved.</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Intellectual Property and Information Technology</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rely on patents and other intellectual property rights to protect ensifentrine, the enforcement, defense and maintenance of which may be challenging and costly. Failure to enforce or protect these rights adequately could harm our ability to compete and impair our business.</w:t>
      </w:r>
    </w:p>
    <w:p>
      <w:pPr>
        <w:spacing w:after="0" w:line="48"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commercial success depends in part on obtaining and maintaining patents and other forms of intellectual property rights for ensifentrine, formulations of ensifentrine, polymorphs, salts and analogs of ensifentrine, methods used to manufacture ensifentrine, methods for manufacturing of final drug product for different inhalation devices such as nebulizer, DPI, pMDI, and the methods for treating patients with respiratory diseases using ensifentrine alone or in combination with other available products, or on in-licensing such rights. Our ensifentrine development program relies on the patents and patent applications assigned and know-how licensed from Ligand. The registrations of the assignment of each of these patents and patent applications with the relevant authorities in certain jurisdictions in which the patent and patent applications are registered have been granted, but there is no assurance that any additional registrations will be effected in a timely manner or at all. Failure to protect or to obtain, maintain or extend adequate patent and other intellectual property rights could adversely affect our ability to develop and market ensifentrine.</w:t>
      </w:r>
    </w:p>
    <w:p>
      <w:pPr>
        <w:spacing w:after="0" w:line="49"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The patent prosecution process is expensive and time-consuming, and we or our licensors, licensees or collaborators may not be able to prepare, file and prosecute all necessary or desirable patent applications at a reasonable cost or in a timely manner or in all jurisdictions. It is also possible that we or our licensors, licensees or collaborators will fail to identify patentable aspects of inventions made in the course of development and commercialization activities before it is too late to obtain patent protection on them. Moreover, depending on the terms of any future in-licenses to which we may become a party, in some circumstances we may not have the right to control the preparation, filing and prosecution of patent applications, or to maintain the patents, covering technology in-licensed from third parties. Therefore, these patents and applications may not be prosecuted and enforced in a manner consistent with the best interests of our business. Further, the issuance, scope, validity, enforceability and commercial value of our and our current or future licensors’, licensees’ or collaborators’ patent rights are highly uncertain. Our and our licensors’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We cannot provide assurance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ensifentrine, third parties may initiate an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56" w:name="page57"/>
    <w:bookmarkEnd w:id="56"/>
    <w:p>
      <w:pPr>
        <w:jc w:val="both"/>
        <w:spacing w:after="0" w:line="229" w:lineRule="auto"/>
        <w:rPr>
          <w:sz w:val="20"/>
          <w:szCs w:val="20"/>
          <w:color w:val="auto"/>
        </w:rPr>
      </w:pPr>
      <w:r>
        <w:rPr>
          <w:rFonts w:ascii="Arial" w:cs="Arial" w:eastAsia="Arial" w:hAnsi="Arial"/>
          <w:sz w:val="14"/>
          <w:szCs w:val="14"/>
          <w:color w:val="auto"/>
        </w:rPr>
        <w:t>Because patent applications are confidential for a period of time after filing, and some remain so until issued, we cannot be certain that we or our licensors were the first to file any patent application related to ensifentrine. Furthermore, if third parties have filed such patent applications on or before March 15, 2013, the date on which the U.S. patent filing system changed from a first-to-invent to a first-to-file standard,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may not identify relevant third-party patents or may incorrectly interpret the relevance, scope or expiration of a third-party patent which might adversely affect our ability to develop, manufacture and market ensifentrine.</w:t>
      </w:r>
    </w:p>
    <w:p>
      <w:pPr>
        <w:spacing w:after="0" w:line="48"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We cannot guarantee that any of our or our licensors’ patent searches or analyses, including but not limited to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ensifentrine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ensifentrine could have been filed by others without our knowledge. Additionally, pending patent applications that have been published can, subject to certain limitations, be later amended in a manner that could cover ensifentrine or the use of ensifentrine.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ensifentrine. We may incorrectly determine that ensifentrine is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ensifentrine. Our failure to identify and correctly interpret relevant patents may negatively impact our ability to develop and market ensifentrine.</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ensifentrine. We might, if possible, also be forced to redesign ensifentrine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may be involved in lawsuits to protect or enforce patents covering ensifentrine, which could be expensive, time consuming and unsuccessful, and issued patents could be found invalid or unenforceable if challenged in court.</w:t>
      </w:r>
    </w:p>
    <w:p>
      <w:pPr>
        <w:spacing w:after="0" w:line="48"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To protect our competitive position, we may from time to time need to resort to litigation in order to enforce or defend any patents or other intellectual property rights owned by or licensed to us, or to determine or challenge the scope or validity of patents or other intellectual property rights of third parties. As enforcement of intellectual property rights is difficult, unpredictable, time consuming and expensive, we may fail in enforcing our rights — in which case our competitors may be permitted to use our technology without being required to pay us any license fees. In addition, however, litigation involving our patents carries the risk that one or more of our patents will be held invalid (in whole or in part, on a claim-by-claim basis) or held unenforceable. Such an adverse court ruling could allow third parties to commercialize ensifentrine, and then compete directly with us, without payment to us. If we in-license intellectual property rights, our agreements may give our licensors the first right to control claims of third-party infringement, or to defend validity challenges. Therefore, these patents and patent applications may not be enforced or defended in a manner consistent with the best interests of our business.</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If we were to initiate legal proceedings against a third party to enforce a patent covering one of our products, the defendant could counterclaim that our patent is invalid or unenforceable. In patent litigation in the United States or in Europe, defendant counterclaims alleging invalidity or unenforceability are commonplace. Grounds for a validity challenge could be an alleged failure to meet any of several statutory requirements, for example, lack of novelty,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57" w:name="page58"/>
    <w:bookmarkEnd w:id="57"/>
    <w:p>
      <w:pPr>
        <w:jc w:val="both"/>
        <w:spacing w:after="0" w:line="250" w:lineRule="auto"/>
        <w:rPr>
          <w:sz w:val="20"/>
          <w:szCs w:val="20"/>
          <w:color w:val="auto"/>
        </w:rPr>
      </w:pPr>
      <w:r>
        <w:rPr>
          <w:rFonts w:ascii="Arial" w:cs="Arial" w:eastAsia="Arial" w:hAnsi="Arial"/>
          <w:sz w:val="13"/>
          <w:szCs w:val="13"/>
          <w:color w:val="auto"/>
        </w:rPr>
        <w:t>obviousness or non-enablement. Grounds for an unenforceability assertion could be an allegation that someone connected with prosecution of the patent withheld relevant information from the U.S. Patent and Trademark Office, or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ensifentrine. Patents and other intellectual property rights also will not protect our technology if competitors design around our protected technology without infringing our patents or other intellectual property rights.</w:t>
      </w:r>
    </w:p>
    <w:p>
      <w:pPr>
        <w:spacing w:after="0" w:line="49"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industry commentators or investors perceive these results to be negative, it could have an adverse effect on the price of our ADSs.</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48"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Our commercial success depends, in part, upon our ability, and the ability of our future collaborators, to develop, manufacture, market and sell our product candidates without alleged or actual infringement, misappropriation or other violation of the patents and proprietary rights of third parties.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The various markets in which we plan to operate are subject to frequent and extensive litigation regarding patents and other intellectual property rights. In addition, many companies in intellectual property-dependent industries, including the biopharmaceutical and pharmaceutical industries, have employed intellectual property litigation as a means to gain an advantage over their competitors. Numerous U.S. and foreign issued patents and pending patent applications, which are owned by third parties, exist in the fields in which we are developing ensifentrine.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ensifentrine may be subject to claims of infringement of the intellectual property rights of third parties.</w:t>
      </w:r>
    </w:p>
    <w:p>
      <w:pPr>
        <w:spacing w:after="0" w:line="40"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We may in the future become party to, or be threatened with, adversarial proceedings or litigation regarding intellectual property rights with respect to ensifentrine and any future product candidates, including interference or derivation proceedings, post grant review and inter partes review before the USPTO or similar adversarial proceedings or litigation in other jurisdictions. Similarly, we or our licensors or collaborators may initiate such proceedings or litigation against third parties, for example, to challenge the validity or scope of intellectual property rights controlled by third parties.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and the holders of any such patents may be able to block our ability to commercialize such product candidate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candidate unless we obtained a license or until such patent expires or is finally determined to be invalid or unenforceable. Such licenses may not be available on reasonable terms, or at all, or may be non-exclusive thereby giving our competitors access to the same technologies licensed to us.</w:t>
      </w:r>
    </w:p>
    <w:p>
      <w:pPr>
        <w:spacing w:after="0" w:line="57"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If we fail in any such dispute, we may be forced to pay damages, including the possibility of treble damages in a patent case if a court finds us to have willfully infringed certain intellectual property rights. We or our licensees may be temporarily or permanently prohibited from commercializing ensifentrine or from selling, incorporating, manufacturing or using our products in the United States and/or other jurisdictions that use the subject intellectual property. We might, if possible, also be forced to redesign ensifentrine so that we no longer infringe the third-party intellectual property rights, which may result in significant cost or delay to us, or which redesign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58" w:name="page59"/>
    <w:bookmarkEnd w:id="58"/>
    <w:p>
      <w:pPr>
        <w:jc w:val="both"/>
        <w:spacing w:after="0" w:line="249" w:lineRule="auto"/>
        <w:rPr>
          <w:sz w:val="20"/>
          <w:szCs w:val="20"/>
          <w:color w:val="auto"/>
        </w:rPr>
      </w:pPr>
      <w:r>
        <w:rPr>
          <w:rFonts w:ascii="Arial" w:cs="Arial" w:eastAsia="Arial" w:hAnsi="Arial"/>
          <w:sz w:val="14"/>
          <w:szCs w:val="14"/>
          <w:color w:val="auto"/>
        </w:rPr>
        <w:t>technically infeasible. Any of these events, even if we were ultimately to prevail, could require us to divert substantial financial and management resources that we would otherwise be able to devote to our business.</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claims challenging the inventorship of our patents and other intellectual property.</w:t>
      </w:r>
    </w:p>
    <w:p>
      <w:pPr>
        <w:spacing w:after="0" w:line="72"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Although we are not currently experiencing any claims challenging the inventorship of our patents or ownership of our intellectual property, we may in the future be subject to claims that former employees, collaborators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Intellectual property litigation could cause us to spend substantial resources and distract our personnel from their normal responsibilities.</w:t>
      </w:r>
    </w:p>
    <w:p>
      <w:pPr>
        <w:spacing w:after="0" w:line="7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such perceptions could have a substantial adverse effect on the price of our ADSs.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comply with our obligations under our existing and any future intellectual property licenses with third parties, we could lose license rights that are important to our business.</w:t>
      </w:r>
    </w:p>
    <w:p>
      <w:pPr>
        <w:spacing w:after="0" w:line="9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are party to a license agreement with Ligand, under which we in-license certain intellectual property and were assigned certain patents and patent applications related to our business. We may enter into additional license agreements in the future. We expect that any future license agreements would impose various diligence, milestone payment, royalty, insurance and other obligations on us. Any uncured, material breach under these license agreements could result in our loss of rights to practice the patent rights and other intellectual property licensed to us under these agreements, and could compromise our development and commercialization efforts for ensifentrine or any future product candidates. Under our agreement with Ligand, we may not abandon any of the assigned patents or allow any of the assigned patents to lapse without consent from Ligand, which is not to be unreasonably delayed or withheld. If we do not obtain such consent in a timely manner or at all and such assigned patent rights lapse or are abandoned, our agreement with Ligand may be terminated in its entirety. For example, if we decide for commercial reasons to let an assigned patent lapse in a country of little commercial importance, but Ligand does not provide consent and such patent rights lapse, we may lose all intellectual property rights covering ensifentrine in multiple markets. Moreover, our future licensors may own or control intellectual property that has not been licensed to us and, as a result, we may be subject to claims, regardless of their merit, that we are infringing or otherwise violating the licensor’s rights.</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successful in maintaining the necessary rights to ensifentrine or obtaining other intellectual property rights important to our business through acquisitions and in-licenses.</w:t>
      </w:r>
    </w:p>
    <w:p>
      <w:pPr>
        <w:spacing w:after="0" w:line="95"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We currently own and have in-licensed rights to intellectual property, including patents, patent applications and know-how, relating to ensifentrine, and our success will likely depend on maintaining these rights. Because our programs may require the use of proprietary rights held by third parties, the growth of our business will likely depend in part on our ability to acquire, in-license, maintain or use these proprietary rights. In addition, ensifentrine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59" w:name="page60"/>
    <w:bookmarkEnd w:id="59"/>
    <w:p>
      <w:pPr>
        <w:jc w:val="both"/>
        <w:spacing w:after="0" w:line="254" w:lineRule="auto"/>
        <w:rPr>
          <w:sz w:val="20"/>
          <w:szCs w:val="20"/>
          <w:color w:val="auto"/>
        </w:rPr>
      </w:pPr>
      <w:r>
        <w:rPr>
          <w:rFonts w:ascii="Arial" w:cs="Arial" w:eastAsia="Arial" w:hAnsi="Arial"/>
          <w:sz w:val="13"/>
          <w:szCs w:val="13"/>
          <w:color w:val="auto"/>
        </w:rPr>
        <w:t>may require specific formulations to work effectively and the rights to these formulations may be held by others. We may be unable to acquire or in-license any compositions, methods of use, processes, or other third-party intellectual property rights that we identify as necessary for ensifentrine.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the development of ensifentrine or a development program on acceptable terms, we may have to abandon development of ensifentrine or that development program.</w:t>
      </w:r>
    </w:p>
    <w:p>
      <w:pPr>
        <w:spacing w:after="0" w:line="46"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If our trademarks and trade names are not adequately protected, then we may not be able to build name recognition in our markets of interest and our competitive position may be adversely affected.</w:t>
      </w:r>
    </w:p>
    <w:p>
      <w:pPr>
        <w:spacing w:after="0" w:line="48"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We do not currently own any registered trademarks. We may not be able to obtain trademark protection in territories that we consider of significant importance to us. If we register trademarks, our trademark applications may be rejected during trademark registration proceedings. Although we will be given an opportunity to respond to those rejections, we may be unable to overcome such rejections. In addition, any of our trademarks or trade names, whether registered or unregistered, may be challenged, opposed, infringed, cancelled, circumvented or declared generic or determined to be infringing on other marks. We may not be able to protect our rights to these trademarks and trade names, which we need to build name recognition by potential collaborators or customers in our markets of interest. Over the long-term, if we are unable to establish name recognition based on our trademarks and trade names, then we may not be able to compete effectively and our business may be adversely affected. If other entities use trademarks similar to ours in different jurisdictions, or have senior rights to ours, it could interfere with our use of our current trademarks throughout the world.</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If we do not obtain protection under the Hatch-Waxman Amendments and similar non-U.S. legislation for extending the term of patents covering ensifentrine and any other product candidates, our ability to compete effectively could be impaired.</w:t>
      </w:r>
    </w:p>
    <w:p>
      <w:pPr>
        <w:spacing w:after="0" w:line="48"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Patents have a limited lifespan. In the United States, if all maintenance fees are timely paid, the natural expiration of a patent is generally 20 years from its earliest U.S. non-provisional filing date. The issued patents covering the composition of matter for ensifentrine expired in 2020, and our other issued patents will expire in 2031 to 2041, subject to any patent extensions that may be available for such patents. If patents are issued on our pending patent applications, the resulting patents are projected to expire on dates ranging from 2031 to 2036. Various extensions may be available, but the life of a patent, and the protection it affords, is limited. Even if patents covering ensifentrine are obtained, once the patent life has expired for a product, we may be open to competition from competitive medications, including generic medications.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54"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Depending upon the timing, duration and conditions of the FDA marketing approval of ensifentrine, one or more of our U.S. patents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enjoy only limited geographical protection with respect to certain patents and may face difficulties in certain jurisdictions, which may diminish the value of our intellectual property rights in those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60" w:name="page61"/>
    <w:bookmarkEnd w:id="60"/>
    <w:p>
      <w:pPr>
        <w:jc w:val="both"/>
        <w:spacing w:after="0" w:line="243" w:lineRule="auto"/>
        <w:rPr>
          <w:sz w:val="20"/>
          <w:szCs w:val="20"/>
          <w:color w:val="auto"/>
        </w:rPr>
      </w:pPr>
      <w:r>
        <w:rPr>
          <w:rFonts w:ascii="Arial" w:cs="Arial" w:eastAsia="Arial" w:hAnsi="Arial"/>
          <w:sz w:val="13"/>
          <w:szCs w:val="13"/>
          <w:color w:val="auto"/>
        </w:rPr>
        <w:t>We generally file our first patent application, or priority filing, at the United Kingdom Intellectual Property Office. International applications under the Patent Cooperation Treaty, or PCT, are usually filed within 12 months after the priority filing. Based on the PCT filing, national and regional patent applications may be filed in additional jurisdictions where we believe a product candidate may be marketed or manufactured. We have so far not filed for patent protection for ensifentrine in all national and regional jurisdictions where such protection may be available. Filing, prosecuting and defending patents in all countries throughout the world would be prohibitively expensive, and our intellectual property rights in some countries outside the United States can be less extensive than those in the United States. In addition, we may decide to abandon national and regional patent applications before grant. The grant proceeding of each national or regional patent is an independent proceeding which may lead to situations in which applications might in some jurisdictions be refused by the relevant patent offices, while granted by others. For example, unlike other countries, China has a heightened requirement for patentability, and specifically requires a detailed description of medical uses of a claimed drug.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Competitors may use our or our licensors’ or collaborators’ technologies in jurisdictions where we have not obtained patent protection to develop their own products and, further, may export otherwise infringing products to territories where we or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41"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The laws of some jurisdictions do not protect intellectual property rights to the same extent as the laws or rules and regulations in the United States and the EU,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56"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Intellectual property rights do not necessarily address all potential threats to our competitive advantage.</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48" w:lineRule="exact"/>
        <w:rPr>
          <w:sz w:val="20"/>
          <w:szCs w:val="20"/>
          <w:color w:val="auto"/>
        </w:rPr>
      </w:pPr>
    </w:p>
    <w:p>
      <w:pPr>
        <w:ind w:left="260" w:hanging="255"/>
        <w:spacing w:after="0"/>
        <w:tabs>
          <w:tab w:leader="none" w:pos="260" w:val="left"/>
        </w:tabs>
        <w:numPr>
          <w:ilvl w:val="0"/>
          <w:numId w:val="34"/>
        </w:numPr>
        <w:rPr>
          <w:rFonts w:ascii="Arial" w:cs="Arial" w:eastAsia="Arial" w:hAnsi="Arial"/>
          <w:sz w:val="12"/>
          <w:szCs w:val="12"/>
          <w:color w:val="auto"/>
        </w:rPr>
      </w:pPr>
      <w:r>
        <w:rPr>
          <w:rFonts w:ascii="Arial" w:cs="Arial" w:eastAsia="Arial" w:hAnsi="Arial"/>
          <w:sz w:val="12"/>
          <w:szCs w:val="12"/>
          <w:color w:val="auto"/>
        </w:rPr>
        <w:t>Others may be able to make compounds that are the same as or similar to our product candidates but that are not covered by the claims of the patents that we own or have exclusively licensed;</w:t>
      </w:r>
    </w:p>
    <w:p>
      <w:pPr>
        <w:spacing w:after="0" w:line="95" w:lineRule="exact"/>
        <w:rPr>
          <w:rFonts w:ascii="Arial" w:cs="Arial" w:eastAsia="Arial" w:hAnsi="Arial"/>
          <w:sz w:val="12"/>
          <w:szCs w:val="12"/>
          <w:color w:val="auto"/>
        </w:rPr>
      </w:pPr>
    </w:p>
    <w:p>
      <w:pPr>
        <w:ind w:left="260" w:hanging="255"/>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patents of third parties may impair our ability to develop or commercialize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61" w:name="page62"/>
    <w:bookmarkEnd w:id="61"/>
    <w:p>
      <w:pPr>
        <w:ind w:left="260" w:hanging="255"/>
        <w:spacing w:after="0" w:line="249" w:lineRule="auto"/>
        <w:tabs>
          <w:tab w:leader="none" w:pos="256"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or our licensors or any future strategic collaborators might not have been the first to conceive or reduce to practice the inventions covered by the issued patent or pending patent application that we own or have exclusively licensed.</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or our licensors or any future collaborators might not have been the first to file patent applications covering certain of our inventions.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Others may independently develop similar or alternative technologies or duplicate any of our technologies without infringing our intellectual property rights.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It is possible that our pending patent applications will not lead to issued patents.</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35"/>
        </w:numPr>
        <w:rPr>
          <w:rFonts w:ascii="Arial" w:cs="Arial" w:eastAsia="Arial" w:hAnsi="Arial"/>
          <w:sz w:val="14"/>
          <w:szCs w:val="14"/>
          <w:color w:val="auto"/>
        </w:rPr>
      </w:pPr>
      <w:r>
        <w:rPr>
          <w:rFonts w:ascii="Arial" w:cs="Arial" w:eastAsia="Arial" w:hAnsi="Arial"/>
          <w:sz w:val="14"/>
          <w:szCs w:val="14"/>
          <w:color w:val="auto"/>
        </w:rPr>
        <w:t>Issued patents that we own or have exclusively licensed may not provide us with any competitive advantage, or may be held invalid or unenforceable, as a result of legal challenges by our competitors.</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Third parties performing manufacturing or testing for us using our product candidates or technologies could use the intellectual property of others without obtaining a proper license.</w:t>
      </w:r>
    </w:p>
    <w:p>
      <w:pPr>
        <w:spacing w:after="0" w:line="83" w:lineRule="exact"/>
        <w:rPr>
          <w:rFonts w:ascii="Arial" w:cs="Arial" w:eastAsia="Arial" w:hAnsi="Arial"/>
          <w:sz w:val="13"/>
          <w:szCs w:val="13"/>
          <w:color w:val="auto"/>
        </w:rPr>
      </w:pPr>
    </w:p>
    <w:p>
      <w:pPr>
        <w:ind w:left="260" w:hanging="255"/>
        <w:spacing w:after="0"/>
        <w:tabs>
          <w:tab w:leader="none" w:pos="2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may not develop additional technologies that are patentable.</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patent laws or patent jurisprudence could diminish the value of patents in general, thereby impairing our ability to protect ensifentrine or any future product candidates.</w:t>
      </w:r>
    </w:p>
    <w:p>
      <w:pPr>
        <w:spacing w:after="0" w:line="8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As is the case with other biopharmaceutical companies, our success is heavily dependent on intellectual property, particularly patents. Obtaining and enforcing patents in the biopharmaceutical industry involve both technological complexity and legal complexity. Therefore, obtaining and enforcing biopharmaceutical patents is costly, time consuming and inherently uncertain. In addition, the America Invents Act, or the AIA, which was passed on September 16, 2011, resulted in significant changes to the U.S. patent system.</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but circumstances could prevent us from promptly filing patent applications on our inventions.</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54"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Accordingly, a third party may attempt to use the USPTO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or collaboration partners’ patent applications and the enforcement or defense of our or our licensors’ or collaboration partners’ issued patents.</w:t>
      </w:r>
    </w:p>
    <w:p>
      <w:pPr>
        <w:spacing w:after="0" w:line="4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has also increased in recent years. In addition, the European patent system is relatively stringent in the type of amendments that are allowed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color w:val="auto"/>
        </w:rPr>
        <w:t>prosecution. Complying with these laws and regulations could limit our ability to obtain new patents in the future that may be important for our business.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Confidentiality agreements with employees and others may not adequately prevent disclosure of trade secrets and protect other proprietary information.</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We consider proprietary trade secrets and confidential know-how and unpatented know-how to be important to our business. We may rely on trade secrets or confidential know-how to protect our technology, especially where patent protection is believed to be of limited value. However, trade secrets and confidential know-how are difficult to maintain as confidential.</w:t>
      </w:r>
    </w:p>
    <w:p>
      <w:pPr>
        <w:spacing w:after="0" w:line="24"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However, current or former employees, consultants, contractors and advisors may unintentionally or willfully disclose our confidential information to competitors, and confidentiality agreements may not provide an adequate remedy in the event of unauthorized disclosure of confidential information. Enforcing a claim that a third party obtained illegally and is using trade secrets and/or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Failure to obtain or maintain trade secrets and confidential know-how trade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and/or confidential know-how.</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4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46"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4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63" w:name="page64"/>
    <w:bookmarkEnd w:id="63"/>
    <w:p>
      <w:pPr>
        <w:jc w:val="both"/>
        <w:spacing w:after="0" w:line="287" w:lineRule="auto"/>
        <w:rPr>
          <w:sz w:val="20"/>
          <w:szCs w:val="20"/>
          <w:color w:val="auto"/>
        </w:rPr>
      </w:pPr>
      <w:r>
        <w:rPr>
          <w:rFonts w:ascii="Arial" w:cs="Arial" w:eastAsia="Arial" w:hAnsi="Arial"/>
          <w:sz w:val="13"/>
          <w:szCs w:val="13"/>
          <w:color w:val="auto"/>
        </w:rPr>
        <w:t>failure to properly legalize and submit formal documents. If we or our licensors or collaboration partners fail to maintain the patents and patent applications covering our product candidates, our competitors might be able to enter the market, which would hurt our competitive position and could impair our ability to successfully commercialize any product candidate.</w:t>
      </w:r>
    </w:p>
    <w:p>
      <w:pPr>
        <w:spacing w:after="0" w:line="2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b w:val="1"/>
          <w:bCs w:val="1"/>
          <w:i w:val="1"/>
          <w:iCs w:val="1"/>
          <w:color w:val="auto"/>
        </w:rPr>
        <w:t>Our information technology systems, and those of our manufacturers, suppliers and other third parties that we use to conduct our pre-clinical and clinical trials or otherwise collaborate with, may fail or suffer security breaches, which could distract our operations and cause delays in our research and development work, and may adversely affect our business, operations and financial performance.</w:t>
      </w:r>
    </w:p>
    <w:p>
      <w:pPr>
        <w:spacing w:after="0" w:line="5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the ordinary course of our business, we and our manufacturers, suppliers and third parties that we use to conduct our pre-clinical and clinical trials or otherwise collaborate with, collect and store sensitive data, including intellectual property, clinical trial data, proprietary business information and personally identifiable information of our clinical trial subjects and employees, in our and third-party data centers and on our and third-party networks. The secure processing, maintenance and transmission of this information is critical to our operations. Our information technology and other internal infrastructure systems, including corporate firewalls, servers, leased lines and connection to the Internet, and that of our manufacturers, suppliers and other third parties that we use to conduct our pre-clinical and clinical trials or otherwise collaborate with, face the risk of systemic failure that could disrupt our operations. A significant disruption in the availability of these information technology and other internal infrastructure systems could cause interruptions in our collaborations and delays in our research and development work.Further, our information technology systems and those of our third-party service providers, strategic partners and other contractors or consultants are vulnerable to damage or interruption from computer viruses, ransomware attacks,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or disrupt, systems change frequently and often are not recognized until launched against a target, we may be unable to anticipate these techniques or implement adequate preventative measures. We may also experience security breaches that may remain undetected for an extended period. Despite security measures that we and our critical third parties (e.g., collaborators) implement, our information technology and infrastructure may be vulnerable to attacks by hackers or internal bad actors, breaches due to human error, technical vulnerabilities,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data, regulatory penalties, disrupt our operations, damage our reputation, and cause a loss of confidence in us and our ability to conduct clinical trials, which could adversely affect our reputation and delay clinical development of our product candidates. Any losses, costs or liabilities may not be covered by, or may exceed the coverage limits of, any or all applicable insurance policies.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Employee Matters and Managing Growth</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future growth and ability to compete depends on our ability to retain our key personnel and recruit additional qualified personnel.</w:t>
      </w:r>
    </w:p>
    <w:p>
      <w:pPr>
        <w:spacing w:after="0" w:line="7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success depends upon the contributions of our key management, scientific and technical personnel, many of whom have been instrumental for us and have substantial experience with ensifentrine and related technologies. Our key management individuals include our chief executive officer, David Zaccardelli, our chief financial officer, Mark Hahn, our general counsel, Claire Poll, our chief medical officer, Kathleen Rickard, our senior vice president, chemistry manufacturing and controls, Peter Spargo, our senior vice president, regulatory affairs, Caroline Diaz, our senior vice president of commercial, Christopher Martin, and our senior vice president, R&amp;D, Tara Rheault. The loss of key managers and senior scientists could delay our research and development activities. In addition, the competition for qualified personnel in the biopharmaceutical and pharmaceutical field is intense, and our future success depends upon our ability to attract, retain and motivate highly skilled scientific, technical and managerial employees. We face competition for personnel from other companies, universities, public and private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64" w:name="page65"/>
    <w:bookmarkEnd w:id="64"/>
    <w:p>
      <w:pPr>
        <w:jc w:val="both"/>
        <w:spacing w:after="0" w:line="249" w:lineRule="auto"/>
        <w:rPr>
          <w:sz w:val="20"/>
          <w:szCs w:val="20"/>
          <w:color w:val="auto"/>
        </w:rPr>
      </w:pPr>
      <w:r>
        <w:rPr>
          <w:rFonts w:ascii="Arial" w:cs="Arial" w:eastAsia="Arial" w:hAnsi="Arial"/>
          <w:sz w:val="14"/>
          <w:szCs w:val="14"/>
          <w:color w:val="auto"/>
        </w:rPr>
        <w:t>institutions and other organizations. If our recruitment and retention efforts are unsuccessful in the future, it may be difficult for us to achieve our product candidate development objectives, raise additional capital and implement our business strategy.</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4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expect to experience significant growth in the number of our employees and the scope of our operations, particularly in the areas of drug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ADSs</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Certain of our shareholders, members of our board of directors, and senior management own a majority of our ordinary shares (including ordinary shares represented by ADSs) and as a result, are be able to exercise significant control over us.</w:t>
      </w:r>
    </w:p>
    <w:p>
      <w:pPr>
        <w:spacing w:after="0" w:line="48"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As of December 31, 2021, our senior management, board of directors and greater than 5% shareholders and their respective affiliates, in the aggregate, owned approximately 45% of our outstanding voting ordinary shares (including ordinary shares represented by ADSs) assuming no exercise of outstanding options or warrants. Depending on the level of attendance at our general meetings of shareholders, these shareholders either alone or voting together as a group may be in a position to determine or significantly influence the outcome 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and the approval of certain significant corporate transactions. Among other consequences, this concentration of ownership may have the effect of delaying or preventing a change in control and might therefore negatively affect the market price of our ADSs and ordinary shares.</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Because we do not anticipate paying any cash dividends on our ADSs or ordinary shares in the foreseeable future, capital appreciation, if any, will be our ADS holders’ and shareholders’ sole source of gains and they may never receive a return on their investment.</w:t>
      </w:r>
    </w:p>
    <w:p>
      <w:pPr>
        <w:spacing w:after="0" w:line="48"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Under current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We intend to retain earnings, if any, for use in our business and do not anticipate paying any cash dividends in the foreseeable future. As a result, capital appreciation, if any, on our ADSs or ordinary shares will be our ADS holders’ and shareholders’ sole source of gain for the foreseeable future, and they will suffer a loss on their investment if they are unable to sell their ADSs or ordinary shares at or above the price at which they were purchased. Investors seeking cash dividends should not purchase our ADSs or ordinary shares.</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Holders of our ADSs may not have the same voting rights as the holders of our ordinary shares and may not receive voting materials in time to be able to exercise their right to vote.</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Holders of our ADSs are not be able to exercise voting rights attaching to the ordinary shares evidenced by our ADSs on an individual basis. Holders of our ADSs have appointed a depositary as their representative to exercise the voting rights attaching to the ordinary shares represented by their ADSs. Holders of our ADSs may not receive voting materials in time to instruct the depositary to vote, and it is possible that they,or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holders of our ADSs may not be able to exercise voting rights and may lack recourse if their ADSs are not voted as requested. In addition, holders of our ADSs will not be able to call a shareholders’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65" w:name="page66"/>
    <w:bookmarkEnd w:id="65"/>
    <w:p>
      <w:pPr>
        <w:spacing w:after="0"/>
        <w:rPr>
          <w:sz w:val="20"/>
          <w:szCs w:val="20"/>
          <w:color w:val="auto"/>
        </w:rPr>
      </w:pPr>
      <w:r>
        <w:rPr>
          <w:rFonts w:ascii="Arial" w:cs="Arial" w:eastAsia="Arial" w:hAnsi="Arial"/>
          <w:sz w:val="13"/>
          <w:szCs w:val="13"/>
          <w:b w:val="1"/>
          <w:bCs w:val="1"/>
          <w:i w:val="1"/>
          <w:iCs w:val="1"/>
          <w:color w:val="auto"/>
        </w:rPr>
        <w:t>Holders of our ADSs may not receive distributions on our ordinary shares represented by our ADSs or any value for them if it is illegal or impractical to make them available to them.</w:t>
      </w:r>
    </w:p>
    <w:p>
      <w:pPr>
        <w:spacing w:after="0" w:line="84"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The depositary for our ADSs has agreed to pay to holders of our ADSs the cash dividends or other distributions it or the custodian receives on our ordinary shares or other deposited securities after deducting its fees and expenses. Holders of our ADSs will receive these distributions in proportion to the number of our ordinary shares their ADSs represent. However, in accordance with the limitations set forth in the deposit agreement entered into with the depositary, it may be unlawful or impractical to make a distribution available to holders of our ADSs. We have no obligation to take any other action to permit the distribution of our ADSs, ordinary shares, rights or anything else to holders of our ADSs. This means that holders of our ADSs may not receive the distributions we make on our ordinary shares or any value from them if it is unlawful or impractical to make the distributions available to them. These restrictions may have a material adverse effect on the value of our ADSs.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Holders of our ADSs may be subject to limitations on transfer of their ADSs.</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 These limitations on transfer may have a material adverse effect on the value of our ADSs.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rights of our shareholders may differ from the rights typically offered to shareholders of a U.S. corporation.</w:t>
      </w:r>
    </w:p>
    <w:p>
      <w:pPr>
        <w:spacing w:after="0" w:line="72"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material respects from the rights of shareholders in typical U.S. corporations. As a result, investors in our ordinary shares or ADSs may not have the same protections or rights as they would if they had invested in a U.S. corporation. This may make our ADSs less attractive to such investors, which could harm the value of our ADSs.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Claims of U.S. civil liabilities may not be enforceable against us.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We are incorporated under English law. Substantially all of our assets are located outside the United States. The majority of our senior management and board of directors reside outside the United States. As a result, it may not be possible for investors to effect service of process within the United States upon such persons or to enforce judgments obtained in U.S. courts against them or us, including judgments predicated upon the civil liability provisions of the U.S. federal securities laws.</w:t>
      </w:r>
    </w:p>
    <w:p>
      <w:pPr>
        <w:spacing w:after="0" w:line="54"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The United States and the United Kingdom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United Kingdom. In addition, uncertainty exists as to whether U.K. courts would entertain original actions brought in the United Kingdom against us or our directors or senior management predicated upon the securities laws of the United States or any state in the United States. Any final and conclusive monetary judgment for a definite sum obtained against us in U.S. courts would be treated by the courts of the United Kingdom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5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As a result, U.S. investors may not be able to enforce against us or our senior management, board of directors or certain experts named herein who are residents of the United Kingdom or countries other than the United States any judgments obtained in U.S. courts in civil and commercial matters, including judgments under the U.S. federal securities laws.</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As of January 1, 2021, we were no longer a foreign private issuer and we are required to comply with the provisions of the Exchange Act, and the rules of Nasdaq, applicable to U.S. domestic issuers, which will continue to require us to incur significant expenses and expend time and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66" w:name="page67"/>
    <w:bookmarkEnd w:id="66"/>
    <w:p>
      <w:pPr>
        <w:jc w:val="both"/>
        <w:spacing w:after="0" w:line="243" w:lineRule="auto"/>
        <w:rPr>
          <w:sz w:val="20"/>
          <w:szCs w:val="20"/>
          <w:color w:val="auto"/>
        </w:rPr>
      </w:pPr>
      <w:r>
        <w:rPr>
          <w:rFonts w:ascii="Arial" w:cs="Arial" w:eastAsia="Arial" w:hAnsi="Arial"/>
          <w:sz w:val="13"/>
          <w:szCs w:val="13"/>
          <w:color w:val="auto"/>
        </w:rPr>
        <w:t>As of January 1, 2021, we were no longer a foreign private issuer, and we are required to comply with all of the provisions applicable to a U.S. domestic issuer under the Exchange Act, including filing an annual report on Form 10-K, quarterly periodic reports and current reports for certain events, complying with the sections of the Exchange Act regulating the solicitation of proxies, requiring insiders to file public reports of their share ownership and trading activities and insiders being liable for profit from trades made in a short period of time. We are also no longer exempt from the requirements of Regulation FD promulgated under the Exchange Act related to selective disclosures. We are also no longer permitted to follow our home country’s rules in lieu of the corporate governance obligations imposed by Nasdaq, and are required to comply with the governance practices required by U.S. domestic issuers listed on Nasdaq. We are also required to comply with all other rules of Nasdaq applicable to U.S. domestic issuers, including that our articles of association specify a quorum of no less than one-third of our outstanding voting common shares for meetings of our common shareholders, the solicitation of proxies and the approval by our shareholders in connection with certain events such as the acquisition of stock or assets of another company, the establishment of or amendments to equity-based compensation plans for employees, a change of control and certain private placements. In addition, we are required to report our financial results under U.S. generally accepted accounting principles, including our historical financial results, which have previously been prepared in accordance with IFRS. The regulatory and compliance costs associated with the reporting and governance requirements applicable to U.S. domestic issuers may be significantly higher than the costs we previously incurred as a foreign private issuer.</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 regulatory and compliance costs associated with the reporting and governance requirements applicable to U.S. domestic issuers may be significantly higher than the costs we previously incurred as a foreign private issuer. We expect to continue to incur significant legal, accounting, insurance and other expenses and to expend greater time and resources to comply with these requirements. In addition, we may need to develop our reporting and compliance infrastructure and may face challenges in complying with the new requirements applicable to us.</w:t>
      </w:r>
    </w:p>
    <w:p>
      <w:pPr>
        <w:spacing w:after="0" w:line="4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are an “emerging growth company,” and we cannot be certain if the reduced reporting requirements applicable to “emerging growth companies” will make our ADSs less attractive to investors.</w:t>
      </w:r>
    </w:p>
    <w:p>
      <w:pPr>
        <w:spacing w:after="0" w:line="48"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For as long as we continue to be an emerging growth company, or EGC, we may take advantage of exemptions from various reporting requirements that are applicable to other public companies that are not EGCs, including not being required to comply with the auditor attestation requirements of Section 404, not being required to present selected financial data for any period prior to the earliest audited period presented in our first registration statement, and exemptions from the requirement of holding a shareholder nonbinding advisory vote on executive compensation and golden parachute payments and from having to disclose the ratio of compensation of our chief executive officer to the median compensation of our employee. We may take advantage of these exemptions until we are no longer an EGC. We could be an EGC for up to five years, although circumstances could cause us to lose that status earlier, including if the aggregate market value of our ADSs and ordinary shares held by non-affiliates exceeds $700 million as of any June 30 (the end of our second fiscal quarter), in which case we would no longer be an emerging growth company as of the following December 31 (our fiscal year-end). We cannot predict if investors will find our ADSs less attractive because we may rely on these exemptions. If some investors find our ADSs less attractive as a result, there may be a less active trading market for our ADSs and the price of our ADSs may be more volatile.</w:t>
      </w:r>
    </w:p>
    <w:p>
      <w:pPr>
        <w:spacing w:after="0" w:line="5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w:t>
      </w:r>
    </w:p>
    <w:p>
      <w:pPr>
        <w:spacing w:after="0" w:line="4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ADSs.</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Management will be required to assess the effectiveness of our internal controls annually. However, for as long as we are an EGC,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Undetected material weaknesses in our internal controls could lead to financial statement restatements requiring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color w:val="auto"/>
        </w:rPr>
        <w:t>to incur the expense of remediation and could also result in an adverse reaction in the financial markets due to a loss of confidence in the reliability of our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have inadvertently violated Section 13(k) of the Exchange Act (implementing Section 402 of the Sarbanes-Oxley Act of 2002) and may be subject to sanctions as a result.</w:t>
      </w:r>
    </w:p>
    <w:p>
      <w:pPr>
        <w:spacing w:after="0" w:line="84"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Section 13(k) of the Exchange Act provides that it is unlawful for a company, such as ours, that has a class of securities registered under Section 12 of the Exchange Act to, directly or indirectly, including through any subsidiary, extend or maintain credit in the form of a personal loan to or for any director or executive officer of the company. In August 2018, a receivable arose with respect to taxes due upon the vesting of restricted share units held by one of our directors and two of our executive officers, which may have violated Section 13(k) of the Exchange Act. The receivable was repaid, with interest, in March 2019, as soon as management became aware of the possible violation. Issuers that are found to have violated Section 13(k) of the Exchange Act may be subject to civil sanctions, including injunctive remedies and monetary penalties, as well as criminal sanctions. The imposition of any of such sanctions on us could have a material adverse effect on our business, financial position, results of operations or cash flows.</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Changes in our tax rates, unavailability of certain tax credits or reliefs or exposure to additional tax liabilities or assessments could affect our profitability, and audits by tax authorities could result in additional tax payments for prior periods.</w:t>
      </w:r>
    </w:p>
    <w:p>
      <w:pPr>
        <w:spacing w:after="0" w:line="48"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We carry out research and development activities including, but not limited to, developing ensifentrine for various indications and delivery methods, and as a result we benefit in the U.K. from the HM Revenue and Customs, or HMRC, small and medium sized enterprises research and development relief, or SME R&amp;D Relief, which provides relief against U.K. Corporation Tax.</w:t>
      </w:r>
    </w:p>
    <w:p>
      <w:pPr>
        <w:spacing w:after="0" w:line="2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Broadly, SME R&amp;D Relief comprises two elements, (a) allowing qualifying SMEs to deduct a total of 230% (an additional 130% deduction plus the usual 100% deduction) of their qualifying expenditure from their yearly profit for U.K. Corporation Tax purposes, or the SME R&amp;D Additional Deduction and, (b) where there are not sufficient profits for U.K. Corporation Tax purposes to fully utilize the SME R&amp;D Additional Deduction, the excess (“surrenderable losses”) can be carried forward to offset against future taxable profits, or a tax credit currently equal to 14.5% of such surrenderable loss can be claimed in cash, or the SME R&amp;D Tax Credit.</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Based on criteria established by HMRC a portion of expenditure incurred in relation to our research and development activities including, but not limited to, operating clinical trials, manufacturing, consultant and salary and related costs, is eligible for the SME R&amp;D Additional Deduction. Our consequential surrenderable losses are currently eligible for the SME R&amp;D Tax Credit, in accordance with HMRC criteria.</w:t>
      </w:r>
    </w:p>
    <w:p>
      <w:pPr>
        <w:spacing w:after="0" w:line="54"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In the financial statements for the year ended December 31, 2020, we recorded an SME R&amp;D Tax Credit of $8.3 million which was subsequently received in cash in the year ended December 31, 2021. For the year ended December 31, 2021, we recorded an SME R&amp;D Tax Credit of $15.6 million, which we expect to receive in the year ending December 31, 2022.</w:t>
      </w:r>
    </w:p>
    <w:p>
      <w:pPr>
        <w:spacing w:after="0" w:line="2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New rules were introduced, effective for accounting periods starting after April 1, 2021, whereby the amount of SME payable R&amp;D tax credit that a business can receive in any one year will be capped at £20,000 plus three times the company’s total Pay As You Earn (“PAYE”) and National Insurance contributions (“NIC”) liability. Exemptions to the cap have been introduced which are available to companies that meet certain conditions. We are currently reviewing the impact these changes could have on our tax credit for the year ending December 31, 2022, which would be payable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i w:val="1"/>
          <w:iCs w:val="1"/>
          <w:color w:val="auto"/>
        </w:rPr>
        <w:t>Taxation</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believe we will likely be classified as a passive foreign investment company for U.S. federal income tax purposes for the taxable year ended December 31, 2021, which could result in adverse U.S. federal income tax consequences to U.S. investors in our ADSs.</w:t>
      </w:r>
    </w:p>
    <w:p>
      <w:pPr>
        <w:spacing w:after="0" w:line="48"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Because we do not earn revenue from our business operations, and because our sole source of income currently is interest on bank accounts held by us, we believe we will likely be classified as a “passive foreign investment company,” or PFIC, for the taxable year ended December 31, 2021. A non-U.S. company will be considered a PFIC for any taxable year if (i) at least 75% of its gross income is passive income (including interest income), or (ii) at least 50% of the value of its assets (based on an average of the quarterly values of the assets during a taxable year) is attributable to assets that produce or are held for the production of passive income. If we are classified as a PFIC in any year with respect to which a U.S. Holder (as defined below) owns our ordinary shares or ADSs, we will continue to be treated as a PFIC with respect to such U.S. Holder in all succeeding years during which the U.S. Holder owns our ordinary shares or ADSs, regardless of whether we continue to meet the PFIC test described above, unless the U.S. Holder makes a specified election once we cease to be a PFIC. If we are classified as a PFIC for any taxable year during which a U.S. Holder holds our ordinary shares or ADSs, certain adverse U.S. federal income tax consequences could apply to such U.S. Holder, including (i) the treatment of all or a portion of any gain on disposition as ordinary income, (ii) the application of a deferred interest charge on such gain and the receipt of certain dividends and (iii) the obligation to comply with certain reporting requirements. A “U.S. Holder” is a holder who, for U.S. federal income tax purposes, is a beneficial owner of our ordinary shares or ADSs who is a citizen or individual resident of the United States, a corporation, or other entity taxable as a corporation, created or organized in or under the laws of the United States, any state therein or the District of Columbia; or an estate or trust the income of which is subject to U.S. federal income taxation regardless of its source.</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a U.S. Holder is treated as owning at least 10% of our ordinary shares or ADSs, such holder may be subject to adverse U.S. federal income tax consequences.</w:t>
      </w:r>
    </w:p>
    <w:p>
      <w:pPr>
        <w:spacing w:after="0" w:line="72"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If a U.S. Holder (as defined above) is treated as owning, directly, indirectly or constructively, at least 10% of the value or voting power of our ordinary shares or ADSs, such U.S. Holder may be treated as a “United States shareholder” with respect to each “controlled foreign corporation” or “CFC” in our group, if any. Because our group includes one or more U.S. subsidiaries, certain of our non-U.S. subsidiaries could be treated as CFCs, regardless of whether we are treated as a CFC. A United States shareholder of a controlled foreign corporation may be required to annually report and include in its U.S. taxable income its pro rata share of “Subpart F income,” “global intangible low-taxed income” and investments in U.S. property by CFCs, regardless of whether we make any distributions. An individual that is a United States shareholder with respect to a CFC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our investors in determining whether any of our non-U.S. subsidiaries are treated as a CFC or whether such investor is treated as a United States shareholder with respect to any of such CFCs. Further, we cannot provide any assurances that we will furnish to any United States shareholder information that may be necessary to comply with the reporting and tax paying obligations described in this risk factor. U.S. Holders should consult their tax advisors regarding the potential application of these rules to their investment in our ordinary shares or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color w:val="auto"/>
        </w:rPr>
        <w:t>General Risks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price of our ADSs may be volatile and may fluctuate due to factors beyond our control.</w:t>
      </w:r>
    </w:p>
    <w:p>
      <w:pPr>
        <w:spacing w:after="0" w:line="72"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The trading market for publicly traded emerging biopharmaceutical and drug discovery and development companies has been highly volatile and is likely to remain highly volatile in the future. The market price of our ADSs may fluctuate significantly due to a variety of factors, including:</w:t>
      </w:r>
    </w:p>
    <w:p>
      <w:pPr>
        <w:spacing w:after="0" w:line="48" w:lineRule="exact"/>
        <w:rPr>
          <w:sz w:val="20"/>
          <w:szCs w:val="20"/>
          <w:color w:val="auto"/>
        </w:rPr>
      </w:pPr>
    </w:p>
    <w:p>
      <w:pPr>
        <w:ind w:left="260" w:hanging="255"/>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positive or negative results from, or delays in, clinical trials of ensifentrine;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developments in our competitors’ businesses;</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36"/>
        </w:numPr>
        <w:rPr>
          <w:rFonts w:ascii="Arial" w:cs="Arial" w:eastAsia="Arial" w:hAnsi="Arial"/>
          <w:sz w:val="14"/>
          <w:szCs w:val="14"/>
          <w:color w:val="auto"/>
        </w:rPr>
      </w:pPr>
      <w:r>
        <w:rPr>
          <w:rFonts w:ascii="Arial" w:cs="Arial" w:eastAsia="Arial" w:hAnsi="Arial"/>
          <w:sz w:val="14"/>
          <w:szCs w:val="14"/>
          <w:color w:val="auto"/>
        </w:rPr>
        <w:t>delays in entering into collaborations and strategic relationships with respect to development or commercialization of ensifentrine or entry into collaborations and strategic relationships on terms that are not deemed to be favorable to us;</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technological innovations or commercial product introductions by us or competitors;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changes in government regulations;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developments concerning proprietary rights, including patents and litigation matters;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public concern relating to the commercial value or safety of ensifentrine;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financing or other corporate transactions;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publication of research reports or comments by securities or industry analysts or commentators;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general market conditions in the pharmaceutical industry or in the economy as a whole;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loss of any of our key scientific or senior management personnel;</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sales of our ADSs by us, our senior management or board members, and significant holders of our ADSs; or</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other events and factors, many of which are beyond our control.</w:t>
      </w:r>
    </w:p>
    <w:p>
      <w:pPr>
        <w:spacing w:after="0" w:line="72"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These and other market and industry factors may cause the market price and demand for our ADSs to fluctuate substantially, regardless of our actual operating performance, which may limit or prevent investors from readily selling their ADSs and may otherwise negatively affect the liquidity of our ADSs. In addition, the stock market in general,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sometimes instituted securities class action litigation against the issuer. If any of the holders of our ADSs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Future sales, or the possibility of future sales, of a substantial number of our ADSs or ordinary shares could adversely affect the price of our ADSs.</w:t>
      </w:r>
    </w:p>
    <w:p>
      <w:pPr>
        <w:spacing w:after="0" w:line="72"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Future sales of a substantial number of our ADSs or ordinary shares, or the perception that such sales will occur, could cause a decline in the market price of our ADSs. Sales in the United States of our ADSs and ordinary shares held by our directors, officers and affiliated shareholders are subject to restrictions. If these shareholders sell substantial amounts of ordinary shares or ADSs in the public market, or the market perceives that such sales may occur, the market price of our ADSs and our ability to raise capital through an issue of equity securities in the future could be adversely affected.</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If securities or industry analysts or commentators publish inaccurate or unfavorable research, about our business, the price of our ADSs and ordinary shares and our trading volume could decline.</w:t>
      </w:r>
    </w:p>
    <w:p>
      <w:pPr>
        <w:spacing w:after="0" w:line="48"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trading market for our ADSs and ordinary shares depends in part on the research and reports that securities or industry analysts or commentators publish about us or our business. If one or more of the analysts who cover us downgrade our ADSs or if they or other industry commentators publish inaccurate or unfavorable research or comments about our business, the price of our ADSs and ordinary shares would likely decline. If one or more of these analysts cease coverage of us or fail to publish reports on us regularly, demand for our ADSs could decrease, which might cause the price of our ADSs and ordinary shares and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70" w:name="page71"/>
    <w:bookmarkEnd w:id="70"/>
    <w:p>
      <w:pPr>
        <w:jc w:val="both"/>
        <w:spacing w:after="0" w:line="249" w:lineRule="auto"/>
        <w:rPr>
          <w:sz w:val="20"/>
          <w:szCs w:val="20"/>
          <w:color w:val="auto"/>
        </w:rPr>
      </w:pPr>
      <w:r>
        <w:rPr>
          <w:rFonts w:ascii="Arial" w:cs="Arial" w:eastAsia="Arial" w:hAnsi="Arial"/>
          <w:sz w:val="14"/>
          <w:szCs w:val="14"/>
          <w:b w:val="1"/>
          <w:bCs w:val="1"/>
          <w:i w:val="1"/>
          <w:iCs w:val="1"/>
          <w:color w:val="auto"/>
        </w:rPr>
        <w:t>We have incurred and expect to continue to incur increased costs as a result of operating as a public company in the United States, and our senior management are required to devote substantial time to new compliance initiatives and corporate governance practices.</w:t>
      </w:r>
    </w:p>
    <w:p>
      <w:pPr>
        <w:spacing w:after="0" w:line="4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As a U.S. public company, and particularly after we no longer qualify as an EGC, we have incurred and expect to continue to incur significant legal, accounting and other expenses that we did not incur prior to becoming a U.S. public company.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have devoted and will need to continue to devote a substantial amount of time to these compliance initiatives. Moreover, these rules and regulations will continue to increase our legal and financial compliance costs and will make some activities more time-consuming and costly.</w:t>
      </w:r>
    </w:p>
    <w:p>
      <w:pPr>
        <w:spacing w:after="0" w:line="49"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54"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Pursuant to Section 404 of the Sarbanes-Oxley Act of 2002, or Section 404, we are required to furnish a report by our senior management on our internal control over financial reporting. However, while we remain an EGC, we will not be required to include an attestation report on internal control over financial reporting issued by our independent registered public accounting firm. To prepare for eventual compliance with Section 404, once we no longer qualify as an EGC,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 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200" w:lineRule="exact"/>
        <w:rPr>
          <w:sz w:val="20"/>
          <w:szCs w:val="20"/>
          <w:color w:val="auto"/>
        </w:rPr>
      </w:pP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color w:val="auto"/>
        </w:rPr>
        <w:t>Unresolved Staff Comments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53"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Our corporate headquarters is in leased office space at 3 More London Riverside, London, U.K. The leases on the offices expire in the first quarter of 2023. We also have office space at 8045 Arco Corporate Drive, Suite 130, Raleigh, NC 27617, USA, that expires in the second quarter of 2024. We believe that these facilities are adequate to meet our current and near term needs.</w:t>
      </w:r>
    </w:p>
    <w:p>
      <w:pPr>
        <w:spacing w:after="0" w:line="105"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Legal Proceedings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From time to time, we may become involved in legal proceedings arising in the ordinary course of our business. We are not currently subject to any material legal proceedings.</w:t>
      </w:r>
    </w:p>
    <w:p>
      <w:pPr>
        <w:spacing w:after="0" w:line="153"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161"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2"/>
          <w:szCs w:val="12"/>
          <w:b w:val="1"/>
          <w:bCs w:val="1"/>
          <w:color w:val="auto"/>
        </w:rPr>
        <w:t>Market for Registrant’s Common Equity, Related Stockholder Matters and 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i w:val="1"/>
          <w:iCs w:val="1"/>
          <w:color w:val="auto"/>
        </w:rPr>
        <w:t>Market Information and Holders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Prior to October 30, 2020, our ordinary shares were traded on the AIM Market of the London Stock Exchange under the symbol “VRP”. We canceled the admission of the ordinary shares to trading on AIM on October 30, 2020 and our ordinary shares are now not publicly traded. Our American Depositary Shares (“ADSs”) have been publicly traded on the Nasdaq Global Market under the symbol “VRNA” since April 27, 2017.</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Each ADS represents eight ordinary shares of Verona Pharma plc.</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As of February 18, 2022, 99.7% of our ordinary shares are held in ADS form, between 54 registered holders. The 0.3% balance of our ordinary shares are held as unlisted ordinary shares.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Dividends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Sales of Unregistered Securities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72" w:name="page73"/>
    <w:bookmarkEnd w:id="72"/>
    <w:p>
      <w:pPr>
        <w:spacing w:after="0"/>
        <w:tabs>
          <w:tab w:leader="none" w:pos="5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[Reserved]</w:t>
      </w:r>
    </w:p>
    <w:p>
      <w:pPr>
        <w:spacing w:after="0" w:line="157"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2"/>
          <w:szCs w:val="12"/>
          <w:b w:val="1"/>
          <w:bCs w:val="1"/>
          <w:color w:val="auto"/>
        </w:rPr>
        <w:t>Management’s Discussion and Analysis of Financial Condition and Results of Operations</w:t>
      </w:r>
    </w:p>
    <w:p>
      <w:pPr>
        <w:spacing w:after="0" w:line="161" w:lineRule="exact"/>
        <w:rPr>
          <w:sz w:val="20"/>
          <w:szCs w:val="20"/>
          <w:color w:val="auto"/>
        </w:rPr>
      </w:pPr>
    </w:p>
    <w:p>
      <w:pPr>
        <w:jc w:val="both"/>
        <w:spacing w:after="0" w:line="230" w:lineRule="auto"/>
        <w:rPr>
          <w:sz w:val="20"/>
          <w:szCs w:val="20"/>
          <w:color w:val="auto"/>
        </w:rPr>
      </w:pPr>
      <w:r>
        <w:rPr>
          <w:rFonts w:ascii="Arial" w:cs="Arial" w:eastAsia="Arial" w:hAnsi="Arial"/>
          <w:sz w:val="14"/>
          <w:szCs w:val="14"/>
          <w:i w:val="1"/>
          <w:iCs w:val="1"/>
          <w:color w:val="auto"/>
        </w:rPr>
        <w:t>You should read the following discussion and analysis of our financial condition and results of operations in conjunction with the consolidated financial statements and the related notes to those statements included later in this Annual Report on Form 10-K.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these forward-looking statements. Important factors that could cause or contribute to these differences include those discussed below and elsewhere in this Annual Report on Form 10-K, particularly in Part I, Item 1A. “Risk Factors” and the section entitled “Cautionary Note Regarding Forward-Looking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We are a clinical-stage biopharmaceutical company focused on developing and commercializing innovative therapeutics for the treatment of respiratory diseases with significant unmet medical need. Our product candidate, ensifentrine, is an investigational, potential first-in-class, inhaled, dual inhibitor of the enzymes phosphodiesterase 3 and 4, or PDE3 and PDE4, which is designed to act as both a bronchodilator and an anti-inflammatory agent.</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During 2021 we made substantial progress in our Phase 3 ENHANCE (“Ensifentrine as a Novel inHAled Nebulized COPD thErapy”) clinical program. Patient enrollment completed in the 48-week subset of the ENHANCE-1 trial in December 2021 and in the ENHANCE-2 trial in January 2022. Complete enrollment in the 24-week subset of ENHANCE-1 is expected around the end of the second quarter of 2022. We expect to report top-line data from ENHANCE-2 in the third quarter of 2022 and from ENHANCE-1 around the end of 2022. Conditional upon positive results, we intend to file a New Drug Application (“NDA”) with the US Food &amp; Drug Administration (“FDA”) in the first half of 2023.</w:t>
      </w:r>
    </w:p>
    <w:p>
      <w:pPr>
        <w:spacing w:after="0" w:line="54"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If approved, we intend to commercialize ensifentrine for the maintenance treatment of chronic obstructive pulmonary disease (“COPD”) via a standard jet nebulizer in the United States. Outside the US, we intend to license ensifentrine to companies with expertise and experience in developing and commercializing products in those regions. To that end, we have entered a strategic collaboration with Nuance Pharma Limited (“Nuance Pharma”), a Shanghai-based specialty pharmaceutical company, to develop and commercialize ensifentrine in Greater China.</w:t>
      </w:r>
    </w:p>
    <w:p>
      <w:pPr>
        <w:spacing w:after="0" w:line="4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have incurred recurring losses and negative cash flows from operations since inception, and have an accumulated deficit of $263.7 million as of December 31, 2021. We expect to incur additional losses and negative cash flows from operations until our product candidates potentially gain regulatory approval and reach commercial profitability, if at all.</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We anticipate that our expenses will increase significantly in connection with our ongoing activities, as we:</w:t>
      </w:r>
    </w:p>
    <w:p>
      <w:pPr>
        <w:spacing w:after="0" w:line="72" w:lineRule="exact"/>
        <w:rPr>
          <w:sz w:val="20"/>
          <w:szCs w:val="20"/>
          <w:color w:val="auto"/>
        </w:rPr>
      </w:pPr>
    </w:p>
    <w:p>
      <w:pPr>
        <w:ind w:left="520" w:hanging="515"/>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continue to invest in the clinical development of ensifentrine for the treatment of COPD;</w:t>
      </w:r>
    </w:p>
    <w:p>
      <w:pPr>
        <w:spacing w:after="0" w:line="72" w:lineRule="exact"/>
        <w:rPr>
          <w:rFonts w:ascii="Arial" w:cs="Arial" w:eastAsia="Arial" w:hAnsi="Arial"/>
          <w:sz w:val="14"/>
          <w:szCs w:val="14"/>
          <w:color w:val="auto"/>
        </w:rPr>
      </w:pPr>
    </w:p>
    <w:p>
      <w:pPr>
        <w:ind w:left="520" w:hanging="515"/>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manufacture ensifentrine and engage in other Chemistry, Manufacturing and Control activities;</w:t>
      </w:r>
    </w:p>
    <w:p>
      <w:pPr>
        <w:spacing w:after="0" w:line="72" w:lineRule="exact"/>
        <w:rPr>
          <w:rFonts w:ascii="Arial" w:cs="Arial" w:eastAsia="Arial" w:hAnsi="Arial"/>
          <w:sz w:val="14"/>
          <w:szCs w:val="14"/>
          <w:color w:val="auto"/>
        </w:rPr>
      </w:pPr>
    </w:p>
    <w:p>
      <w:pPr>
        <w:ind w:left="520" w:hanging="515"/>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maintain, expand and protect our intellectual property portfolio; and</w:t>
      </w:r>
    </w:p>
    <w:p>
      <w:pPr>
        <w:spacing w:after="0" w:line="72" w:lineRule="exact"/>
        <w:rPr>
          <w:rFonts w:ascii="Arial" w:cs="Arial" w:eastAsia="Arial" w:hAnsi="Arial"/>
          <w:sz w:val="14"/>
          <w:szCs w:val="14"/>
          <w:color w:val="auto"/>
        </w:rPr>
      </w:pPr>
    </w:p>
    <w:p>
      <w:pPr>
        <w:ind w:left="520" w:hanging="515"/>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enhance our commercial insights and capabilities.</w:t>
      </w:r>
    </w:p>
    <w:p>
      <w:pPr>
        <w:spacing w:after="0" w:line="72" w:lineRule="exact"/>
        <w:rPr>
          <w:sz w:val="20"/>
          <w:szCs w:val="20"/>
          <w:color w:val="auto"/>
        </w:rPr>
      </w:pPr>
    </w:p>
    <w:p>
      <w:pPr>
        <w:spacing w:after="0" w:line="287" w:lineRule="auto"/>
        <w:rPr>
          <w:sz w:val="20"/>
          <w:szCs w:val="20"/>
          <w:color w:val="auto"/>
        </w:rPr>
      </w:pPr>
      <w:r>
        <w:rPr>
          <w:rFonts w:ascii="Arial" w:cs="Arial" w:eastAsia="Arial" w:hAnsi="Arial"/>
          <w:sz w:val="13"/>
          <w:szCs w:val="13"/>
          <w:color w:val="auto"/>
        </w:rPr>
        <w:t>We believe that our cash and cash equivalents as of December 31, 2021, together with funding expected to become available under the $30.0 million debt financing facility secured in November 2020 and from cash receipts from U.K. tax credits, will enable us to fund our planned operating expenses and capital expenditure requirements through at least the end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3" w:right="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color w:val="auto"/>
        </w:rPr>
        <w:t>COVID-19 impact and business continuity</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We are closely monitoring the potential impact of the COVID-19 pandemic on our operations and clinical trials, in particular the timelines and costs of our Phase 3 clinical program. The pandemic and associated government and other measures in response continue to impact a number of clinical trial activities and we will provide an update if we become aware of any meaningful disruption caused by the pandemic to our clinical trials.</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To help protect the health and safety of the patients, caregivers and healthcare professionals involved in its ongoing clinical trials of ensifentrine, as well as our employees and independent contractors, we continue to follow guidance from the FDA and other health regulatory authorities regarding the conduct of clinical trials during the COVID-19 pandemic to ensure the safety of study participants, minimize risks to study integrity, and maintain compliance with good clinical practice.</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COVID-19 pandemic is disrupting supply chains, and employee retention and recruitment, globally and we are closely monitoring this situation and will provide an update if we become aware of any meaningful disruption caused by the pandemic to the supply of ensifentrine and drug-related products, equipment and services for our clinical trials.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Significant agreements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Ligand agreement</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2006 we acquired Rhinopharma and assumed contingent liabilities owed to Ligand UK Development Limited (“Ligand”) (formerly Vernalis Development Limited). We refer to the assignment and license agreement as the Ligand Agreement.</w:t>
      </w:r>
    </w:p>
    <w:p>
      <w:pPr>
        <w:spacing w:after="0" w:line="48"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Ligand assigned to us all of its rights to certain patents and patent applications relating to ensifentrine and related compounds (the “Ligand Patents”) and an exclusive, worldwide, royalty-bearing license under certain Ligand know-how to develop, manufacture and commercialize products (the “Licensed Products”) developed using Ligand Patents, Ligand know-how and the physical stock of certain compounds.</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contingent liability comprises a milestone payment on obtaining the first approval of any regulatory authority for the commercialization of a Ligand Licensed Product, low single digit royalties based on the future sales performance of all Ligand Licensed Products and a portion equal to a mid-twenty percent of any consideration received from any sub-licensees for the Ligand Patents and for Ligand know-how.</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At time of the acquisition the contingent liability was not recognized as part of the acquisition accounting as it was immaterial. We will therefore record as a research and development expense the milestone payment or royalties when they are probable.</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Nuance agreement</w:t>
      </w:r>
    </w:p>
    <w:p>
      <w:pPr>
        <w:spacing w:after="0" w:line="72"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We entered into a collaboration and license agreement (the “Nuance Agreement”) with Nuance Pharma effective June 9, 2021 (the “Effective Date”) under which we granted Nuance Pharma the exclusive rights to develop and commercialize ensifentrine in Greater China (China, Taiwan, Hong Kong and Macau). In return, we received an unconditional right to consideration aggregating $40.0 million consisting of $25.0 million in cash and an equity interest valued at $15.0 million as of the Effective Date in Nuance Biotech, the parent company of Nuance Pharma. We are eligible to receive future milestone payments of up to $179.0 million, triggered upon achievement of certain clinical, regulatory, and commercial milestones as well as tiered double-digit royalties on net sales in Greater China.</w:t>
      </w:r>
    </w:p>
    <w:p>
      <w:pPr>
        <w:spacing w:after="0" w:line="56"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As of December 31, 2021, the $25.0 million cash payment and $15.0 million equity interest had been received and the holding in Nuance Biotech was recorded as Equity Interest on the Consolidated Balance Sheet, included elsewhere in this Annual Report on Form 10-K. The equity interest is recorded at the fair value indicated by the last observable transaction in Nuance Biotech’s stock, which was a fund raising in November, 2020, subject to impairment. As of December 31, 2021, there had been no other observable transactions to indicate any price changes in the value of Nuance Biotech’s stock, nor had there been any indications of impairment. The equity interest is therefore recorded at a value of $15.0 million.</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Nuance Pharma will be responsible for all costs related to clinical development and commercialization of ensifentrine in Greater China. A joint steering committee has been established between us and Nuance Pharma to oversee and coordinate the overall conduct of such clinical development and commercialization. We intend to use the joint steering committee to help ensure the clinical development of ensifentrine in Greater China aligns with our overall global development and commercialization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74" w:name="page75"/>
    <w:bookmarkEnd w:id="74"/>
    <w:p>
      <w:pPr>
        <w:jc w:val="both"/>
        <w:spacing w:after="0" w:line="250" w:lineRule="auto"/>
        <w:rPr>
          <w:sz w:val="20"/>
          <w:szCs w:val="20"/>
          <w:color w:val="auto"/>
        </w:rPr>
      </w:pPr>
      <w:r>
        <w:rPr>
          <w:rFonts w:ascii="Arial" w:cs="Arial" w:eastAsia="Arial" w:hAnsi="Arial"/>
          <w:sz w:val="13"/>
          <w:szCs w:val="13"/>
          <w:color w:val="auto"/>
        </w:rPr>
        <w:t>Under the terms of the Nuance Agreement, at any time until three months prior to the expected submission of the first New Drug Application in Greater China, if (i) a third party is interested in partnering with us, either globally or in territory covering at least the United States or Europe, for the development and/or commercialization of ensifentrine or (ii) we undergo a change of control, we will have an exclusive option right to buy back the license granted to Nuance Pharma and all related assets. The price is agreed to be equal to the aggregate of (i) all prior amounts paid by Nuance Pharma to us in cash under the agreement and (ii) all development and regulatory costs incurred and paid by Nuance Pharma in connection with the development and commercialization of the ensifentrine under the Nuance Agreement multiplied by a single-digit factor range dependent upon achievement of certain milestones, subject to a specified maximum amount.</w:t>
      </w:r>
    </w:p>
    <w:p>
      <w:pPr>
        <w:spacing w:after="0" w:line="49"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reviewed the buy-back option and determined that because it is conditional on a third party we do not have the practical ability to exercise it and, accordingly, the contract is accounted for under ASC 606.</w:t>
      </w:r>
    </w:p>
    <w:p>
      <w:pPr>
        <w:spacing w:after="0" w:line="48"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transaction price at the Effective Date of the Nuance Agreement was $40.0 million consisting of the $25.0 million upfront cash payment and $15.0 million equity interest. Developmental and regulatory milestones, and the manufacture and supply of ensifentrine drug product, were not included in the transaction price as we determined that it is not probable that a significant reversal in the amount of cumulative revenue recognized will not occur. Commercial milestones and sales royalties were also excluded and will be recognized when the milestones are achieved or the sales occur in Greater China.</w:t>
      </w:r>
    </w:p>
    <w:p>
      <w:pPr>
        <w:spacing w:after="0" w:line="54"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performance obligations in the Nuance Agreement include the grant of the license (including the right to commercialize ensifentrine until the end of the term, the sharing of certain know how, and the sharing of certain clinical and regulatory data), and manufacture and supply of ensifentrine drug product. We have determined that the manufacturing and supply was not at a discount.</w:t>
      </w:r>
    </w:p>
    <w:p>
      <w:pPr>
        <w:spacing w:after="0" w:line="2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We have determined that the license and the know how shared with Nuance Pharma constitutes functional intellectual property and that revenue relating to this should be recognized at a point in time. Consequently, we have determined that we fulfilled our obligations to Nuance Pharma when we delivered the know how that will allow Nuance Pharma to file an investigational new drug application in Greater China. We delivered this know how in the year ended December 31, 2021, and the $40.0 million revenue was therefore recognized as revenue in the year ended. Revenue relating to the manufacture and supply obligations will be recognized when the drug product is delivered.</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On the Effective Date, $4.0 million of costs of obtaining the contract were recorded as a contract asset. As of December 31, 2021, the entire cost had been recognized as Selling, General and Administrative expense in the Consolidated Statement of Operations, in line with recognition of the revenue relating to the contract.</w:t>
      </w:r>
    </w:p>
    <w:p>
      <w:pPr>
        <w:spacing w:after="0" w:line="48"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Subsequent to the Effective Date, Ligand notified us that it believes that Nuance Pharma is a sub-licensee under the Ligand Agreement and that we are therefore under an obligation to make a sublicense payment to Ligand equal to 25% of the $40.0 million upfront transaction price. We do not believe we have granted a sublicense of or otherwise transferred to Nuance Pharma any Ligand intellectual property or know how and therefore we believe that we are not under any obligation to pay the requested sum to Ligand.</w:t>
      </w:r>
    </w:p>
    <w:p>
      <w:pPr>
        <w:spacing w:after="0" w:line="54" w:lineRule="exact"/>
        <w:rPr>
          <w:sz w:val="20"/>
          <w:szCs w:val="20"/>
          <w:color w:val="auto"/>
        </w:rPr>
      </w:pPr>
    </w:p>
    <w:p>
      <w:pPr>
        <w:ind w:right="660"/>
        <w:spacing w:after="0" w:line="347" w:lineRule="auto"/>
        <w:rPr>
          <w:sz w:val="20"/>
          <w:szCs w:val="20"/>
          <w:color w:val="auto"/>
        </w:rPr>
      </w:pPr>
      <w:r>
        <w:rPr>
          <w:rFonts w:ascii="Arial" w:cs="Arial" w:eastAsia="Arial" w:hAnsi="Arial"/>
          <w:sz w:val="14"/>
          <w:szCs w:val="14"/>
          <w:color w:val="auto"/>
        </w:rPr>
        <w:t xml:space="preserve">For additional information regarding the Nuance Agreement, see Note 9 to our consolidated financial statements and related notes included elsewhere in this Annual Report on Form 10-K. </w:t>
      </w:r>
      <w:r>
        <w:rPr>
          <w:rFonts w:ascii="Arial" w:cs="Arial" w:eastAsia="Arial" w:hAnsi="Arial"/>
          <w:sz w:val="14"/>
          <w:szCs w:val="14"/>
          <w:i w:val="1"/>
          <w:iCs w:val="1"/>
          <w:color w:val="auto"/>
        </w:rPr>
        <w:t>Warrants</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On July 29, 2016, as part of a private placement we issued warrants to investors. The warrant holders can subscribe for an ordinary share at a per share exercise price of £1.7238. They can also opt for a cashless exercise of their warrants whereby they can choose to exchange the warrants held for a reduced number of warrants exercisable at nil consideration.</w:t>
      </w:r>
    </w:p>
    <w:p>
      <w:pPr>
        <w:spacing w:after="0" w:line="48" w:lineRule="exact"/>
        <w:rPr>
          <w:sz w:val="20"/>
          <w:szCs w:val="20"/>
          <w:color w:val="auto"/>
        </w:rPr>
      </w:pPr>
    </w:p>
    <w:p>
      <w:pPr>
        <w:jc w:val="both"/>
        <w:spacing w:after="0" w:line="294" w:lineRule="auto"/>
        <w:rPr>
          <w:sz w:val="20"/>
          <w:szCs w:val="20"/>
          <w:color w:val="auto"/>
        </w:rPr>
      </w:pPr>
      <w:r>
        <w:rPr>
          <w:rFonts w:ascii="Arial" w:cs="Arial" w:eastAsia="Arial" w:hAnsi="Arial"/>
          <w:sz w:val="12"/>
          <w:szCs w:val="12"/>
          <w:color w:val="auto"/>
        </w:rPr>
        <w:t>If, after a transaction, should the warrants be exercisable for unlisted securities, the warrant holders may demand a cash payment instead of the delivery of the underlying securities. Accordingly, they are accounted for as a liability under ASC 480 “Distinguishing Liabilities from Equity” and recorded at fair value using the Black-Scholes valuation methodology, on recognition and at each reporting date. The warrants are currently exercisable and may be exercised by the holders until May 2, 2022 when the warrant instruments may either be exercised, cashlessly exercised, or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i w:val="1"/>
          <w:iCs w:val="1"/>
          <w:color w:val="auto"/>
        </w:rPr>
        <w:t>Loan and security agreement</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In November 2020, we and Verona Pharma Inc. entered into a term loan facility of up to $30.0 million with Silicon Valley Bank (the “Term Loan”). See “Indebtedness”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300" w:top="1222" w:right="55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161"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Our management’s discussion and analysis of our financial condition and results of operations is based on our financial statements, which have been prepared in accordance with accounting principles generally accepted in the United States of America ("US GAAP"). The preparation of these financial statements requires us to make estimates, judgments and assumptions that affect the reported amounts of assets and liabilities, disclosure of contingent liabilities as of the dates of the balance sheets and the reported amounts of expenses during the reporting periods. In accordance with US GAAP, we evaluate our estimates and judgments on an ongoing basis.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costs</w:t>
      </w:r>
    </w:p>
    <w:p>
      <w:pPr>
        <w:spacing w:after="0" w:line="72"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Research and development (“R&amp;D”) costs are charged to the consolidated statements of operations and comprehensive loss, as incurred. As part of the process of preparing financial statements we are required to estimate our expenses resulting from our obligation under contracts with vendors and consultants and clinical site agreements in connection with our R&amp;D efforts. The financial terms of these contracts are subject to negotiations which vary contract to contract and may result in payment flows that do not match the periods over which materials or services are provided under such contracts. Our objective is to reflect the appropriate clinical trial expenses in our financial statements by matching those expenses with the period in which services and efforts are expended. We account for these expenses according to the progress of the trials and other development activities measured by patient progression and the timing of various aspects of the trial. We also determine prepaid and accrual estimates through discussions with applicable personnel and outside service providers as to the progress of clinical trials, or other services completed. During the course of a clinical trial, we may adjust our rate of clinical trial expense recognition if actual results differ from its estimates. We make estimates of its prepaid and accrued expenses as of each balance sheet date in our financial statements based on facts and circumstances known at that time.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for any particular period. Our clinical trial prepaid and accrual expense is dependent upon the timely and accurate reporting of study recruitment from contract research organizations and activities carried out by other third-party vendors as well as the timely processing of any change orders from the contract research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color w:val="auto"/>
        </w:rPr>
        <w:t>Components of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We anticipate that our expenses will increase substantially if and as we:</w:t>
      </w:r>
    </w:p>
    <w:p>
      <w:pPr>
        <w:spacing w:after="0" w:line="72" w:lineRule="exact"/>
        <w:rPr>
          <w:sz w:val="20"/>
          <w:szCs w:val="20"/>
          <w:color w:val="auto"/>
        </w:rPr>
      </w:pPr>
    </w:p>
    <w:p>
      <w:pPr>
        <w:ind w:left="260" w:hanging="255"/>
        <w:spacing w:after="0"/>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conduct our ongoing Phase 3 clinical trials for ensifentrine for the maintenance treatment of COPD;</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continue the clinical development of our DPI and pMDI formulations of ensifentrine and research and develop other formulations of ensifentrine;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initiate and conduct further clinical trials for ensifentrine for the treatment of acute COPD, cystic fibrosis (“CF”) or any other indication;</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initiate and progress pre-clinical studies relating to other potential indications of ensifentrine;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seek to discover and develop additional product candidates;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seek regulatory approvals for any of our product candidates that successfully complete clinical trials;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potentially establish a sales, marketing and distribution infrastructure and scale-up manufacturing capabilities to commercialize any products for which we may obtain regulatory approval;</w:t>
      </w:r>
    </w:p>
    <w:p>
      <w:pPr>
        <w:spacing w:after="0" w:line="83" w:lineRule="exact"/>
        <w:rPr>
          <w:rFonts w:ascii="Arial" w:cs="Arial" w:eastAsia="Arial" w:hAnsi="Arial"/>
          <w:sz w:val="13"/>
          <w:szCs w:val="13"/>
          <w:color w:val="auto"/>
        </w:rPr>
      </w:pPr>
    </w:p>
    <w:p>
      <w:pPr>
        <w:ind w:left="260" w:hanging="255"/>
        <w:spacing w:after="0"/>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maintain, expand and protect our intellectual property portfolio;</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38"/>
        </w:numPr>
        <w:rPr>
          <w:rFonts w:ascii="Arial" w:cs="Arial" w:eastAsia="Arial" w:hAnsi="Arial"/>
          <w:sz w:val="14"/>
          <w:szCs w:val="14"/>
          <w:color w:val="auto"/>
        </w:rPr>
      </w:pPr>
      <w:r>
        <w:rPr>
          <w:rFonts w:ascii="Arial" w:cs="Arial" w:eastAsia="Arial" w:hAnsi="Arial"/>
          <w:sz w:val="14"/>
          <w:szCs w:val="14"/>
          <w:color w:val="auto"/>
        </w:rPr>
        <w:t>add clinical, scientific, operational, financial and management information systems and personnel, including personnel to support our product development and potential future commercialization efforts and to support our continuing operations as a U.S. public company; and</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experience any delays or encounter any issues from any of the above, including but not limited to failed studies, complex results, safety issues or other regulatory challenges.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To date, the company has not generated revenue from the sale of any products. All revenue to date has been derived from the receipt of up-front proceeds under the Nuance Agreement.</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In the future, we anticipate generating revenue from a combination of sales of our products, if approved, whether through our own or a third-party sales force, and license fees, milestone payments and royalties in connection with strategic collaborations regarding ensifentrine or other potential products. We expect that any revenue we generate will fluctuate from quarter to quarter. If we or our strategic partners fail to complete the development of ensifentrine in a timely manner or obtain regulatory approval for them, or if we fail to develop our own sales force or find one or more strategic partners for the commercialization of approved products, our ability to generate future revenue, and our financial condition and results of operations would be materially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expenses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R&amp;D costs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R&amp;D costs consist of salary and personnel related costs and third party costs for our research and development activities for ensifentrine. Personnel related costs include a share based compensation charge relating to our stock option plan. The largest component of third party costs is for clinical trials, as well as manufacturing for clinical supplies and associated development, and pre-clinical studies. Research and development costs are expensed as incurred.</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expect our research and development costs for the next few quarters to remain at a level consistent with the 2021 level and then decrease as the ENHANCE program winds down. Due to the nature of research and development, the expected costs are inherently uncertain and may vary significantly from our current expectations.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Selling, general and administrative costs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Selling, general and administrative costs consist of salary and personnel related costs, including share based expense, expenses relating to operating as a public company, including professional fees, insurance, commissions to financial advisors and commercial related costs.</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expect our general and administrative costs and, in particular, our commercial costs to increase as we continue to develop our potential commercial operations and, in the event of successful regulatory approval, we expect to incur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78" w:name="page79"/>
    <w:bookmarkEnd w:id="78"/>
    <w:p>
      <w:pPr>
        <w:spacing w:after="0" w:line="249" w:lineRule="auto"/>
        <w:rPr>
          <w:sz w:val="20"/>
          <w:szCs w:val="20"/>
          <w:color w:val="auto"/>
        </w:rPr>
      </w:pPr>
      <w:r>
        <w:rPr>
          <w:rFonts w:ascii="Arial" w:cs="Arial" w:eastAsia="Arial" w:hAnsi="Arial"/>
          <w:sz w:val="14"/>
          <w:szCs w:val="14"/>
          <w:color w:val="auto"/>
        </w:rPr>
        <w:t>sales force, marketing and other launch related costs. As we develop our knowledge of the market and refine our commercialization plans, expected costs may vary significantly from our current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1" w:right="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i w:val="1"/>
          <w:iCs w:val="1"/>
          <w:color w:val="auto"/>
        </w:rPr>
        <w:t>Other income/(expense)</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Other income/(expense) are driven by changes in valuation of the U.K. tax credits, interest income, interest expense, warrants and foreign exchange movements on cash and cash equivalents</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participate in the U.K. Small and Medium Enterprises R&amp;D tax relief program. The tax credits are calculated as a percentage of qualifying research and development expenditure and are payable in cash by the U.K. government to the Company. Credits recorded in the 2021 financial year are expected to be received in the 2022 financial year.</w:t>
      </w:r>
    </w:p>
    <w:p>
      <w:pPr>
        <w:spacing w:after="0" w:line="48"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U.K. tax authorities have enacted new rules, effective for accounting periods starting after April 1, 2021, whereby the amount of SME payable R&amp;D tax credit that a business can receive in any one year will be capped at £20,000 plus three times the company’s total pay-as -you-earn (“PAYE”) withholding taxes and social security liability for the year. Exemptions to the cap have been introduced which are available to companies that meet certain conditions. We are currently reviewing the impact these new rules could have on our tax credit for the year ending December 31, 2022, which would be receivable in 2023.</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Taxation</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We are subject to corporate taxation in the United States and the United Kingdom. We have generated losses since inception and have therefore not paid United Kingdom corporation tax. The income taxes presented in our consolidated statements of operations and comprehensive loss represents the tax impact from our operating activities in the United States, which generates taxable income based on intercompany service arrangements.</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United Kingdom losses may be carried forward indefinitely to be offset against future taxable profits, subject to various utilization criteria and restrictions. The amount that can be offset each year is limited to £5.0 million plus an incremental 50% of U.K. taxable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1"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color w:val="auto"/>
        </w:rPr>
        <w:t>Results of Operations for the years ended December 31, 2021 and 2020</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our statements of operations for the years ended December 31, 2021 and 2020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9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0"/>
        </w:trPr>
        <w:tc>
          <w:tcPr>
            <w:tcW w:w="69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jc w:val="right"/>
              <w:ind w:right="510"/>
              <w:spacing w:after="0"/>
              <w:rPr>
                <w:sz w:val="20"/>
                <w:szCs w:val="20"/>
                <w:color w:val="auto"/>
              </w:rPr>
            </w:pPr>
            <w:r>
              <w:rPr>
                <w:rFonts w:ascii="Arial" w:cs="Arial" w:eastAsia="Arial" w:hAnsi="Arial"/>
                <w:sz w:val="11"/>
                <w:szCs w:val="11"/>
                <w:b w:val="1"/>
                <w:bCs w:val="1"/>
                <w:color w:val="auto"/>
                <w:w w:val="89"/>
              </w:rPr>
              <w:t>2020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ind w:right="410"/>
              <w:spacing w:after="0"/>
              <w:rPr>
                <w:sz w:val="20"/>
                <w:szCs w:val="20"/>
                <w:color w:val="auto"/>
              </w:rPr>
            </w:pPr>
            <w:r>
              <w:rPr>
                <w:rFonts w:ascii="Arial" w:cs="Arial" w:eastAsia="Arial" w:hAnsi="Arial"/>
                <w:sz w:val="11"/>
                <w:szCs w:val="11"/>
                <w:b w:val="1"/>
                <w:bCs w:val="1"/>
                <w:color w:val="auto"/>
              </w:rPr>
              <w:t>Variance</w:t>
            </w:r>
          </w:p>
        </w:tc>
      </w:tr>
      <w:tr>
        <w:trPr>
          <w:trHeight w:val="190"/>
        </w:trPr>
        <w:tc>
          <w:tcPr>
            <w:tcW w:w="6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Revenue</w:t>
            </w:r>
          </w:p>
        </w:tc>
        <w:tc>
          <w:tcPr>
            <w:tcW w:w="820" w:type="dxa"/>
            <w:vAlign w:val="bottom"/>
            <w:shd w:val="clear" w:color="auto" w:fill="CCEEFF"/>
          </w:tcPr>
          <w:p>
            <w:pPr>
              <w:jc w:val="right"/>
              <w:ind w:right="673"/>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r>
      <w:tr>
        <w:trPr>
          <w:trHeight w:val="180"/>
        </w:trPr>
        <w:tc>
          <w:tcPr>
            <w:tcW w:w="690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6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 and development</w:t>
            </w:r>
          </w:p>
        </w:tc>
        <w:tc>
          <w:tcPr>
            <w:tcW w:w="820" w:type="dxa"/>
            <w:vAlign w:val="bottom"/>
            <w:shd w:val="clear" w:color="auto" w:fill="CCEEFF"/>
          </w:tcPr>
          <w:p>
            <w:pPr>
              <w:jc w:val="right"/>
              <w:ind w:right="673"/>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79,406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44,505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34,901</w:t>
            </w:r>
          </w:p>
        </w:tc>
      </w:tr>
      <w:tr>
        <w:trPr>
          <w:trHeight w:val="180"/>
        </w:trPr>
        <w:tc>
          <w:tcPr>
            <w:tcW w:w="6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Selling, general and administrative</w:t>
            </w:r>
          </w:p>
        </w:tc>
        <w:tc>
          <w:tcPr>
            <w:tcW w:w="8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33,907</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29,772</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4,135</w:t>
            </w:r>
          </w:p>
        </w:tc>
      </w:tr>
      <w:tr>
        <w:trPr>
          <w:trHeight w:val="171"/>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8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113,313</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74,277</w:t>
            </w: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39,036</w:t>
            </w:r>
          </w:p>
        </w:tc>
      </w:tr>
      <w:tr>
        <w:trPr>
          <w:trHeight w:val="171"/>
        </w:trPr>
        <w:tc>
          <w:tcPr>
            <w:tcW w:w="6900" w:type="dxa"/>
            <w:vAlign w:val="bottom"/>
          </w:tcPr>
          <w:p>
            <w:pPr>
              <w:ind w:left="20"/>
              <w:spacing w:after="0"/>
              <w:rPr>
                <w:sz w:val="20"/>
                <w:szCs w:val="20"/>
                <w:color w:val="auto"/>
              </w:rPr>
            </w:pPr>
            <w:r>
              <w:rPr>
                <w:rFonts w:ascii="Arial" w:cs="Arial" w:eastAsia="Arial" w:hAnsi="Arial"/>
                <w:sz w:val="14"/>
                <w:szCs w:val="14"/>
                <w:b w:val="1"/>
                <w:bCs w:val="1"/>
                <w:color w:val="auto"/>
              </w:rPr>
              <w:t>Operating loss</w:t>
            </w:r>
          </w:p>
        </w:tc>
        <w:tc>
          <w:tcPr>
            <w:tcW w:w="8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(73,313)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(74,277)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964</w:t>
            </w:r>
          </w:p>
        </w:tc>
      </w:tr>
      <w:tr>
        <w:trPr>
          <w:trHeight w:val="181"/>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income/(expense):</w:t>
            </w: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6900" w:type="dxa"/>
            <w:vAlign w:val="bottom"/>
          </w:tcPr>
          <w:p>
            <w:pPr>
              <w:ind w:left="180"/>
              <w:spacing w:after="0"/>
              <w:rPr>
                <w:sz w:val="20"/>
                <w:szCs w:val="20"/>
                <w:color w:val="auto"/>
              </w:rPr>
            </w:pPr>
            <w:r>
              <w:rPr>
                <w:rFonts w:ascii="Arial" w:cs="Arial" w:eastAsia="Arial" w:hAnsi="Arial"/>
                <w:sz w:val="14"/>
                <w:szCs w:val="14"/>
                <w:color w:val="auto"/>
              </w:rPr>
              <w:t>Research and development tax credit</w:t>
            </w:r>
          </w:p>
        </w:tc>
        <w:tc>
          <w:tcPr>
            <w:tcW w:w="8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15,630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8,267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7,363</w:t>
            </w:r>
          </w:p>
        </w:tc>
      </w:tr>
      <w:tr>
        <w:trPr>
          <w:trHeight w:val="181"/>
        </w:trPr>
        <w:tc>
          <w:tcPr>
            <w:tcW w:w="6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income</w:t>
            </w: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r>
      <w:tr>
        <w:trPr>
          <w:trHeight w:val="180"/>
        </w:trPr>
        <w:tc>
          <w:tcPr>
            <w:tcW w:w="690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8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(305)</w:t>
            </w:r>
          </w:p>
        </w:tc>
      </w:tr>
      <w:tr>
        <w:trPr>
          <w:trHeight w:val="181"/>
        </w:trPr>
        <w:tc>
          <w:tcPr>
            <w:tcW w:w="6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Fair value movement on warrants</w:t>
            </w: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3,382</w:t>
            </w:r>
          </w:p>
        </w:tc>
      </w:tr>
      <w:tr>
        <w:trPr>
          <w:trHeight w:val="180"/>
        </w:trPr>
        <w:tc>
          <w:tcPr>
            <w:tcW w:w="6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Foreign exchange gain</w:t>
            </w:r>
          </w:p>
        </w:tc>
        <w:tc>
          <w:tcPr>
            <w:tcW w:w="8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2,060</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(1,884)</w:t>
            </w:r>
          </w:p>
        </w:tc>
      </w:tr>
      <w:tr>
        <w:trPr>
          <w:trHeight w:val="171"/>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income, net</w:t>
            </w:r>
          </w:p>
        </w:tc>
        <w:tc>
          <w:tcPr>
            <w:tcW w:w="8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17,726</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9,277</w:t>
            </w: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8,449</w:t>
            </w:r>
          </w:p>
        </w:tc>
      </w:tr>
      <w:tr>
        <w:trPr>
          <w:trHeight w:val="171"/>
        </w:trPr>
        <w:tc>
          <w:tcPr>
            <w:tcW w:w="690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8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(55,587)</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(65,000)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9,413</w:t>
            </w:r>
          </w:p>
        </w:tc>
      </w:tr>
      <w:tr>
        <w:trPr>
          <w:trHeight w:val="181"/>
        </w:trPr>
        <w:tc>
          <w:tcPr>
            <w:tcW w:w="6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 income/(expense)</w:t>
            </w:r>
          </w:p>
        </w:tc>
        <w:tc>
          <w:tcPr>
            <w:tcW w:w="8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r>
      <w:tr>
        <w:trPr>
          <w:trHeight w:val="171"/>
        </w:trPr>
        <w:tc>
          <w:tcPr>
            <w:tcW w:w="6900" w:type="dxa"/>
            <w:vAlign w:val="bottom"/>
          </w:tcPr>
          <w:p>
            <w:pPr>
              <w:ind w:left="20"/>
              <w:spacing w:after="0"/>
              <w:rPr>
                <w:sz w:val="20"/>
                <w:szCs w:val="20"/>
                <w:color w:val="auto"/>
              </w:rPr>
            </w:pPr>
            <w:r>
              <w:rPr>
                <w:rFonts w:ascii="Arial" w:cs="Arial" w:eastAsia="Arial" w:hAnsi="Arial"/>
                <w:sz w:val="14"/>
                <w:szCs w:val="14"/>
                <w:b w:val="1"/>
                <w:bCs w:val="1"/>
                <w:color w:val="auto"/>
              </w:rPr>
              <w:t>Net loss</w:t>
            </w:r>
          </w:p>
        </w:tc>
        <w:tc>
          <w:tcPr>
            <w:tcW w:w="8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(55,569)</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(65,146)</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9,577</w:t>
            </w:r>
          </w:p>
        </w:tc>
      </w:tr>
      <w:tr>
        <w:trPr>
          <w:trHeight w:val="20"/>
        </w:trPr>
        <w:tc>
          <w:tcPr>
            <w:tcW w:w="6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Revenue of $40.0 million for the year ended December 31, 2021 is related to upfront consideration received under the Nuance Agreement. There was no revenue for the year ended December 31, 2020.</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costs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Research and development costs were $79.4 million for the year ended December 31, 2021, compared to $44.5 million for the year ended December 31, 2020, an increase of $34.9 million. This increase was primarily driven by an increase in clinical costs of $35.0 million as the majority of enrollment relating to the ENHANCE program occurred in 2021.</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Selling, general and administrative costs</w:t>
      </w:r>
    </w:p>
    <w:p>
      <w:pPr>
        <w:spacing w:after="0" w:line="72"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Selling, general and administrative costs were $33.9 million for the year ended December 31, 2021 compared to $29.8 million for the year ended December 31, 2020, an increase of $4.1 million. This increase was driven primarily by a $2.9 million increase in share-based compensation charges, $4.0 million related to transaction advisory fees on the Nuance Agreement, $0.9 million related to increased Directors’ and Officers’ insurance, partially offset by a $2.1 million decrease related to severance incurred in 2020, and $1.9 million decrease of expenses relating to our private placement in 2020 (the “Private Placement”).</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income / (expense)</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R&amp;D tax credit for the year ended December 31, 2021 was $15.6 million compared to a credit of $8.3 million for the year ended December 31, 2020, an increase of $7.4 million. This increase is attributable to our higher qualifying expenditure on research and development in 2021 compared to 2020.</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The foreign exchange gain of $0.2 million in 2021 and $2.1 million in 2020 relate to the foreign exchange movements on the cash and short term investments the Company holds in pounds sterling.</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In 2021, the vast majority of our cash was held in USD resulting in lower impact of currency exchange rate changes.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81" w:name="page82"/>
    <w:bookmarkEnd w:id="81"/>
    <w:p>
      <w:pPr>
        <w:jc w:val="both"/>
        <w:spacing w:after="0" w:line="249" w:lineRule="auto"/>
        <w:rPr>
          <w:sz w:val="20"/>
          <w:szCs w:val="20"/>
          <w:color w:val="auto"/>
        </w:rPr>
      </w:pPr>
      <w:r>
        <w:rPr>
          <w:rFonts w:ascii="Arial" w:cs="Arial" w:eastAsia="Arial" w:hAnsi="Arial"/>
          <w:sz w:val="14"/>
          <w:szCs w:val="14"/>
          <w:color w:val="auto"/>
        </w:rPr>
        <w:t>Net loss was $55.6 million for the year ended December 31, 2021, compared to $65.1 million for the year ended December 31, 2020. The decrease in net loss was primarily the result of the revenue from the Nuance Agreement offset by an increase in operating costs and the increase in other income, net, discussed above.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cash flows for the years ended December 31, 2021 and 2020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9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0"/>
        </w:trPr>
        <w:tc>
          <w:tcPr>
            <w:tcW w:w="69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w w:val="89"/>
              </w:rPr>
              <w:t>2020</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1"/>
                <w:szCs w:val="11"/>
                <w:b w:val="1"/>
                <w:bCs w:val="1"/>
                <w:color w:val="auto"/>
              </w:rPr>
              <w:t>Variance</w:t>
            </w:r>
          </w:p>
        </w:tc>
      </w:tr>
      <w:tr>
        <w:trPr>
          <w:trHeight w:val="180"/>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beginning of the year</w:t>
            </w:r>
          </w:p>
        </w:tc>
        <w:tc>
          <w:tcPr>
            <w:tcW w:w="82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187,986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30,428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157,558</w:t>
            </w:r>
          </w:p>
        </w:tc>
      </w:tr>
      <w:tr>
        <w:trPr>
          <w:trHeight w:val="180"/>
        </w:trPr>
        <w:tc>
          <w:tcPr>
            <w:tcW w:w="6900" w:type="dxa"/>
            <w:vAlign w:val="bottom"/>
          </w:tcPr>
          <w:p>
            <w:pPr>
              <w:ind w:left="180"/>
              <w:spacing w:after="0"/>
              <w:rPr>
                <w:sz w:val="20"/>
                <w:szCs w:val="20"/>
                <w:color w:val="auto"/>
              </w:rPr>
            </w:pPr>
            <w:r>
              <w:rPr>
                <w:rFonts w:ascii="Arial" w:cs="Arial" w:eastAsia="Arial" w:hAnsi="Arial"/>
                <w:sz w:val="14"/>
                <w:szCs w:val="14"/>
                <w:color w:val="auto"/>
              </w:rPr>
              <w:t>Net cash used in operating activities</w:t>
            </w:r>
          </w:p>
        </w:tc>
        <w:tc>
          <w:tcPr>
            <w:tcW w:w="8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(33,254)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(45,076)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11,822</w:t>
            </w:r>
          </w:p>
        </w:tc>
      </w:tr>
      <w:tr>
        <w:trPr>
          <w:trHeight w:val="181"/>
        </w:trPr>
        <w:tc>
          <w:tcPr>
            <w:tcW w:w="6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(used in)/provided by investing activities</w:t>
            </w: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(9,722)</w:t>
            </w:r>
          </w:p>
        </w:tc>
      </w:tr>
      <w:tr>
        <w:trPr>
          <w:trHeight w:val="180"/>
        </w:trPr>
        <w:tc>
          <w:tcPr>
            <w:tcW w:w="6900" w:type="dxa"/>
            <w:vAlign w:val="bottom"/>
          </w:tcPr>
          <w:p>
            <w:pPr>
              <w:ind w:left="180"/>
              <w:spacing w:after="0"/>
              <w:rPr>
                <w:sz w:val="20"/>
                <w:szCs w:val="20"/>
                <w:color w:val="auto"/>
              </w:rPr>
            </w:pPr>
            <w:r>
              <w:rPr>
                <w:rFonts w:ascii="Arial" w:cs="Arial" w:eastAsia="Arial" w:hAnsi="Arial"/>
                <w:sz w:val="14"/>
                <w:szCs w:val="14"/>
                <w:color w:val="auto"/>
              </w:rPr>
              <w:t>Net cash (used in)/provided by financing activities</w:t>
            </w:r>
          </w:p>
        </w:tc>
        <w:tc>
          <w:tcPr>
            <w:tcW w:w="8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(6,117)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192,343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(198,460)</w:t>
            </w:r>
          </w:p>
        </w:tc>
      </w:tr>
      <w:tr>
        <w:trPr>
          <w:trHeight w:val="181"/>
        </w:trPr>
        <w:tc>
          <w:tcPr>
            <w:tcW w:w="6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Effect of exchange rate changes on cash and cash equivalents</w:t>
            </w:r>
          </w:p>
        </w:tc>
        <w:tc>
          <w:tcPr>
            <w:tcW w:w="8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(804)</w:t>
            </w:r>
          </w:p>
        </w:tc>
      </w:tr>
      <w:tr>
        <w:trPr>
          <w:trHeight w:val="171"/>
        </w:trPr>
        <w:tc>
          <w:tcPr>
            <w:tcW w:w="690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end of the year</w:t>
            </w:r>
          </w:p>
        </w:tc>
        <w:tc>
          <w:tcPr>
            <w:tcW w:w="8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148,380</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187,986</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(39,606)</w:t>
            </w:r>
          </w:p>
        </w:tc>
      </w:tr>
      <w:tr>
        <w:trPr>
          <w:trHeight w:val="20"/>
        </w:trPr>
        <w:tc>
          <w:tcPr>
            <w:tcW w:w="6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activities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Operating activities used $33.3 million of cash during the year ended December 31, 2021, primarily for clinical development costs related to the ENHANCE program, employee related expenses, $4.0 million commission paid to a financial advisor partially offset by the receipt of a $25.0 million net upfront payment related to our Nuance Agreement and a increase in payables and accruals. Operating cash flows also included office operational expenses, recruiting and legal fees.</w:t>
      </w:r>
    </w:p>
    <w:p>
      <w:pPr>
        <w:spacing w:after="0" w:line="54"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Operating activities used $45.1 million of cash during the year ended December 31, 2020, primarily for clinical development costs related to completing the Phase 2 program for ensifentrine and the initiation of the ENHANCE program, employee related expenses and severance related costs. Operating cash flows also included office operational expenses, recruiting and legal fees.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Investing activities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Net cash provided by investing activities decreased to $12.0 thousand for the year ended December 31, 2021, from $9.7 million for the year ended December 31, 2020 due to no movement of funds from short term investments to cash in 2021 as all term deposits were moved to money market funds, which are classified as cash and cash equivalents.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Financing activities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For the year ended December 31, 2021, financing activities used $6.1 million of net cash, related to $6.8 million payments of withholding taxes from share-based awards offset by $0.7 million of proceeds from the ATM sales agreement.</w:t>
      </w:r>
    </w:p>
    <w:p>
      <w:pPr>
        <w:spacing w:after="0" w:line="48"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For the year ended December 31, 2020, financing activities provided $192.3 million of net cash, driven by net proceeds from the Private Placement and the first advance received under the Term Loan. We received $185.5 million after costs in the Private Placement. Of the costs, $1.9 million were recorded in the statement of operations and comprehensive loss and therefore included in net cash used in operating activities. Financing activities also includes a net $4.9 million receipt from the Term Loan facility.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do not currently have any approved products and have never generated any revenue from product sales. To date, we have financed our operations primarily through the issuances of our equity securities, including warrants, 2020 from borrowings under the Term Loan and in 2021 from the upfront payment agreed under the Nuance agreement.</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have incurred recurring losses since inception, including net losses of $55.6 million, and $65.1 million for the years ended December 31, 2021, and 2020, respectively. In addition, as of December 31, 2021, we had an accumulated deficit of $263.7 million. We expect to continue to generate operating losses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82" w:name="page83"/>
    <w:bookmarkEnd w:id="82"/>
    <w:p>
      <w:pPr>
        <w:ind w:right="2200"/>
        <w:spacing w:after="0" w:line="347" w:lineRule="auto"/>
        <w:rPr>
          <w:sz w:val="20"/>
          <w:szCs w:val="20"/>
          <w:color w:val="auto"/>
        </w:rPr>
      </w:pPr>
      <w:r>
        <w:rPr>
          <w:rFonts w:ascii="Arial" w:cs="Arial" w:eastAsia="Arial" w:hAnsi="Arial"/>
          <w:sz w:val="14"/>
          <w:szCs w:val="14"/>
          <w:color w:val="auto"/>
        </w:rPr>
        <w:t xml:space="preserve">Since inception we have financed our operations through the sales of Ordinary Shares of the Company, proceeds from the Term Loan and a licensing agreement. </w:t>
      </w:r>
      <w:r>
        <w:rPr>
          <w:rFonts w:ascii="Arial" w:cs="Arial" w:eastAsia="Arial" w:hAnsi="Arial"/>
          <w:sz w:val="14"/>
          <w:szCs w:val="14"/>
          <w:i w:val="1"/>
          <w:iCs w:val="1"/>
          <w:color w:val="auto"/>
        </w:rPr>
        <w:t>Open market sale agreement</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March 2021, we entered into an open market sale agreement with Jefferies LLC (“Jefferies”) to sell shares of our ordinary shares, in the form of ADSs, with aggregate gross sales proceeds of up to $100.0 million, from time to time, through an “at the market” equity offering program under which Jefferies will act as sales agent (the “ATM Program”). We provided Jefferies with customary indemnification rights, and Jefferies is entitled to a commission at a fixed commission rate of 3.0% of the gross proceeds. During the year ended December 31, 2021, we sold 873,104 ordinary shares (equivalent to 109,138 ADSs) under the ATM Program, at an average price of approximately $0.86 per share (equivalent to $6.91 per ADS), raising aggregate net proceeds of approximately $0.7 million after deducting issuance costs. As of December 31, 2021, $99.2 million of ordinary shares, in the form of ADSs, remained available for sale under the ATM Program.</w:t>
      </w:r>
    </w:p>
    <w:p>
      <w:pPr>
        <w:spacing w:after="0" w:line="4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have no ongoing material financing commitments, such as lines of credit or guarantees, that are expected to affect our liquidity over the next five years, other than leases and the Term Loan with Silicon Valley Bank.</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Indebtedness</w:t>
      </w:r>
    </w:p>
    <w:p>
      <w:pPr>
        <w:spacing w:after="0" w:line="161"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In November, 2020, we and Verona Pharma, Inc. (“Verona U.S.”, and together with us, the “Borrowers”) entered into the Term Loan facility of up to $30.0 million, consisting of term loan advances in an aggregate amount of $5.0 million funded at closing, a term loan advance available subject to certain terms and conditions in an aggregate amount of $10.0 million (the “Term B Loan”) and a term loan advance available subject to certain terms and conditions in an aggregate amount of $15.0 million (the “Term C Loan”), with Silicon Valley Bank (“SVB”), the proceeds of which will be used for general corporate and working capital purposes.</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Term Loan is governed by a loan and security agreement, dated as of November 19, 2020, between the Borrowers and SVB, as amended (the “Loan Agreement”). The Term B Loan will be available, subject to and customary terms and conditions, during the period commencing upon the achievement of a specific clinical milestone relating to ensifentrine through and including September 30, 2022. The Term C Loan will be available, subject to customary terms and conditions, during the period commencing upon the achievement of an additional specific clinical milestone relating to ensifentrine through and including June 30, 2023.</w:t>
      </w:r>
    </w:p>
    <w:p>
      <w:pPr>
        <w:spacing w:after="0" w:line="54"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The Term Loan will mature on November 1, 2024. Each advance under the Term Loan accrues interest at a floating per annum rate equal to the greater of (a) the sum of the prime rate reported in The Wall Street Journal plus 1.00% and (b) four and one-quarter of one percent (4.25%). The Term Loan provides for interest-only payments on a monthly basis until the payment date immediately preceding December 1, 2023. Thereafter, amortization payments will be payable monthly in equal installments of principal plus monthly payments of accrued interest. Upon repayment (whether at maturity, upon acceleration or by prepayment or otherwise), the Borrowers shall make a final payment to SVB in the amount of 10% of the aggregate Term Loans advanced (the "Final Payment"). The Borrowers may prepay the Term Loan in full but not in part provided that the Borrowers (i) provide ten days prior written notice to SVB, (ii) pays on the date of such prepayment (A) all outstanding principal plus accrued and unpaid interest, (B) a prepayment fee of $450,000 plus 3.0% of the Term C Loans advanced if paid on or before the first anniversary of the closing date; $300,000 plus 2.00% of the Term C Loans advanced if paid after the first anniversary of the closing date and on or before the second anniversary of the closing date; and $150,000 plus 1.00% of the Term C Loans advanced if paid thereafter and prior to maturity, (C) the Final Payment and (D) all other sums, if any, that shall become due and payable with respect to the Term Loan Advances, including interest at a default rate with respect to any past due amounts. Amounts outstanding during an event of default are payable upon SVB's demand and shall accrue interest at an additional rate of 3.0% per annum.</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Term Loan is secured by a lien on substantially all of the assets of the Borrowers, other than the equity interest in Verona U.S. and other than intellectual property, provided that such lien on substantially all assets includes any rights to payments and proceeds from the sale, licensing or disposition of intellectual property. The Borrowers have also granted SVB a negative pledge with respect to its intellectual property.</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Loan Agreement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Loan Agreement also contains other customary provisions, such as expense reimbursement, non-disclosure obligations as well as indemnification rights for the benefit of SVB. The Loan Agreement includes a minimum cash covenant triggered when Borrowers' consolidated cash and cash equivalents drop below $45.0 million at any time after the earliest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83" w:name="page84"/>
    <w:bookmarkEnd w:id="83"/>
    <w:p>
      <w:pPr>
        <w:jc w:val="both"/>
        <w:spacing w:after="0" w:line="248" w:lineRule="auto"/>
        <w:rPr>
          <w:sz w:val="20"/>
          <w:szCs w:val="20"/>
          <w:color w:val="auto"/>
        </w:rPr>
      </w:pPr>
      <w:r>
        <w:rPr>
          <w:rFonts w:ascii="Arial" w:cs="Arial" w:eastAsia="Arial" w:hAnsi="Arial"/>
          <w:sz w:val="13"/>
          <w:szCs w:val="13"/>
          <w:color w:val="auto"/>
        </w:rPr>
        <w:t>occur of any of the following: (i) the release of negative data from ENHANCE-2 and/or ENHANCE-1, which in the reasonable business discretion of Borrowers’ senior management, would be considered insufficient to support submission of an NDA to the FDA, (ii) the FDA issues a complete response letter with respect to an NDA submitted for ensifentrine, or (iii) failure to achieve a specific regulatory milestone relating to ensifentrine by June 30, 2023 (extendable to March 31, 2024 upon the Borrowers receiving a specified amount of new cash proceeds after September 8, 2020 from the sale of equity securities in one or more public financings or other bona fide equity financings, subordinated debt and/or upfront/milestone payments from one or more collaboration agreements not prohibited in the Loan Agreement). Upon such trigger, Borrowers must cash collateralize an amount equal to the outstanding obligations to SVB plus the amount of any prepayment penalty and Final Payment which would be due in the event the Loan Agreement were prepaid in full with respect to the Term Loans advanced as of such time.</w:t>
      </w:r>
    </w:p>
    <w:p>
      <w:pPr>
        <w:spacing w:after="0" w:line="49"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The events of default under the Loan Agreement include, but are not limited to, the Borrowers’ failure to make any payments of principal or interest under the Loan Agreement or other transaction documents, the Borrowers’ breach or default in the performance of any covenant under the Loan Agreement or other transaction documents, the occurrence of a material adverse change, any Borrower making a false or misleading representation or warranty in any material respect under the Loan Agreement, any Borrower’s insolvency or bankruptcy, any attachment or judgment on any Borrower’s assets of at least $500,000, or the occurrence of any default under any agreement or obligation of any Borrower involving indebtedness in excess of $500,000. If an event of default occurs, SVB is entitled to take enforcement action, including acceleration of amounts due under the Loan Agreement.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Funding requirements</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We initiated our Phase 3 ENHANCE program for the maintenance treatment of COPD in the third quarter of 2020 after raising funds in the Private Placement that we estimated to be the required funds to complete this program. We believe that our cash and cash equivalents as of December 31, 2021, together with funding expected to become available under the Term Loan and from cash receipts from U.K. tax credits, will enable us to fund our planned operating expenses and capital expenditure requirements through at least the end of 2023.</w:t>
      </w:r>
    </w:p>
    <w:p>
      <w:pPr>
        <w:spacing w:after="0" w:line="54"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Our commercial revenue, if any, will be derived from sales of products that we do not expect to be commercially available for many years, if ever. Additionally we may enter into out licensing transactions from time to time however there can be no assurance that the company can secure such transactions in the future. Accordingly, we will need to obtain substantial additional funds to achieve our business objective including to further advance clinical and regulatory activities, to fund prelaunch and launch related costs and to create an effective sales and marketing organization to commercialize ensifentrine. We will need to seek additional funding through public or private financings, debt financing, collaboration or licensing agreements and other arrangements. However, there is no guarantee that we will be successful in securing additional capital on acceptable terms, or at all.</w:t>
      </w:r>
    </w:p>
    <w:p>
      <w:pPr>
        <w:spacing w:after="0" w:line="56" w:lineRule="exact"/>
        <w:rPr>
          <w:sz w:val="20"/>
          <w:szCs w:val="20"/>
          <w:color w:val="auto"/>
        </w:rPr>
      </w:pPr>
    </w:p>
    <w:p>
      <w:pPr>
        <w:jc w:val="both"/>
        <w:spacing w:after="0" w:line="282" w:lineRule="auto"/>
        <w:rPr>
          <w:sz w:val="20"/>
          <w:szCs w:val="20"/>
          <w:color w:val="auto"/>
        </w:rPr>
      </w:pPr>
      <w:r>
        <w:rPr>
          <w:rFonts w:ascii="Arial" w:cs="Arial" w:eastAsia="Arial" w:hAnsi="Arial"/>
          <w:sz w:val="12"/>
          <w:szCs w:val="12"/>
          <w:color w:val="auto"/>
        </w:rPr>
        <w:t>To the extent that we raise additional capital through the sale of equity or convertible debt securities, the ownership interest of our shareholders and ADS holders will be diluted, and the terms of these securities may include liquidation or other preferences that adversely affect such holders’ rights as a shareholder or ADS 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our security holders’ ownership interests. Additionally, we have a $100.0 million ATM facility that may be available for future use.</w:t>
      </w:r>
    </w:p>
    <w:p>
      <w:pPr>
        <w:spacing w:after="0" w:line="30"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Our future capital requirements for ensifentrine or any future product candidates will depend on many factors, including:</w:t>
      </w:r>
    </w:p>
    <w:p>
      <w:pPr>
        <w:spacing w:after="0" w:line="72" w:lineRule="exact"/>
        <w:rPr>
          <w:sz w:val="20"/>
          <w:szCs w:val="20"/>
          <w:color w:val="auto"/>
        </w:rPr>
      </w:pPr>
    </w:p>
    <w:p>
      <w:pPr>
        <w:ind w:left="260" w:hanging="255"/>
        <w:spacing w:after="0" w:line="249" w:lineRule="auto"/>
        <w:tabs>
          <w:tab w:leader="none" w:pos="256"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progress, timing and completion of pre-clinical testing and clinical trials for ensifentrine or any future product candidates and the potential that we may be required to conduct additional clinical trials for ensifentrine;</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number of potential new product candidates we decide to in-license and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1" w:right="319" w:bottom="1440" w:gutter="0" w:footer="0" w:header="0"/>
        </w:sectPr>
      </w:pPr>
    </w:p>
    <w:bookmarkStart w:id="84" w:name="page85"/>
    <w:bookmarkEnd w:id="84"/>
    <w:p>
      <w:pPr>
        <w:ind w:left="260" w:hanging="255"/>
        <w:spacing w:after="0"/>
        <w:tabs>
          <w:tab w:leader="none" w:pos="2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costs involved in growing our organization to the size needed to allow for the research, development and potential commercialization of ensifentrine or any future product candidates;</w:t>
      </w:r>
    </w:p>
    <w:p>
      <w:pPr>
        <w:spacing w:after="0" w:line="83" w:lineRule="exact"/>
        <w:rPr>
          <w:rFonts w:ascii="Arial" w:cs="Arial" w:eastAsia="Arial" w:hAnsi="Arial"/>
          <w:sz w:val="13"/>
          <w:szCs w:val="13"/>
          <w:color w:val="auto"/>
        </w:rPr>
      </w:pPr>
    </w:p>
    <w:p>
      <w:pPr>
        <w:ind w:left="260" w:hanging="255"/>
        <w:spacing w:after="0"/>
        <w:tabs>
          <w:tab w:leader="none" w:pos="2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costs involved in filing patent applications and maintaining and enforcing patents or defending against claims or infringements raised by third parties;</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time and costs involved in obtaining regulatory approvals for ensifentrine or any future product candidate we develop and any delays we may encounter as a result of evolving regulatory requirements or adverse results with respect to ensifentrine or any future product candidates;</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any licensing or milestone fees we might have to pay during future development of ensifentrine or any future product candidates;</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40"/>
        </w:numPr>
        <w:rPr>
          <w:rFonts w:ascii="Arial" w:cs="Arial" w:eastAsia="Arial" w:hAnsi="Arial"/>
          <w:sz w:val="14"/>
          <w:szCs w:val="14"/>
          <w:color w:val="auto"/>
        </w:rPr>
      </w:pPr>
      <w:r>
        <w:rPr>
          <w:rFonts w:ascii="Arial" w:cs="Arial" w:eastAsia="Arial" w:hAnsi="Arial"/>
          <w:sz w:val="14"/>
          <w:szCs w:val="14"/>
          <w:color w:val="auto"/>
        </w:rPr>
        <w:t>selling and marketing activities undertaken in connection with the anticipated commercialization of ensifentrine or any future product candidates, if approved, and costs involved in the creation of an effective sales and marketing organization; and</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amount of revenues, if any, we may derive either directly or in the form of royalty payments from future sales of ensifentrine or any future product candidates, if approved.</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For a discussion of pending and recently adopted accounting pronouncements, see Note 2 to our consolidated financial statements included elsewhere in this Annual Report on Form 10-K</w:t>
      </w:r>
    </w:p>
    <w:p>
      <w:pPr>
        <w:spacing w:after="0" w:line="165"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2"/>
          <w:szCs w:val="12"/>
          <w:b w:val="1"/>
          <w:bCs w:val="1"/>
          <w:color w:val="auto"/>
        </w:rPr>
        <w:t>Quantitative and Qualitative Disclosures About Market Risk</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We are a smaller reporting company as defined in Rule 12b-2 of the Exchange Act and are not required to provide the information otherwise required under this Item 7A.</w:t>
      </w:r>
    </w:p>
    <w:p>
      <w:pPr>
        <w:spacing w:after="0" w:line="153"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8.</w:t>
      </w:r>
      <w:r>
        <w:rPr>
          <w:sz w:val="20"/>
          <w:szCs w:val="20"/>
          <w:color w:val="auto"/>
        </w:rPr>
        <w:tab/>
      </w:r>
      <w:r>
        <w:rPr>
          <w:rFonts w:ascii="Arial" w:cs="Arial" w:eastAsia="Arial" w:hAnsi="Arial"/>
          <w:sz w:val="12"/>
          <w:szCs w:val="12"/>
          <w:b w:val="1"/>
          <w:bCs w:val="1"/>
          <w:color w:val="auto"/>
        </w:rPr>
        <w:t>Financial Statements and Supplementary Data</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is set forth in the consolidated financial statements and notes as referenced in Item 15 of Part IV of this Annual Report.</w:t>
      </w:r>
    </w:p>
    <w:p>
      <w:pPr>
        <w:spacing w:after="0" w:line="153"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color w:val="auto"/>
        </w:rPr>
        <w:t>Changes in and Disagreements with Accountants on Accounting and Financial Disclosure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53"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Disclosure Controls and Procedures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Limitations on Effectiveness of Controls and Procedures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Disclosure Controls and Procedures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Our management, with the participation of our principal executive officer and principal financial officer, has evaluated the effectiveness of our disclosure controls and procedures (as defined in Rules 13a- 15(e) and 15d- 15(e) under the Exchange Act), as of the end of the period covered by this Annual Report. Based on such evaluation, our principal executive officer and principal financial officer have concluded that as of December 31, 2021, our disclosure controls and procedures were effective at the reasonable assurance level.</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Management’s Annual Report on Internal Control Over Financial Reporting</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Our management is responsible for establishing and maintaining adequate internal control over our financial reporting, as such term is defined in Rule 13a-15(f)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1" w:right="319" w:bottom="1440" w:gutter="0" w:footer="0" w:header="0"/>
        </w:sectPr>
      </w:pPr>
    </w:p>
    <w:bookmarkStart w:id="85" w:name="page86"/>
    <w:bookmarkEnd w:id="85"/>
    <w:p>
      <w:pPr>
        <w:spacing w:after="0" w:line="249" w:lineRule="auto"/>
        <w:rPr>
          <w:sz w:val="20"/>
          <w:szCs w:val="20"/>
          <w:color w:val="auto"/>
        </w:rPr>
      </w:pPr>
      <w:r>
        <w:rPr>
          <w:rFonts w:ascii="Arial" w:cs="Arial" w:eastAsia="Arial" w:hAnsi="Arial"/>
          <w:sz w:val="14"/>
          <w:szCs w:val="14"/>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Based on this assessment, our management concluded that, as of December 31, 2021, our internal control over financial reporting was effective.</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Attestation Report of the Registered Public Accounting Firm</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This Annual Report does not include an attestation report of our registered public accounting firm due to an exemption established by the JOBS Act for “emerging growth companies.”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in Internal Control over Financial Reporting</w:t>
      </w:r>
    </w:p>
    <w:p>
      <w:pPr>
        <w:spacing w:after="0" w:line="72"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There was no change in our internal control over financial reporting (as defined in Rules 13a-15(f) under the Exchange Act) that occurred during the fourth quarter of fiscal year ended December 31, 2021, that has materially affected, or is reasonably likely to materially affect, our internal control over financial reporting.</w:t>
      </w:r>
    </w:p>
    <w:p>
      <w:pPr>
        <w:spacing w:after="0" w:line="129"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53"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9C.</w:t>
      </w:r>
      <w:r>
        <w:rPr>
          <w:sz w:val="20"/>
          <w:szCs w:val="20"/>
          <w:color w:val="auto"/>
        </w:rPr>
        <w:tab/>
      </w:r>
      <w:r>
        <w:rPr>
          <w:rFonts w:ascii="Arial" w:cs="Arial" w:eastAsia="Arial" w:hAnsi="Arial"/>
          <w:sz w:val="12"/>
          <w:szCs w:val="12"/>
          <w:b w:val="1"/>
          <w:bCs w:val="1"/>
          <w:color w:val="auto"/>
        </w:rPr>
        <w:t>Disclosure Regarding Foreign Jurisdictions that Prevent Inspections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86" w:name="page87"/>
    <w:bookmarkEnd w:id="86"/>
    <w:p>
      <w:pPr>
        <w:jc w:val="center"/>
        <w:spacing w:after="0"/>
        <w:rPr>
          <w:sz w:val="20"/>
          <w:szCs w:val="20"/>
          <w:color w:val="auto"/>
        </w:rPr>
      </w:pPr>
      <w:r>
        <w:rPr>
          <w:rFonts w:ascii="Arial" w:cs="Arial" w:eastAsia="Arial" w:hAnsi="Arial"/>
          <w:sz w:val="14"/>
          <w:szCs w:val="14"/>
          <w:b w:val="1"/>
          <w:bCs w:val="1"/>
          <w:color w:val="auto"/>
        </w:rPr>
        <w:t>PART III</w:t>
      </w:r>
    </w:p>
    <w:p>
      <w:pPr>
        <w:spacing w:after="0" w:line="172"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2"/>
          <w:szCs w:val="12"/>
          <w:b w:val="1"/>
          <w:bCs w:val="1"/>
          <w:color w:val="auto"/>
        </w:rPr>
        <w:t>Directors, Executive Officers and Corporate Governance</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Ethics</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board of directors has adopted a written Code of Business Conduct and Ethics applicable to all officers, directors and employees, including our principal executive officer, principal financial officer, principal accounting officer or controller, or persons performing similar functions. We have posted a current copy of our Code of Business Conduct and Ethics on our website at www.veronapharma.com in the “Investors” section under “Corporate Governance.”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and location specified above. The information contained on our website is not incorporated by reference into this Annual Report.</w:t>
      </w:r>
    </w:p>
    <w:p>
      <w:pPr>
        <w:spacing w:after="0" w:line="4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remaining information required by this item will be included in our definitive proxy statement for the 2022 Annual General Meeting of Stockholders and is incorporated herein by reference to such proxy statement.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information required by this item will be included in our definitive proxy statement for the 2022 Annual General Meeting of Shareholders and is incorporated herein by reference to such proxy statement.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information required by this item will be included in our definitive proxy statement for the 2022 Annual General Meeting of Shareholders and is incorporated herein by reference to such proxy statement.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information required by this item will be included in our definitive proxy statement for the 2022 Annual General Meeting of Shareholders and is incorporated herein by reference to such proxy statement.</w:t>
      </w:r>
    </w:p>
    <w:p>
      <w:pPr>
        <w:spacing w:after="0" w:line="129"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color w:val="auto"/>
        </w:rPr>
        <w:t>Principal Accountant Fees and Services</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information required by this item will be included in our definitive proxy statement for the 2022 Annual General Meeting of Shareholders and is incorporated herein by reference to such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87" w:name="page88"/>
    <w:bookmarkEnd w:id="87"/>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60" w:type="dxa"/>
            <w:vAlign w:val="bottom"/>
            <w:gridSpan w:val="3"/>
          </w:tcPr>
          <w:p>
            <w:pPr>
              <w:ind w:left="220"/>
              <w:spacing w:after="0"/>
              <w:rPr>
                <w:sz w:val="20"/>
                <w:szCs w:val="20"/>
                <w:color w:val="auto"/>
              </w:rPr>
            </w:pPr>
            <w:r>
              <w:rPr>
                <w:rFonts w:ascii="Arial" w:cs="Arial" w:eastAsia="Arial" w:hAnsi="Arial"/>
                <w:sz w:val="17"/>
                <w:szCs w:val="17"/>
                <w:b w:val="1"/>
                <w:bCs w:val="1"/>
                <w:color w:val="auto"/>
              </w:rPr>
              <w:t>PART IV</w:t>
            </w:r>
          </w:p>
        </w:tc>
        <w:tc>
          <w:tcPr>
            <w:tcW w:w="1520" w:type="dxa"/>
            <w:vAlign w:val="bottom"/>
          </w:tcPr>
          <w:p>
            <w:pPr>
              <w:spacing w:after="0"/>
              <w:rPr>
                <w:sz w:val="19"/>
                <w:szCs w:val="19"/>
                <w:color w:val="auto"/>
              </w:rPr>
            </w:pPr>
          </w:p>
        </w:tc>
      </w:tr>
      <w:tr>
        <w:trPr>
          <w:trHeight w:val="321"/>
        </w:trPr>
        <w:tc>
          <w:tcPr>
            <w:tcW w:w="9760" w:type="dxa"/>
            <w:vAlign w:val="bottom"/>
            <w:gridSpan w:val="8"/>
          </w:tcPr>
          <w:p>
            <w:pPr>
              <w:spacing w:after="0"/>
              <w:rPr>
                <w:sz w:val="20"/>
                <w:szCs w:val="20"/>
                <w:color w:val="auto"/>
              </w:rPr>
            </w:pPr>
            <w:r>
              <w:rPr>
                <w:rFonts w:ascii="Arial" w:cs="Arial" w:eastAsia="Arial" w:hAnsi="Arial"/>
                <w:sz w:val="14"/>
                <w:szCs w:val="14"/>
                <w:b w:val="1"/>
                <w:bCs w:val="1"/>
                <w:color w:val="auto"/>
              </w:rPr>
              <w:t>Item 15. Exhibits and Financial Statement Schedule</w:t>
            </w:r>
            <w:r>
              <w:rPr>
                <w:rFonts w:ascii="Arial" w:cs="Arial" w:eastAsia="Arial" w:hAnsi="Arial"/>
                <w:sz w:val="14"/>
                <w:szCs w:val="14"/>
                <w:color w:val="auto"/>
              </w:rPr>
              <w:t>s</w:t>
            </w:r>
          </w:p>
        </w:tc>
        <w:tc>
          <w:tcPr>
            <w:tcW w:w="1520" w:type="dxa"/>
            <w:vAlign w:val="bottom"/>
          </w:tcPr>
          <w:p>
            <w:pPr>
              <w:spacing w:after="0"/>
              <w:rPr>
                <w:sz w:val="24"/>
                <w:szCs w:val="24"/>
                <w:color w:val="auto"/>
              </w:rPr>
            </w:pPr>
          </w:p>
        </w:tc>
      </w:tr>
      <w:tr>
        <w:trPr>
          <w:trHeight w:val="318"/>
        </w:trPr>
        <w:tc>
          <w:tcPr>
            <w:tcW w:w="9760" w:type="dxa"/>
            <w:vAlign w:val="bottom"/>
            <w:gridSpan w:val="8"/>
          </w:tcPr>
          <w:p>
            <w:pPr>
              <w:spacing w:after="0"/>
              <w:rPr>
                <w:sz w:val="20"/>
                <w:szCs w:val="20"/>
                <w:color w:val="auto"/>
              </w:rPr>
            </w:pPr>
            <w:r>
              <w:rPr>
                <w:rFonts w:ascii="Arial" w:cs="Arial" w:eastAsia="Arial" w:hAnsi="Arial"/>
                <w:sz w:val="14"/>
                <w:szCs w:val="14"/>
                <w:b w:val="1"/>
                <w:bCs w:val="1"/>
                <w:i w:val="1"/>
                <w:iCs w:val="1"/>
                <w:color w:val="auto"/>
              </w:rPr>
              <w:t>(a)(1) Financial Statements</w:t>
            </w:r>
          </w:p>
        </w:tc>
        <w:tc>
          <w:tcPr>
            <w:tcW w:w="1520" w:type="dxa"/>
            <w:vAlign w:val="bottom"/>
          </w:tcPr>
          <w:p>
            <w:pPr>
              <w:spacing w:after="0"/>
              <w:rPr>
                <w:sz w:val="24"/>
                <w:szCs w:val="24"/>
                <w:color w:val="auto"/>
              </w:rPr>
            </w:pPr>
          </w:p>
        </w:tc>
      </w:tr>
      <w:tr>
        <w:trPr>
          <w:trHeight w:val="233"/>
        </w:trPr>
        <w:tc>
          <w:tcPr>
            <w:tcW w:w="9760" w:type="dxa"/>
            <w:vAlign w:val="bottom"/>
            <w:gridSpan w:val="8"/>
          </w:tcPr>
          <w:p>
            <w:pPr>
              <w:spacing w:after="0"/>
              <w:rPr>
                <w:sz w:val="20"/>
                <w:szCs w:val="20"/>
                <w:color w:val="auto"/>
              </w:rPr>
            </w:pPr>
            <w:r>
              <w:rPr>
                <w:rFonts w:ascii="Arial" w:cs="Arial" w:eastAsia="Arial" w:hAnsi="Arial"/>
                <w:sz w:val="14"/>
                <w:szCs w:val="14"/>
                <w:color w:val="auto"/>
              </w:rPr>
              <w:t>The following financial statements and the Report of Independent Registered Accounting Firm are filed as part of this Annual Report on Form 10-K:</w:t>
            </w:r>
          </w:p>
        </w:tc>
        <w:tc>
          <w:tcPr>
            <w:tcW w:w="1520" w:type="dxa"/>
            <w:vAlign w:val="bottom"/>
          </w:tcPr>
          <w:p>
            <w:pPr>
              <w:spacing w:after="0"/>
              <w:rPr>
                <w:sz w:val="20"/>
                <w:szCs w:val="20"/>
                <w:color w:val="auto"/>
              </w:rPr>
            </w:pPr>
          </w:p>
        </w:tc>
      </w:tr>
      <w:tr>
        <w:trPr>
          <w:trHeight w:val="96"/>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9740" w:type="dxa"/>
            <w:vAlign w:val="bottom"/>
            <w:gridSpan w:val="7"/>
            <w:shd w:val="clear" w:color="auto" w:fill="CCEEFF"/>
          </w:tcPr>
          <w:p>
            <w:pPr>
              <w:spacing w:after="0"/>
              <w:rPr>
                <w:rFonts w:ascii="Arial" w:cs="Arial" w:eastAsia="Arial" w:hAnsi="Arial"/>
                <w:sz w:val="14"/>
                <w:szCs w:val="14"/>
                <w:color w:val="0000FF"/>
              </w:rPr>
            </w:pPr>
            <w:hyperlink w:anchor="page93">
              <w:r>
                <w:rPr>
                  <w:rFonts w:ascii="Arial" w:cs="Arial" w:eastAsia="Arial" w:hAnsi="Arial"/>
                  <w:sz w:val="14"/>
                  <w:szCs w:val="14"/>
                  <w:color w:val="0000FF"/>
                </w:rPr>
                <w:t xml:space="preserve">Report of Independent Registered Public Accounting Firm (PCAOB ID: </w:t>
              </w:r>
            </w:hyperlink>
            <w:r>
              <w:rPr>
                <w:rFonts w:ascii="Arial" w:cs="Arial" w:eastAsia="Arial" w:hAnsi="Arial"/>
                <w:sz w:val="14"/>
                <w:szCs w:val="14"/>
                <w:color w:val="000000"/>
              </w:rPr>
              <w:t>876)</w:t>
            </w:r>
          </w:p>
        </w:tc>
        <w:tc>
          <w:tcPr>
            <w:tcW w:w="1520" w:type="dxa"/>
            <w:vAlign w:val="bottom"/>
            <w:shd w:val="clear" w:color="auto" w:fill="CCEEFF"/>
          </w:tcPr>
          <w:p>
            <w:pPr>
              <w:ind w:left="1320"/>
              <w:spacing w:after="0"/>
              <w:rPr>
                <w:rFonts w:ascii="Arial" w:cs="Arial" w:eastAsia="Arial" w:hAnsi="Arial"/>
                <w:sz w:val="14"/>
                <w:szCs w:val="14"/>
                <w:color w:val="auto"/>
                <w:w w:val="85"/>
              </w:rPr>
            </w:pPr>
            <w:r>
              <w:rPr>
                <w:rFonts w:ascii="Arial" w:cs="Arial" w:eastAsia="Arial" w:hAnsi="Arial"/>
                <w:sz w:val="14"/>
                <w:szCs w:val="14"/>
                <w:color w:val="auto"/>
                <w:w w:val="85"/>
              </w:rPr>
              <w:t>F-</w:t>
            </w:r>
            <w:hyperlink w:anchor="page93">
              <w:r>
                <w:rPr>
                  <w:rFonts w:ascii="Arial" w:cs="Arial" w:eastAsia="Arial" w:hAnsi="Arial"/>
                  <w:sz w:val="14"/>
                  <w:szCs w:val="14"/>
                  <w:color w:val="auto"/>
                  <w:w w:val="85"/>
                </w:rPr>
                <w:t>2</w:t>
              </w:r>
            </w:hyperlink>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2480" w:type="dxa"/>
            <w:vAlign w:val="bottom"/>
            <w:tcBorders>
              <w:top w:val="single" w:sz="8" w:color="0000FF"/>
            </w:tcBorders>
            <w:shd w:val="clear" w:color="auto" w:fill="CCEEFF"/>
          </w:tcPr>
          <w:p>
            <w:pPr>
              <w:spacing w:after="0"/>
              <w:rPr>
                <w:sz w:val="8"/>
                <w:szCs w:val="8"/>
                <w:color w:val="auto"/>
              </w:rPr>
            </w:pPr>
          </w:p>
        </w:tc>
        <w:tc>
          <w:tcPr>
            <w:tcW w:w="1180" w:type="dxa"/>
            <w:vAlign w:val="bottom"/>
            <w:tcBorders>
              <w:top w:val="single" w:sz="8" w:color="0000FF"/>
            </w:tcBorders>
            <w:shd w:val="clear" w:color="auto" w:fill="CCEEFF"/>
          </w:tcPr>
          <w:p>
            <w:pPr>
              <w:spacing w:after="0"/>
              <w:rPr>
                <w:sz w:val="8"/>
                <w:szCs w:val="8"/>
                <w:color w:val="auto"/>
              </w:rPr>
            </w:pPr>
          </w:p>
        </w:tc>
        <w:tc>
          <w:tcPr>
            <w:tcW w:w="460" w:type="dxa"/>
            <w:vAlign w:val="bottom"/>
            <w:tcBorders>
              <w:top w:val="single" w:sz="8" w:color="0000FF"/>
            </w:tcBorders>
            <w:shd w:val="clear" w:color="auto" w:fill="CCEEFF"/>
          </w:tcPr>
          <w:p>
            <w:pPr>
              <w:spacing w:after="0"/>
              <w:rPr>
                <w:sz w:val="8"/>
                <w:szCs w:val="8"/>
                <w:color w:val="auto"/>
              </w:rPr>
            </w:pPr>
          </w:p>
        </w:tc>
        <w:tc>
          <w:tcPr>
            <w:tcW w:w="960" w:type="dxa"/>
            <w:vAlign w:val="bottom"/>
            <w:tcBorders>
              <w:top w:val="single" w:sz="8" w:color="CCEEFF"/>
            </w:tcBorders>
            <w:shd w:val="clear" w:color="auto" w:fill="CCEEFF"/>
          </w:tcPr>
          <w:p>
            <w:pPr>
              <w:spacing w:after="0"/>
              <w:rPr>
                <w:sz w:val="8"/>
                <w:szCs w:val="8"/>
                <w:color w:val="auto"/>
              </w:rPr>
            </w:pPr>
          </w:p>
        </w:tc>
        <w:tc>
          <w:tcPr>
            <w:tcW w:w="12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3240" w:type="dxa"/>
            <w:vAlign w:val="bottom"/>
            <w:tcBorders>
              <w:top w:val="single" w:sz="8" w:color="CCEEFF"/>
            </w:tcBorders>
            <w:shd w:val="clear" w:color="auto" w:fill="CCEEFF"/>
          </w:tcPr>
          <w:p>
            <w:pPr>
              <w:spacing w:after="0"/>
              <w:rPr>
                <w:sz w:val="8"/>
                <w:szCs w:val="8"/>
                <w:color w:val="auto"/>
              </w:rPr>
            </w:pPr>
          </w:p>
        </w:tc>
        <w:tc>
          <w:tcPr>
            <w:tcW w:w="152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9740" w:type="dxa"/>
            <w:vAlign w:val="bottom"/>
            <w:gridSpan w:val="7"/>
          </w:tcPr>
          <w:p>
            <w:pPr>
              <w:spacing w:after="0"/>
              <w:rPr>
                <w:rFonts w:ascii="Arial" w:cs="Arial" w:eastAsia="Arial" w:hAnsi="Arial"/>
                <w:sz w:val="14"/>
                <w:szCs w:val="14"/>
                <w:color w:val="0000FF"/>
              </w:rPr>
            </w:pPr>
            <w:hyperlink w:anchor="page94">
              <w:r>
                <w:rPr>
                  <w:rFonts w:ascii="Arial" w:cs="Arial" w:eastAsia="Arial" w:hAnsi="Arial"/>
                  <w:sz w:val="14"/>
                  <w:szCs w:val="14"/>
                  <w:color w:val="0000FF"/>
                </w:rPr>
                <w:t>Consolidated Balance Sheets as of December 31, 2021 and 2020</w:t>
              </w:r>
            </w:hyperlink>
          </w:p>
        </w:tc>
        <w:tc>
          <w:tcPr>
            <w:tcW w:w="1520" w:type="dxa"/>
            <w:vAlign w:val="bottom"/>
          </w:tcPr>
          <w:p>
            <w:pPr>
              <w:ind w:left="1320"/>
              <w:spacing w:after="0"/>
              <w:rPr>
                <w:rFonts w:ascii="Arial" w:cs="Arial" w:eastAsia="Arial" w:hAnsi="Arial"/>
                <w:sz w:val="14"/>
                <w:szCs w:val="14"/>
                <w:color w:val="auto"/>
                <w:w w:val="85"/>
              </w:rPr>
            </w:pPr>
            <w:r>
              <w:rPr>
                <w:rFonts w:ascii="Arial" w:cs="Arial" w:eastAsia="Arial" w:hAnsi="Arial"/>
                <w:sz w:val="14"/>
                <w:szCs w:val="14"/>
                <w:color w:val="auto"/>
                <w:w w:val="85"/>
              </w:rPr>
              <w:t>F-</w:t>
            </w:r>
            <w:hyperlink w:anchor="page94">
              <w:r>
                <w:rPr>
                  <w:rFonts w:ascii="Arial" w:cs="Arial" w:eastAsia="Arial" w:hAnsi="Arial"/>
                  <w:sz w:val="14"/>
                  <w:szCs w:val="14"/>
                  <w:color w:val="auto"/>
                  <w:w w:val="85"/>
                </w:rPr>
                <w:t>3</w:t>
              </w:r>
            </w:hyperlink>
          </w:p>
        </w:tc>
      </w:tr>
      <w:tr>
        <w:trPr>
          <w:trHeight w:val="97"/>
        </w:trPr>
        <w:tc>
          <w:tcPr>
            <w:tcW w:w="20" w:type="dxa"/>
            <w:vAlign w:val="bottom"/>
          </w:tcPr>
          <w:p>
            <w:pPr>
              <w:spacing w:after="0"/>
              <w:rPr>
                <w:sz w:val="8"/>
                <w:szCs w:val="8"/>
                <w:color w:val="auto"/>
              </w:rPr>
            </w:pPr>
          </w:p>
        </w:tc>
        <w:tc>
          <w:tcPr>
            <w:tcW w:w="2480" w:type="dxa"/>
            <w:vAlign w:val="bottom"/>
            <w:tcBorders>
              <w:top w:val="single" w:sz="8" w:color="0000FF"/>
            </w:tcBorders>
          </w:tcPr>
          <w:p>
            <w:pPr>
              <w:spacing w:after="0"/>
              <w:rPr>
                <w:sz w:val="8"/>
                <w:szCs w:val="8"/>
                <w:color w:val="auto"/>
              </w:rPr>
            </w:pPr>
          </w:p>
        </w:tc>
        <w:tc>
          <w:tcPr>
            <w:tcW w:w="1180" w:type="dxa"/>
            <w:vAlign w:val="bottom"/>
            <w:tcBorders>
              <w:top w:val="single" w:sz="8" w:color="0000FF"/>
            </w:tcBorders>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9740" w:type="dxa"/>
            <w:vAlign w:val="bottom"/>
            <w:gridSpan w:val="7"/>
            <w:shd w:val="clear" w:color="auto" w:fill="CCEEFF"/>
          </w:tcPr>
          <w:p>
            <w:pPr>
              <w:spacing w:after="0"/>
              <w:rPr>
                <w:rFonts w:ascii="Arial" w:cs="Arial" w:eastAsia="Arial" w:hAnsi="Arial"/>
                <w:sz w:val="14"/>
                <w:szCs w:val="14"/>
                <w:color w:val="0000FF"/>
              </w:rPr>
            </w:pPr>
            <w:hyperlink w:anchor="page95">
              <w:r>
                <w:rPr>
                  <w:rFonts w:ascii="Arial" w:cs="Arial" w:eastAsia="Arial" w:hAnsi="Arial"/>
                  <w:sz w:val="14"/>
                  <w:szCs w:val="14"/>
                  <w:color w:val="0000FF"/>
                </w:rPr>
                <w:t>Consolidated Statements of Operations and Comprehensive Loss for the years ended December 31, 2021 and 2020</w:t>
              </w:r>
            </w:hyperlink>
          </w:p>
        </w:tc>
        <w:tc>
          <w:tcPr>
            <w:tcW w:w="1520" w:type="dxa"/>
            <w:vAlign w:val="bottom"/>
            <w:shd w:val="clear" w:color="auto" w:fill="CCEEFF"/>
          </w:tcPr>
          <w:p>
            <w:pPr>
              <w:ind w:left="1320"/>
              <w:spacing w:after="0"/>
              <w:rPr>
                <w:rFonts w:ascii="Arial" w:cs="Arial" w:eastAsia="Arial" w:hAnsi="Arial"/>
                <w:sz w:val="14"/>
                <w:szCs w:val="14"/>
                <w:color w:val="auto"/>
                <w:w w:val="85"/>
              </w:rPr>
            </w:pPr>
            <w:r>
              <w:rPr>
                <w:rFonts w:ascii="Arial" w:cs="Arial" w:eastAsia="Arial" w:hAnsi="Arial"/>
                <w:sz w:val="14"/>
                <w:szCs w:val="14"/>
                <w:color w:val="auto"/>
                <w:w w:val="85"/>
              </w:rPr>
              <w:t>F-</w:t>
            </w:r>
            <w:hyperlink w:anchor="page95">
              <w:r>
                <w:rPr>
                  <w:rFonts w:ascii="Arial" w:cs="Arial" w:eastAsia="Arial" w:hAnsi="Arial"/>
                  <w:sz w:val="14"/>
                  <w:szCs w:val="14"/>
                  <w:color w:val="auto"/>
                  <w:w w:val="85"/>
                </w:rPr>
                <w:t>4</w:t>
              </w:r>
            </w:hyperlink>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2480" w:type="dxa"/>
            <w:vAlign w:val="bottom"/>
            <w:tcBorders>
              <w:top w:val="single" w:sz="8" w:color="0000FF"/>
            </w:tcBorders>
            <w:shd w:val="clear" w:color="auto" w:fill="CCEEFF"/>
          </w:tcPr>
          <w:p>
            <w:pPr>
              <w:spacing w:after="0"/>
              <w:rPr>
                <w:sz w:val="8"/>
                <w:szCs w:val="8"/>
                <w:color w:val="auto"/>
              </w:rPr>
            </w:pPr>
          </w:p>
        </w:tc>
        <w:tc>
          <w:tcPr>
            <w:tcW w:w="1180" w:type="dxa"/>
            <w:vAlign w:val="bottom"/>
            <w:tcBorders>
              <w:top w:val="single" w:sz="8" w:color="0000FF"/>
            </w:tcBorders>
            <w:shd w:val="clear" w:color="auto" w:fill="CCEEFF"/>
          </w:tcPr>
          <w:p>
            <w:pPr>
              <w:spacing w:after="0"/>
              <w:rPr>
                <w:sz w:val="8"/>
                <w:szCs w:val="8"/>
                <w:color w:val="auto"/>
              </w:rPr>
            </w:pPr>
          </w:p>
        </w:tc>
        <w:tc>
          <w:tcPr>
            <w:tcW w:w="460" w:type="dxa"/>
            <w:vAlign w:val="bottom"/>
            <w:tcBorders>
              <w:top w:val="single" w:sz="8" w:color="0000FF"/>
            </w:tcBorders>
            <w:shd w:val="clear" w:color="auto" w:fill="CCEEFF"/>
          </w:tcPr>
          <w:p>
            <w:pPr>
              <w:spacing w:after="0"/>
              <w:rPr>
                <w:sz w:val="8"/>
                <w:szCs w:val="8"/>
                <w:color w:val="auto"/>
              </w:rPr>
            </w:pPr>
          </w:p>
        </w:tc>
        <w:tc>
          <w:tcPr>
            <w:tcW w:w="960" w:type="dxa"/>
            <w:vAlign w:val="bottom"/>
            <w:tcBorders>
              <w:top w:val="single" w:sz="8" w:color="0000FF"/>
            </w:tcBorders>
            <w:shd w:val="clear" w:color="auto" w:fill="CCEEFF"/>
          </w:tcPr>
          <w:p>
            <w:pPr>
              <w:spacing w:after="0"/>
              <w:rPr>
                <w:sz w:val="8"/>
                <w:szCs w:val="8"/>
                <w:color w:val="auto"/>
              </w:rPr>
            </w:pPr>
          </w:p>
        </w:tc>
        <w:tc>
          <w:tcPr>
            <w:tcW w:w="1200" w:type="dxa"/>
            <w:vAlign w:val="bottom"/>
            <w:tcBorders>
              <w:top w:val="single" w:sz="8" w:color="0000FF"/>
            </w:tcBorders>
            <w:shd w:val="clear" w:color="auto" w:fill="CCEEFF"/>
          </w:tcPr>
          <w:p>
            <w:pPr>
              <w:spacing w:after="0"/>
              <w:rPr>
                <w:sz w:val="8"/>
                <w:szCs w:val="8"/>
                <w:color w:val="auto"/>
              </w:rPr>
            </w:pPr>
          </w:p>
        </w:tc>
        <w:tc>
          <w:tcPr>
            <w:tcW w:w="220" w:type="dxa"/>
            <w:vAlign w:val="bottom"/>
            <w:tcBorders>
              <w:top w:val="single" w:sz="8" w:color="0000FF"/>
            </w:tcBorders>
            <w:shd w:val="clear" w:color="auto" w:fill="CCEEFF"/>
          </w:tcPr>
          <w:p>
            <w:pPr>
              <w:spacing w:after="0"/>
              <w:rPr>
                <w:sz w:val="8"/>
                <w:szCs w:val="8"/>
                <w:color w:val="auto"/>
              </w:rPr>
            </w:pPr>
          </w:p>
        </w:tc>
        <w:tc>
          <w:tcPr>
            <w:tcW w:w="3240" w:type="dxa"/>
            <w:vAlign w:val="bottom"/>
            <w:tcBorders>
              <w:top w:val="single" w:sz="8" w:color="CCEEFF"/>
            </w:tcBorders>
            <w:shd w:val="clear" w:color="auto" w:fill="CCEEFF"/>
          </w:tcPr>
          <w:p>
            <w:pPr>
              <w:spacing w:after="0"/>
              <w:rPr>
                <w:sz w:val="8"/>
                <w:szCs w:val="8"/>
                <w:color w:val="auto"/>
              </w:rPr>
            </w:pPr>
          </w:p>
        </w:tc>
        <w:tc>
          <w:tcPr>
            <w:tcW w:w="152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9740" w:type="dxa"/>
            <w:vAlign w:val="bottom"/>
            <w:gridSpan w:val="7"/>
          </w:tcPr>
          <w:p>
            <w:pPr>
              <w:spacing w:after="0"/>
              <w:rPr>
                <w:rFonts w:ascii="Arial" w:cs="Arial" w:eastAsia="Arial" w:hAnsi="Arial"/>
                <w:sz w:val="14"/>
                <w:szCs w:val="14"/>
                <w:color w:val="0000FF"/>
              </w:rPr>
            </w:pPr>
            <w:hyperlink w:anchor="page96">
              <w:r>
                <w:rPr>
                  <w:rFonts w:ascii="Arial" w:cs="Arial" w:eastAsia="Arial" w:hAnsi="Arial"/>
                  <w:sz w:val="14"/>
                  <w:szCs w:val="14"/>
                  <w:color w:val="0000FF"/>
                </w:rPr>
                <w:t>Consolidated Statements of Changes in Shareholders’ Equity for the years ended December 31, 2021 and 2020</w:t>
              </w:r>
            </w:hyperlink>
          </w:p>
        </w:tc>
        <w:tc>
          <w:tcPr>
            <w:tcW w:w="1520" w:type="dxa"/>
            <w:vAlign w:val="bottom"/>
          </w:tcPr>
          <w:p>
            <w:pPr>
              <w:ind w:left="1320"/>
              <w:spacing w:after="0"/>
              <w:rPr>
                <w:rFonts w:ascii="Arial" w:cs="Arial" w:eastAsia="Arial" w:hAnsi="Arial"/>
                <w:sz w:val="14"/>
                <w:szCs w:val="14"/>
                <w:color w:val="auto"/>
                <w:w w:val="85"/>
              </w:rPr>
            </w:pPr>
            <w:r>
              <w:rPr>
                <w:rFonts w:ascii="Arial" w:cs="Arial" w:eastAsia="Arial" w:hAnsi="Arial"/>
                <w:sz w:val="14"/>
                <w:szCs w:val="14"/>
                <w:color w:val="auto"/>
                <w:w w:val="85"/>
              </w:rPr>
              <w:t>F-</w:t>
            </w:r>
            <w:hyperlink w:anchor="page96">
              <w:r>
                <w:rPr>
                  <w:rFonts w:ascii="Arial" w:cs="Arial" w:eastAsia="Arial" w:hAnsi="Arial"/>
                  <w:sz w:val="14"/>
                  <w:szCs w:val="14"/>
                  <w:color w:val="auto"/>
                  <w:w w:val="85"/>
                </w:rPr>
                <w:t>5</w:t>
              </w:r>
            </w:hyperlink>
          </w:p>
        </w:tc>
      </w:tr>
      <w:tr>
        <w:trPr>
          <w:trHeight w:val="97"/>
        </w:trPr>
        <w:tc>
          <w:tcPr>
            <w:tcW w:w="20" w:type="dxa"/>
            <w:vAlign w:val="bottom"/>
          </w:tcPr>
          <w:p>
            <w:pPr>
              <w:spacing w:after="0"/>
              <w:rPr>
                <w:sz w:val="8"/>
                <w:szCs w:val="8"/>
                <w:color w:val="auto"/>
              </w:rPr>
            </w:pPr>
          </w:p>
        </w:tc>
        <w:tc>
          <w:tcPr>
            <w:tcW w:w="2480" w:type="dxa"/>
            <w:vAlign w:val="bottom"/>
            <w:tcBorders>
              <w:top w:val="single" w:sz="8" w:color="0000FF"/>
            </w:tcBorders>
          </w:tcPr>
          <w:p>
            <w:pPr>
              <w:spacing w:after="0"/>
              <w:rPr>
                <w:sz w:val="8"/>
                <w:szCs w:val="8"/>
                <w:color w:val="auto"/>
              </w:rPr>
            </w:pPr>
          </w:p>
        </w:tc>
        <w:tc>
          <w:tcPr>
            <w:tcW w:w="1180" w:type="dxa"/>
            <w:vAlign w:val="bottom"/>
            <w:tcBorders>
              <w:top w:val="single" w:sz="8" w:color="0000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960" w:type="dxa"/>
            <w:vAlign w:val="bottom"/>
            <w:tcBorders>
              <w:top w:val="single" w:sz="8" w:color="0000FF"/>
            </w:tcBorders>
          </w:tcPr>
          <w:p>
            <w:pPr>
              <w:spacing w:after="0"/>
              <w:rPr>
                <w:sz w:val="8"/>
                <w:szCs w:val="8"/>
                <w:color w:val="auto"/>
              </w:rPr>
            </w:pPr>
          </w:p>
        </w:tc>
        <w:tc>
          <w:tcPr>
            <w:tcW w:w="1200" w:type="dxa"/>
            <w:vAlign w:val="bottom"/>
            <w:tcBorders>
              <w:top w:val="single" w:sz="8" w:color="0000FF"/>
            </w:tcBorders>
          </w:tcPr>
          <w:p>
            <w:pPr>
              <w:spacing w:after="0"/>
              <w:rPr>
                <w:sz w:val="8"/>
                <w:szCs w:val="8"/>
                <w:color w:val="auto"/>
              </w:rPr>
            </w:pPr>
          </w:p>
        </w:tc>
        <w:tc>
          <w:tcPr>
            <w:tcW w:w="2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9740" w:type="dxa"/>
            <w:vAlign w:val="bottom"/>
            <w:gridSpan w:val="7"/>
            <w:shd w:val="clear" w:color="auto" w:fill="CCEEFF"/>
          </w:tcPr>
          <w:p>
            <w:pPr>
              <w:spacing w:after="0"/>
              <w:rPr>
                <w:rFonts w:ascii="Arial" w:cs="Arial" w:eastAsia="Arial" w:hAnsi="Arial"/>
                <w:sz w:val="14"/>
                <w:szCs w:val="14"/>
                <w:color w:val="0000FF"/>
              </w:rPr>
            </w:pPr>
            <w:hyperlink w:anchor="page97">
              <w:r>
                <w:rPr>
                  <w:rFonts w:ascii="Arial" w:cs="Arial" w:eastAsia="Arial" w:hAnsi="Arial"/>
                  <w:sz w:val="14"/>
                  <w:szCs w:val="14"/>
                  <w:color w:val="0000FF"/>
                </w:rPr>
                <w:t>Consolidated Statements of Cash Flows for the years ended December 31, 2021 and 2020</w:t>
              </w:r>
            </w:hyperlink>
          </w:p>
        </w:tc>
        <w:tc>
          <w:tcPr>
            <w:tcW w:w="1520" w:type="dxa"/>
            <w:vAlign w:val="bottom"/>
            <w:shd w:val="clear" w:color="auto" w:fill="CCEEFF"/>
          </w:tcPr>
          <w:p>
            <w:pPr>
              <w:ind w:left="1320"/>
              <w:spacing w:after="0"/>
              <w:rPr>
                <w:rFonts w:ascii="Arial" w:cs="Arial" w:eastAsia="Arial" w:hAnsi="Arial"/>
                <w:sz w:val="14"/>
                <w:szCs w:val="14"/>
                <w:color w:val="auto"/>
                <w:w w:val="85"/>
              </w:rPr>
            </w:pPr>
            <w:r>
              <w:rPr>
                <w:rFonts w:ascii="Arial" w:cs="Arial" w:eastAsia="Arial" w:hAnsi="Arial"/>
                <w:sz w:val="14"/>
                <w:szCs w:val="14"/>
                <w:color w:val="auto"/>
                <w:w w:val="85"/>
              </w:rPr>
              <w:t>F-</w:t>
            </w:r>
            <w:hyperlink w:anchor="page97">
              <w:r>
                <w:rPr>
                  <w:rFonts w:ascii="Arial" w:cs="Arial" w:eastAsia="Arial" w:hAnsi="Arial"/>
                  <w:sz w:val="14"/>
                  <w:szCs w:val="14"/>
                  <w:color w:val="auto"/>
                  <w:w w:val="85"/>
                </w:rPr>
                <w:t>6</w:t>
              </w:r>
            </w:hyperlink>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2480" w:type="dxa"/>
            <w:vAlign w:val="bottom"/>
            <w:tcBorders>
              <w:top w:val="single" w:sz="8" w:color="0000FF"/>
            </w:tcBorders>
            <w:shd w:val="clear" w:color="auto" w:fill="CCEEFF"/>
          </w:tcPr>
          <w:p>
            <w:pPr>
              <w:spacing w:after="0"/>
              <w:rPr>
                <w:sz w:val="8"/>
                <w:szCs w:val="8"/>
                <w:color w:val="auto"/>
              </w:rPr>
            </w:pPr>
          </w:p>
        </w:tc>
        <w:tc>
          <w:tcPr>
            <w:tcW w:w="1180" w:type="dxa"/>
            <w:vAlign w:val="bottom"/>
            <w:tcBorders>
              <w:top w:val="single" w:sz="8" w:color="0000FF"/>
            </w:tcBorders>
            <w:shd w:val="clear" w:color="auto" w:fill="CCEEFF"/>
          </w:tcPr>
          <w:p>
            <w:pPr>
              <w:spacing w:after="0"/>
              <w:rPr>
                <w:sz w:val="8"/>
                <w:szCs w:val="8"/>
                <w:color w:val="auto"/>
              </w:rPr>
            </w:pPr>
          </w:p>
        </w:tc>
        <w:tc>
          <w:tcPr>
            <w:tcW w:w="460" w:type="dxa"/>
            <w:vAlign w:val="bottom"/>
            <w:tcBorders>
              <w:top w:val="single" w:sz="8" w:color="0000FF"/>
            </w:tcBorders>
            <w:shd w:val="clear" w:color="auto" w:fill="CCEEFF"/>
          </w:tcPr>
          <w:p>
            <w:pPr>
              <w:spacing w:after="0"/>
              <w:rPr>
                <w:sz w:val="8"/>
                <w:szCs w:val="8"/>
                <w:color w:val="auto"/>
              </w:rPr>
            </w:pPr>
          </w:p>
        </w:tc>
        <w:tc>
          <w:tcPr>
            <w:tcW w:w="960" w:type="dxa"/>
            <w:vAlign w:val="bottom"/>
            <w:tcBorders>
              <w:top w:val="single" w:sz="8" w:color="0000FF"/>
            </w:tcBorders>
            <w:shd w:val="clear" w:color="auto" w:fill="CCEEFF"/>
          </w:tcPr>
          <w:p>
            <w:pPr>
              <w:spacing w:after="0"/>
              <w:rPr>
                <w:sz w:val="8"/>
                <w:szCs w:val="8"/>
                <w:color w:val="auto"/>
              </w:rPr>
            </w:pPr>
          </w:p>
        </w:tc>
        <w:tc>
          <w:tcPr>
            <w:tcW w:w="12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3240" w:type="dxa"/>
            <w:vAlign w:val="bottom"/>
            <w:tcBorders>
              <w:top w:val="single" w:sz="8" w:color="CCEEFF"/>
            </w:tcBorders>
            <w:shd w:val="clear" w:color="auto" w:fill="CCEEFF"/>
          </w:tcPr>
          <w:p>
            <w:pPr>
              <w:spacing w:after="0"/>
              <w:rPr>
                <w:sz w:val="8"/>
                <w:szCs w:val="8"/>
                <w:color w:val="auto"/>
              </w:rPr>
            </w:pPr>
          </w:p>
        </w:tc>
        <w:tc>
          <w:tcPr>
            <w:tcW w:w="152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2480" w:type="dxa"/>
            <w:vAlign w:val="bottom"/>
            <w:tcBorders>
              <w:bottom w:val="single" w:sz="8" w:color="0000FF"/>
            </w:tcBorders>
          </w:tcPr>
          <w:p>
            <w:pPr>
              <w:spacing w:after="0"/>
              <w:rPr>
                <w:rFonts w:ascii="Arial" w:cs="Arial" w:eastAsia="Arial" w:hAnsi="Arial"/>
                <w:sz w:val="14"/>
                <w:szCs w:val="14"/>
                <w:color w:val="0000FF"/>
                <w:w w:val="90"/>
              </w:rPr>
            </w:pPr>
            <w:hyperlink w:anchor="page98">
              <w:r>
                <w:rPr>
                  <w:rFonts w:ascii="Arial" w:cs="Arial" w:eastAsia="Arial" w:hAnsi="Arial"/>
                  <w:sz w:val="14"/>
                  <w:szCs w:val="14"/>
                  <w:color w:val="0000FF"/>
                  <w:w w:val="90"/>
                </w:rPr>
                <w:t>Notes to Consolidated Financial Statements</w:t>
              </w:r>
            </w:hyperlink>
          </w:p>
        </w:tc>
        <w:tc>
          <w:tcPr>
            <w:tcW w:w="7260" w:type="dxa"/>
            <w:vAlign w:val="bottom"/>
            <w:gridSpan w:val="6"/>
          </w:tcPr>
          <w:p>
            <w:pPr>
              <w:spacing w:after="0"/>
              <w:rPr>
                <w:sz w:val="20"/>
                <w:szCs w:val="20"/>
                <w:color w:val="auto"/>
              </w:rPr>
            </w:pPr>
          </w:p>
        </w:tc>
        <w:tc>
          <w:tcPr>
            <w:tcW w:w="1520" w:type="dxa"/>
            <w:vAlign w:val="bottom"/>
          </w:tcPr>
          <w:p>
            <w:pPr>
              <w:ind w:left="1320"/>
              <w:spacing w:after="0"/>
              <w:rPr>
                <w:rFonts w:ascii="Arial" w:cs="Arial" w:eastAsia="Arial" w:hAnsi="Arial"/>
                <w:sz w:val="14"/>
                <w:szCs w:val="14"/>
                <w:color w:val="auto"/>
                <w:w w:val="85"/>
              </w:rPr>
            </w:pPr>
            <w:r>
              <w:rPr>
                <w:rFonts w:ascii="Arial" w:cs="Arial" w:eastAsia="Arial" w:hAnsi="Arial"/>
                <w:sz w:val="14"/>
                <w:szCs w:val="14"/>
                <w:color w:val="auto"/>
                <w:w w:val="85"/>
              </w:rPr>
              <w:t>F-</w:t>
            </w:r>
            <w:hyperlink w:anchor="page98">
              <w:r>
                <w:rPr>
                  <w:rFonts w:ascii="Arial" w:cs="Arial" w:eastAsia="Arial" w:hAnsi="Arial"/>
                  <w:sz w:val="14"/>
                  <w:szCs w:val="14"/>
                  <w:color w:val="auto"/>
                  <w:w w:val="85"/>
                </w:rPr>
                <w:t>7</w:t>
              </w:r>
            </w:hyperlink>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(a)(2) Financial Statement Schedules.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All financial statement schedules have been omitted because they are not applicable, not required or the information required is shown in the financial statements or the notes thereto.</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(a)(3) Exhibits.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list of exhibits filed as part of this Annual Report on Form 10-K.</w:t>
      </w:r>
    </w:p>
    <w:p>
      <w:pPr>
        <w:spacing w:after="0" w:line="115" w:lineRule="exact"/>
        <w:rPr>
          <w:sz w:val="20"/>
          <w:szCs w:val="20"/>
          <w:color w:val="auto"/>
        </w:rPr>
      </w:pPr>
    </w:p>
    <w:p>
      <w:pPr>
        <w:ind w:left="7560"/>
        <w:spacing w:after="0"/>
        <w:rPr>
          <w:sz w:val="20"/>
          <w:szCs w:val="20"/>
          <w:color w:val="auto"/>
        </w:rPr>
      </w:pPr>
      <w:r>
        <w:rPr>
          <w:rFonts w:ascii="Arial" w:cs="Arial" w:eastAsia="Arial" w:hAnsi="Arial"/>
          <w:sz w:val="14"/>
          <w:szCs w:val="14"/>
          <w:color w:val="auto"/>
        </w:rPr>
        <w:t>Incorporated by Reference to Filings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12065</wp:posOffset>
            </wp:positionV>
            <wp:extent cx="299783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997835" cy="6985"/>
                    </a:xfrm>
                    <a:prstGeom prst="rect">
                      <a:avLst/>
                    </a:prstGeom>
                    <a:noFill/>
                  </pic:spPr>
                </pic:pic>
              </a:graphicData>
            </a:graphic>
          </wp:anchor>
        </w:drawing>
      </w:r>
    </w:p>
    <w:p>
      <w:pPr>
        <w:sectPr>
          <w:pgSz w:w="11900" w:h="16923" w:orient="portrait"/>
          <w:cols w:equalWidth="0" w:num="1">
            <w:col w:w="11280"/>
          </w:cols>
          <w:pgMar w:left="300" w:top="1143" w:right="319" w:bottom="0" w:gutter="0" w:footer="0" w:header="0"/>
        </w:sect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3"/>
          <w:szCs w:val="13"/>
          <w:color w:val="auto"/>
        </w:rPr>
        <w:t>Exhibit Number</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4"/>
          <w:szCs w:val="14"/>
          <w:color w:val="auto"/>
        </w:rPr>
        <w:t>3.1</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4.1</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4.2</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4.3</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4.4</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4.5</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10.2</w:t>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10.3†</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10.4.3</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10.4.4</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10.4.5</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10.4.6</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10.4.7</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10.4.8</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10.4.9</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10.5#</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10.6#</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10.7#</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10.8#</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10.9#</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10.11#</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10.12#</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10.13#</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Exhibit Description</w:t>
      </w:r>
    </w:p>
    <w:p>
      <w:pPr>
        <w:spacing w:after="0" w:line="104" w:lineRule="exact"/>
        <w:rPr>
          <w:sz w:val="20"/>
          <w:szCs w:val="20"/>
          <w:color w:val="auto"/>
        </w:rPr>
      </w:pPr>
    </w:p>
    <w:p>
      <w:pPr>
        <w:spacing w:after="0"/>
        <w:rPr>
          <w:rFonts w:ascii="Arial" w:cs="Arial" w:eastAsia="Arial" w:hAnsi="Arial"/>
          <w:sz w:val="14"/>
          <w:szCs w:val="14"/>
          <w:u w:val="single" w:color="auto"/>
          <w:color w:val="0000FF"/>
        </w:rPr>
      </w:pPr>
      <w:hyperlink r:id="rId101">
        <w:r>
          <w:rPr>
            <w:rFonts w:ascii="Arial" w:cs="Arial" w:eastAsia="Arial" w:hAnsi="Arial"/>
            <w:sz w:val="14"/>
            <w:szCs w:val="14"/>
            <w:u w:val="single" w:color="auto"/>
            <w:color w:val="0000FF"/>
          </w:rPr>
          <w:t>Articles of Association, as amended and as currently in effect</w:t>
        </w:r>
      </w:hyperlink>
    </w:p>
    <w:p>
      <w:pPr>
        <w:spacing w:after="0" w:line="189" w:lineRule="exact"/>
        <w:rPr>
          <w:sz w:val="20"/>
          <w:szCs w:val="20"/>
          <w:color w:val="auto"/>
        </w:rPr>
      </w:pPr>
    </w:p>
    <w:p>
      <w:pPr>
        <w:spacing w:after="0"/>
        <w:rPr>
          <w:rFonts w:ascii="Arial" w:cs="Arial" w:eastAsia="Arial" w:hAnsi="Arial"/>
          <w:sz w:val="14"/>
          <w:szCs w:val="14"/>
          <w:u w:val="single" w:color="auto"/>
          <w:color w:val="0000FF"/>
        </w:rPr>
      </w:pPr>
      <w:hyperlink r:id="rId102">
        <w:r>
          <w:rPr>
            <w:rFonts w:ascii="Arial" w:cs="Arial" w:eastAsia="Arial" w:hAnsi="Arial"/>
            <w:sz w:val="14"/>
            <w:szCs w:val="14"/>
            <w:u w:val="single" w:color="auto"/>
            <w:color w:val="0000FF"/>
          </w:rPr>
          <w:t>Deposit Agreement</w:t>
        </w:r>
      </w:hyperlink>
    </w:p>
    <w:p>
      <w:pPr>
        <w:spacing w:after="0" w:line="189" w:lineRule="exact"/>
        <w:rPr>
          <w:sz w:val="20"/>
          <w:szCs w:val="20"/>
          <w:color w:val="auto"/>
        </w:rPr>
      </w:pPr>
    </w:p>
    <w:p>
      <w:pPr>
        <w:spacing w:after="0"/>
        <w:rPr>
          <w:rFonts w:ascii="Arial" w:cs="Arial" w:eastAsia="Arial" w:hAnsi="Arial"/>
          <w:sz w:val="14"/>
          <w:szCs w:val="14"/>
          <w:u w:val="single" w:color="auto"/>
          <w:color w:val="0000FF"/>
        </w:rPr>
      </w:pPr>
      <w:hyperlink r:id="rId102">
        <w:r>
          <w:rPr>
            <w:rFonts w:ascii="Arial" w:cs="Arial" w:eastAsia="Arial" w:hAnsi="Arial"/>
            <w:sz w:val="14"/>
            <w:szCs w:val="14"/>
            <w:u w:val="single" w:color="auto"/>
            <w:color w:val="0000FF"/>
          </w:rPr>
          <w:t>Form of American Depositary Receipt (included in Exhibit 4.1)</w:t>
        </w:r>
      </w:hyperlink>
    </w:p>
    <w:p>
      <w:pPr>
        <w:spacing w:after="0" w:line="189" w:lineRule="exact"/>
        <w:rPr>
          <w:sz w:val="20"/>
          <w:szCs w:val="20"/>
          <w:color w:val="auto"/>
        </w:rPr>
      </w:pPr>
    </w:p>
    <w:p>
      <w:pPr>
        <w:spacing w:after="0"/>
        <w:rPr>
          <w:rFonts w:ascii="Arial" w:cs="Arial" w:eastAsia="Arial" w:hAnsi="Arial"/>
          <w:sz w:val="13"/>
          <w:szCs w:val="13"/>
          <w:u w:val="single" w:color="auto"/>
          <w:color w:val="0000FF"/>
        </w:rPr>
      </w:pPr>
      <w:hyperlink r:id="rId103">
        <w:r>
          <w:rPr>
            <w:rFonts w:ascii="Arial" w:cs="Arial" w:eastAsia="Arial" w:hAnsi="Arial"/>
            <w:sz w:val="13"/>
            <w:szCs w:val="13"/>
            <w:u w:val="single" w:color="auto"/>
            <w:color w:val="0000FF"/>
          </w:rPr>
          <w:t>Form of Warrant issued to each of the investors named in Schedule A thereto</w:t>
        </w:r>
      </w:hyperlink>
    </w:p>
    <w:p>
      <w:pPr>
        <w:spacing w:after="0" w:line="201" w:lineRule="exact"/>
        <w:rPr>
          <w:sz w:val="20"/>
          <w:szCs w:val="20"/>
          <w:color w:val="auto"/>
        </w:rPr>
      </w:pPr>
    </w:p>
    <w:p>
      <w:pPr>
        <w:spacing w:after="0"/>
        <w:rPr>
          <w:rFonts w:ascii="Arial" w:cs="Arial" w:eastAsia="Arial" w:hAnsi="Arial"/>
          <w:sz w:val="14"/>
          <w:szCs w:val="14"/>
          <w:u w:val="single" w:color="auto"/>
          <w:color w:val="0000FF"/>
        </w:rPr>
      </w:pPr>
      <w:hyperlink r:id="rId104">
        <w:r>
          <w:rPr>
            <w:rFonts w:ascii="Arial" w:cs="Arial" w:eastAsia="Arial" w:hAnsi="Arial"/>
            <w:sz w:val="14"/>
            <w:szCs w:val="14"/>
            <w:u w:val="single" w:color="auto"/>
            <w:color w:val="0000FF"/>
          </w:rPr>
          <w:t>Warrant Instrument issued to NPlus1 Singer LLP</w:t>
        </w:r>
      </w:hyperlink>
    </w:p>
    <w:p>
      <w:pPr>
        <w:spacing w:after="0" w:line="189" w:lineRule="exact"/>
        <w:rPr>
          <w:sz w:val="20"/>
          <w:szCs w:val="20"/>
          <w:color w:val="auto"/>
        </w:rPr>
      </w:pPr>
    </w:p>
    <w:p>
      <w:pPr>
        <w:spacing w:after="0"/>
        <w:rPr>
          <w:rFonts w:ascii="Arial" w:cs="Arial" w:eastAsia="Arial" w:hAnsi="Arial"/>
          <w:sz w:val="14"/>
          <w:szCs w:val="14"/>
          <w:u w:val="single" w:color="auto"/>
          <w:color w:val="0000FF"/>
        </w:rPr>
      </w:pPr>
      <w:hyperlink r:id="rId105">
        <w:r>
          <w:rPr>
            <w:rFonts w:ascii="Arial" w:cs="Arial" w:eastAsia="Arial" w:hAnsi="Arial"/>
            <w:sz w:val="14"/>
            <w:szCs w:val="14"/>
            <w:u w:val="single" w:color="auto"/>
            <w:color w:val="0000FF"/>
          </w:rPr>
          <w:t>Description of Securities</w:t>
        </w:r>
      </w:hyperlink>
    </w:p>
    <w:p>
      <w:pPr>
        <w:spacing w:after="0" w:line="189" w:lineRule="exact"/>
        <w:rPr>
          <w:sz w:val="20"/>
          <w:szCs w:val="20"/>
          <w:color w:val="auto"/>
        </w:rPr>
      </w:pPr>
    </w:p>
    <w:p>
      <w:pPr>
        <w:jc w:val="both"/>
        <w:ind w:right="240"/>
        <w:spacing w:after="0" w:line="236" w:lineRule="auto"/>
        <w:rPr>
          <w:rFonts w:ascii="Arial" w:cs="Arial" w:eastAsia="Arial" w:hAnsi="Arial"/>
          <w:sz w:val="14"/>
          <w:szCs w:val="14"/>
          <w:u w:val="single" w:color="auto"/>
          <w:color w:val="0000FF"/>
        </w:rPr>
      </w:pPr>
      <w:hyperlink r:id="rId106">
        <w:r>
          <w:rPr>
            <w:rFonts w:ascii="Arial" w:cs="Arial" w:eastAsia="Arial" w:hAnsi="Arial"/>
            <w:sz w:val="14"/>
            <w:szCs w:val="14"/>
            <w:u w:val="single" w:color="auto"/>
            <w:color w:val="0000FF"/>
          </w:rPr>
          <w:t>Registration Rights Agreement, dated July 29, 2016, by and among Verona</w:t>
        </w:r>
      </w:hyperlink>
      <w:r>
        <w:rPr>
          <w:rFonts w:ascii="Arial" w:cs="Arial" w:eastAsia="Arial" w:hAnsi="Arial"/>
          <w:sz w:val="14"/>
          <w:szCs w:val="14"/>
          <w:u w:val="single" w:color="auto"/>
          <w:color w:val="0000FF"/>
        </w:rPr>
        <w:t xml:space="preserve"> </w:t>
      </w:r>
      <w:hyperlink r:id="rId106">
        <w:r>
          <w:rPr>
            <w:rFonts w:ascii="Arial" w:cs="Arial" w:eastAsia="Arial" w:hAnsi="Arial"/>
            <w:sz w:val="14"/>
            <w:szCs w:val="14"/>
            <w:u w:val="single" w:color="auto"/>
            <w:color w:val="0000FF"/>
          </w:rPr>
          <w:t>Pharma plc and the investors set forth therein</w:t>
        </w:r>
      </w:hyperlink>
    </w:p>
    <w:p>
      <w:pPr>
        <w:spacing w:after="0" w:line="171" w:lineRule="exact"/>
        <w:rPr>
          <w:sz w:val="20"/>
          <w:szCs w:val="20"/>
          <w:color w:val="auto"/>
        </w:rPr>
      </w:pPr>
    </w:p>
    <w:p>
      <w:pPr>
        <w:jc w:val="both"/>
        <w:ind w:right="240"/>
        <w:spacing w:after="0" w:line="236" w:lineRule="auto"/>
        <w:rPr>
          <w:rFonts w:ascii="Arial" w:cs="Arial" w:eastAsia="Arial" w:hAnsi="Arial"/>
          <w:sz w:val="14"/>
          <w:szCs w:val="14"/>
          <w:u w:val="single" w:color="auto"/>
          <w:color w:val="0000FF"/>
        </w:rPr>
      </w:pPr>
      <w:hyperlink r:id="rId107">
        <w:r>
          <w:rPr>
            <w:rFonts w:ascii="Arial" w:cs="Arial" w:eastAsia="Arial" w:hAnsi="Arial"/>
            <w:sz w:val="14"/>
            <w:szCs w:val="14"/>
            <w:u w:val="single" w:color="auto"/>
            <w:color w:val="0000FF"/>
          </w:rPr>
          <w:t>Registration Rights Agreement, dated July 16, 2020, by and among Verona</w:t>
        </w:r>
      </w:hyperlink>
      <w:r>
        <w:rPr>
          <w:rFonts w:ascii="Arial" w:cs="Arial" w:eastAsia="Arial" w:hAnsi="Arial"/>
          <w:sz w:val="14"/>
          <w:szCs w:val="14"/>
          <w:u w:val="single" w:color="auto"/>
          <w:color w:val="0000FF"/>
        </w:rPr>
        <w:t xml:space="preserve"> </w:t>
      </w:r>
      <w:hyperlink r:id="rId107">
        <w:r>
          <w:rPr>
            <w:rFonts w:ascii="Arial" w:cs="Arial" w:eastAsia="Arial" w:hAnsi="Arial"/>
            <w:sz w:val="14"/>
            <w:szCs w:val="14"/>
            <w:u w:val="single" w:color="auto"/>
            <w:color w:val="0000FF"/>
          </w:rPr>
          <w:t>Pharma plc and the investors set forth therein</w:t>
        </w:r>
      </w:hyperlink>
    </w:p>
    <w:p>
      <w:pPr>
        <w:spacing w:after="0" w:line="171" w:lineRule="exact"/>
        <w:rPr>
          <w:sz w:val="20"/>
          <w:szCs w:val="20"/>
          <w:color w:val="auto"/>
        </w:rPr>
      </w:pPr>
    </w:p>
    <w:p>
      <w:pPr>
        <w:jc w:val="both"/>
        <w:ind w:right="220"/>
        <w:spacing w:after="0" w:line="226" w:lineRule="auto"/>
        <w:rPr>
          <w:rFonts w:ascii="Arial" w:cs="Arial" w:eastAsia="Arial" w:hAnsi="Arial"/>
          <w:sz w:val="14"/>
          <w:szCs w:val="14"/>
          <w:u w:val="single" w:color="auto"/>
          <w:color w:val="0000FF"/>
        </w:rPr>
      </w:pPr>
      <w:hyperlink r:id="rId108">
        <w:r>
          <w:rPr>
            <w:rFonts w:ascii="Arial" w:cs="Arial" w:eastAsia="Arial" w:hAnsi="Arial"/>
            <w:sz w:val="14"/>
            <w:szCs w:val="14"/>
            <w:u w:val="single" w:color="auto"/>
            <w:color w:val="0000FF"/>
          </w:rPr>
          <w:t>Intellectual Property Assignment and Licence Agreement between Vernalis</w:t>
        </w:r>
      </w:hyperlink>
      <w:r>
        <w:rPr>
          <w:rFonts w:ascii="Arial" w:cs="Arial" w:eastAsia="Arial" w:hAnsi="Arial"/>
          <w:sz w:val="14"/>
          <w:szCs w:val="14"/>
          <w:u w:val="single" w:color="auto"/>
          <w:color w:val="0000FF"/>
        </w:rPr>
        <w:t xml:space="preserve"> </w:t>
      </w:r>
      <w:hyperlink r:id="rId108">
        <w:r>
          <w:rPr>
            <w:rFonts w:ascii="Arial" w:cs="Arial" w:eastAsia="Arial" w:hAnsi="Arial"/>
            <w:sz w:val="14"/>
            <w:szCs w:val="14"/>
            <w:u w:val="single" w:color="auto"/>
            <w:color w:val="0000FF"/>
          </w:rPr>
          <w:t>Development Limited and Rhinopharma Limited, as predecessor to Verona</w:t>
        </w:r>
      </w:hyperlink>
      <w:r>
        <w:rPr>
          <w:rFonts w:ascii="Arial" w:cs="Arial" w:eastAsia="Arial" w:hAnsi="Arial"/>
          <w:sz w:val="14"/>
          <w:szCs w:val="14"/>
          <w:u w:val="single" w:color="auto"/>
          <w:color w:val="0000FF"/>
        </w:rPr>
        <w:t xml:space="preserve"> </w:t>
      </w:r>
      <w:hyperlink r:id="rId108">
        <w:r>
          <w:rPr>
            <w:rFonts w:ascii="Arial" w:cs="Arial" w:eastAsia="Arial" w:hAnsi="Arial"/>
            <w:sz w:val="14"/>
            <w:szCs w:val="14"/>
            <w:u w:val="single" w:color="auto"/>
            <w:color w:val="0000FF"/>
          </w:rPr>
          <w:t>Pharma plc, dated February 7, 2005</w:t>
        </w:r>
      </w:hyperlink>
    </w:p>
    <w:p>
      <w:pPr>
        <w:spacing w:after="0" w:line="171" w:lineRule="exact"/>
        <w:rPr>
          <w:rFonts w:ascii="Arial" w:cs="Arial" w:eastAsia="Arial" w:hAnsi="Arial"/>
          <w:sz w:val="14"/>
          <w:szCs w:val="14"/>
          <w:u w:val="single" w:color="auto"/>
          <w:color w:val="0000FF"/>
        </w:rPr>
      </w:pPr>
    </w:p>
    <w:p>
      <w:pPr>
        <w:ind w:right="320"/>
        <w:spacing w:after="0" w:line="270" w:lineRule="auto"/>
        <w:rPr>
          <w:rFonts w:ascii="Arial" w:cs="Arial" w:eastAsia="Arial" w:hAnsi="Arial"/>
          <w:sz w:val="13"/>
          <w:szCs w:val="13"/>
          <w:u w:val="single" w:color="auto"/>
          <w:color w:val="0000FF"/>
        </w:rPr>
      </w:pPr>
      <w:hyperlink r:id="rId109">
        <w:r>
          <w:rPr>
            <w:rFonts w:ascii="Arial" w:cs="Arial" w:eastAsia="Arial" w:hAnsi="Arial"/>
            <w:sz w:val="13"/>
            <w:szCs w:val="13"/>
            <w:u w:val="single" w:color="auto"/>
            <w:color w:val="0000FF"/>
          </w:rPr>
          <w:t>Renewal Agreement to Lease by and between the Verona Pharma plc and</w:t>
        </w:r>
      </w:hyperlink>
      <w:r>
        <w:rPr>
          <w:rFonts w:ascii="Arial" w:cs="Arial" w:eastAsia="Arial" w:hAnsi="Arial"/>
          <w:sz w:val="13"/>
          <w:szCs w:val="13"/>
          <w:u w:val="single" w:color="auto"/>
          <w:color w:val="0000FF"/>
        </w:rPr>
        <w:t xml:space="preserve"> </w:t>
      </w:r>
      <w:hyperlink r:id="rId109">
        <w:r>
          <w:rPr>
            <w:rFonts w:ascii="Arial" w:cs="Arial" w:eastAsia="Arial" w:hAnsi="Arial"/>
            <w:sz w:val="13"/>
            <w:szCs w:val="13"/>
            <w:u w:val="single" w:color="auto"/>
            <w:color w:val="0000FF"/>
          </w:rPr>
          <w:t>Regus Management (UK) Limited dated September 16, 2017#1</w:t>
        </w:r>
      </w:hyperlink>
    </w:p>
    <w:p>
      <w:pPr>
        <w:spacing w:after="0" w:line="152" w:lineRule="exact"/>
        <w:rPr>
          <w:sz w:val="20"/>
          <w:szCs w:val="20"/>
          <w:color w:val="auto"/>
        </w:rPr>
      </w:pPr>
    </w:p>
    <w:p>
      <w:pPr>
        <w:ind w:right="320"/>
        <w:spacing w:after="0" w:line="270" w:lineRule="auto"/>
        <w:rPr>
          <w:rFonts w:ascii="Arial" w:cs="Arial" w:eastAsia="Arial" w:hAnsi="Arial"/>
          <w:sz w:val="13"/>
          <w:szCs w:val="13"/>
          <w:u w:val="single" w:color="auto"/>
          <w:color w:val="0000FF"/>
        </w:rPr>
      </w:pPr>
      <w:hyperlink r:id="rId110">
        <w:r>
          <w:rPr>
            <w:rFonts w:ascii="Arial" w:cs="Arial" w:eastAsia="Arial" w:hAnsi="Arial"/>
            <w:sz w:val="13"/>
            <w:szCs w:val="13"/>
            <w:u w:val="single" w:color="auto"/>
            <w:color w:val="0000FF"/>
          </w:rPr>
          <w:t>Renewal Agreement to Lease by and between the Verona Pharma plc and</w:t>
        </w:r>
      </w:hyperlink>
      <w:r>
        <w:rPr>
          <w:rFonts w:ascii="Arial" w:cs="Arial" w:eastAsia="Arial" w:hAnsi="Arial"/>
          <w:sz w:val="13"/>
          <w:szCs w:val="13"/>
          <w:u w:val="single" w:color="auto"/>
          <w:color w:val="0000FF"/>
        </w:rPr>
        <w:t xml:space="preserve"> </w:t>
      </w:r>
      <w:hyperlink r:id="rId110">
        <w:r>
          <w:rPr>
            <w:rFonts w:ascii="Arial" w:cs="Arial" w:eastAsia="Arial" w:hAnsi="Arial"/>
            <w:sz w:val="13"/>
            <w:szCs w:val="13"/>
            <w:u w:val="single" w:color="auto"/>
            <w:color w:val="0000FF"/>
          </w:rPr>
          <w:t>Regus Management (UK) Limited dated September 16, 2017#2</w:t>
        </w:r>
      </w:hyperlink>
    </w:p>
    <w:p>
      <w:pPr>
        <w:spacing w:after="0" w:line="152" w:lineRule="exact"/>
        <w:rPr>
          <w:sz w:val="20"/>
          <w:szCs w:val="20"/>
          <w:color w:val="auto"/>
        </w:rPr>
      </w:pPr>
    </w:p>
    <w:p>
      <w:pPr>
        <w:ind w:right="320"/>
        <w:spacing w:after="0" w:line="270" w:lineRule="auto"/>
        <w:rPr>
          <w:rFonts w:ascii="Arial" w:cs="Arial" w:eastAsia="Arial" w:hAnsi="Arial"/>
          <w:sz w:val="13"/>
          <w:szCs w:val="13"/>
          <w:u w:val="single" w:color="auto"/>
          <w:color w:val="0000FF"/>
        </w:rPr>
      </w:pPr>
      <w:hyperlink r:id="rId111">
        <w:r>
          <w:rPr>
            <w:rFonts w:ascii="Arial" w:cs="Arial" w:eastAsia="Arial" w:hAnsi="Arial"/>
            <w:sz w:val="13"/>
            <w:szCs w:val="13"/>
            <w:u w:val="single" w:color="auto"/>
            <w:color w:val="0000FF"/>
          </w:rPr>
          <w:t>Renewal Agreement to Lease by and between the Verona Pharma plc and</w:t>
        </w:r>
      </w:hyperlink>
      <w:r>
        <w:rPr>
          <w:rFonts w:ascii="Arial" w:cs="Arial" w:eastAsia="Arial" w:hAnsi="Arial"/>
          <w:sz w:val="13"/>
          <w:szCs w:val="13"/>
          <w:u w:val="single" w:color="auto"/>
          <w:color w:val="0000FF"/>
        </w:rPr>
        <w:t xml:space="preserve"> </w:t>
      </w:r>
      <w:hyperlink r:id="rId111">
        <w:r>
          <w:rPr>
            <w:rFonts w:ascii="Arial" w:cs="Arial" w:eastAsia="Arial" w:hAnsi="Arial"/>
            <w:sz w:val="13"/>
            <w:szCs w:val="13"/>
            <w:u w:val="single" w:color="auto"/>
            <w:color w:val="0000FF"/>
          </w:rPr>
          <w:t>Regus Management (UK) Limited dated September 16, 2017#3</w:t>
        </w:r>
      </w:hyperlink>
    </w:p>
    <w:p>
      <w:pPr>
        <w:spacing w:after="0" w:line="152" w:lineRule="exact"/>
        <w:rPr>
          <w:sz w:val="20"/>
          <w:szCs w:val="20"/>
          <w:color w:val="auto"/>
        </w:rPr>
      </w:pPr>
    </w:p>
    <w:p>
      <w:pPr>
        <w:ind w:right="280"/>
        <w:spacing w:after="0" w:line="236" w:lineRule="auto"/>
        <w:rPr>
          <w:rFonts w:ascii="Arial" w:cs="Arial" w:eastAsia="Arial" w:hAnsi="Arial"/>
          <w:sz w:val="14"/>
          <w:szCs w:val="14"/>
          <w:u w:val="single" w:color="auto"/>
          <w:color w:val="0000FF"/>
        </w:rPr>
      </w:pPr>
      <w:hyperlink r:id="rId112">
        <w:r>
          <w:rPr>
            <w:rFonts w:ascii="Arial" w:cs="Arial" w:eastAsia="Arial" w:hAnsi="Arial"/>
            <w:sz w:val="14"/>
            <w:szCs w:val="14"/>
            <w:u w:val="single" w:color="auto"/>
            <w:color w:val="0000FF"/>
          </w:rPr>
          <w:t>Renewal Agreement to Lease by and between the Verona Pharma Inc. and</w:t>
        </w:r>
      </w:hyperlink>
      <w:r>
        <w:rPr>
          <w:rFonts w:ascii="Arial" w:cs="Arial" w:eastAsia="Arial" w:hAnsi="Arial"/>
          <w:sz w:val="14"/>
          <w:szCs w:val="14"/>
          <w:u w:val="single" w:color="auto"/>
          <w:color w:val="0000FF"/>
        </w:rPr>
        <w:t xml:space="preserve"> </w:t>
      </w:r>
      <w:hyperlink r:id="rId112">
        <w:r>
          <w:rPr>
            <w:rFonts w:ascii="Arial" w:cs="Arial" w:eastAsia="Arial" w:hAnsi="Arial"/>
            <w:sz w:val="14"/>
            <w:szCs w:val="14"/>
            <w:u w:val="single" w:color="auto"/>
            <w:color w:val="0000FF"/>
          </w:rPr>
          <w:t>Regus Management Group LLC dated July 16, 2019</w:t>
        </w:r>
      </w:hyperlink>
    </w:p>
    <w:p>
      <w:pPr>
        <w:spacing w:after="0" w:line="171" w:lineRule="exact"/>
        <w:rPr>
          <w:sz w:val="20"/>
          <w:szCs w:val="20"/>
          <w:color w:val="auto"/>
        </w:rPr>
      </w:pPr>
    </w:p>
    <w:p>
      <w:pPr>
        <w:ind w:right="280"/>
        <w:spacing w:after="0" w:line="270" w:lineRule="auto"/>
        <w:rPr>
          <w:rFonts w:ascii="Arial" w:cs="Arial" w:eastAsia="Arial" w:hAnsi="Arial"/>
          <w:sz w:val="13"/>
          <w:szCs w:val="13"/>
          <w:u w:val="single" w:color="auto"/>
          <w:color w:val="0000FF"/>
        </w:rPr>
      </w:pPr>
      <w:hyperlink w:anchor="page117">
        <w:r>
          <w:rPr>
            <w:rFonts w:ascii="Arial" w:cs="Arial" w:eastAsia="Arial" w:hAnsi="Arial"/>
            <w:sz w:val="13"/>
            <w:szCs w:val="13"/>
            <w:u w:val="single" w:color="auto"/>
            <w:color w:val="0000FF"/>
          </w:rPr>
          <w:t>Renewal Agreement to Lease by and between the Verona Pharma Plc. and</w:t>
        </w:r>
      </w:hyperlink>
      <w:r>
        <w:rPr>
          <w:rFonts w:ascii="Arial" w:cs="Arial" w:eastAsia="Arial" w:hAnsi="Arial"/>
          <w:sz w:val="13"/>
          <w:szCs w:val="13"/>
          <w:u w:val="single" w:color="auto"/>
          <w:color w:val="0000FF"/>
        </w:rPr>
        <w:t xml:space="preserve"> </w:t>
      </w:r>
      <w:hyperlink w:anchor="page117">
        <w:r>
          <w:rPr>
            <w:rFonts w:ascii="Arial" w:cs="Arial" w:eastAsia="Arial" w:hAnsi="Arial"/>
            <w:sz w:val="13"/>
            <w:szCs w:val="13"/>
            <w:u w:val="single" w:color="auto"/>
            <w:color w:val="0000FF"/>
          </w:rPr>
          <w:t>Regus Management (UK) Limited dated November 9, 2021</w:t>
        </w:r>
      </w:hyperlink>
    </w:p>
    <w:p>
      <w:pPr>
        <w:spacing w:after="0" w:line="152" w:lineRule="exact"/>
        <w:rPr>
          <w:sz w:val="20"/>
          <w:szCs w:val="20"/>
          <w:color w:val="auto"/>
        </w:rPr>
      </w:pPr>
    </w:p>
    <w:p>
      <w:pPr>
        <w:ind w:right="280"/>
        <w:spacing w:after="0" w:line="270" w:lineRule="auto"/>
        <w:rPr>
          <w:rFonts w:ascii="Arial" w:cs="Arial" w:eastAsia="Arial" w:hAnsi="Arial"/>
          <w:sz w:val="13"/>
          <w:szCs w:val="13"/>
          <w:u w:val="single" w:color="auto"/>
          <w:color w:val="0000FF"/>
        </w:rPr>
      </w:pPr>
      <w:hyperlink w:anchor="page119">
        <w:r>
          <w:rPr>
            <w:rFonts w:ascii="Arial" w:cs="Arial" w:eastAsia="Arial" w:hAnsi="Arial"/>
            <w:sz w:val="13"/>
            <w:szCs w:val="13"/>
            <w:u w:val="single" w:color="auto"/>
            <w:color w:val="0000FF"/>
          </w:rPr>
          <w:t>Renewal Agreement to Lease by and between the Verona Pharma Plc. and</w:t>
        </w:r>
      </w:hyperlink>
      <w:r>
        <w:rPr>
          <w:rFonts w:ascii="Arial" w:cs="Arial" w:eastAsia="Arial" w:hAnsi="Arial"/>
          <w:sz w:val="13"/>
          <w:szCs w:val="13"/>
          <w:u w:val="single" w:color="auto"/>
          <w:color w:val="0000FF"/>
        </w:rPr>
        <w:t xml:space="preserve"> </w:t>
      </w:r>
      <w:hyperlink w:anchor="page119">
        <w:r>
          <w:rPr>
            <w:rFonts w:ascii="Arial" w:cs="Arial" w:eastAsia="Arial" w:hAnsi="Arial"/>
            <w:sz w:val="13"/>
            <w:szCs w:val="13"/>
            <w:u w:val="single" w:color="auto"/>
            <w:color w:val="0000FF"/>
          </w:rPr>
          <w:t>Regus Management (UK) Limited dated December 7, 2021</w:t>
        </w:r>
      </w:hyperlink>
    </w:p>
    <w:p>
      <w:pPr>
        <w:spacing w:after="0" w:line="152" w:lineRule="exact"/>
        <w:rPr>
          <w:sz w:val="20"/>
          <w:szCs w:val="20"/>
          <w:color w:val="auto"/>
        </w:rPr>
      </w:pPr>
    </w:p>
    <w:p>
      <w:pPr>
        <w:ind w:right="120"/>
        <w:spacing w:after="0" w:line="236" w:lineRule="auto"/>
        <w:rPr>
          <w:rFonts w:ascii="Arial" w:cs="Arial" w:eastAsia="Arial" w:hAnsi="Arial"/>
          <w:sz w:val="14"/>
          <w:szCs w:val="14"/>
          <w:u w:val="single" w:color="auto"/>
          <w:color w:val="0000FF"/>
        </w:rPr>
      </w:pPr>
      <w:hyperlink w:anchor="page121">
        <w:r>
          <w:rPr>
            <w:rFonts w:ascii="Arial" w:cs="Arial" w:eastAsia="Arial" w:hAnsi="Arial"/>
            <w:sz w:val="14"/>
            <w:szCs w:val="14"/>
            <w:u w:val="single" w:color="auto"/>
            <w:color w:val="0000FF"/>
          </w:rPr>
          <w:t>Agreement to Lease by and between the Verona Pharma Inc. and Brier Creek</w:t>
        </w:r>
      </w:hyperlink>
      <w:r>
        <w:rPr>
          <w:rFonts w:ascii="Arial" w:cs="Arial" w:eastAsia="Arial" w:hAnsi="Arial"/>
          <w:sz w:val="14"/>
          <w:szCs w:val="14"/>
          <w:u w:val="single" w:color="auto"/>
          <w:color w:val="0000FF"/>
        </w:rPr>
        <w:t xml:space="preserve"> </w:t>
      </w:r>
      <w:hyperlink w:anchor="page121">
        <w:r>
          <w:rPr>
            <w:rFonts w:ascii="Arial" w:cs="Arial" w:eastAsia="Arial" w:hAnsi="Arial"/>
            <w:sz w:val="14"/>
            <w:szCs w:val="14"/>
            <w:u w:val="single" w:color="auto"/>
            <w:color w:val="0000FF"/>
          </w:rPr>
          <w:t>Office #4, LLC dated March 6, 2020</w:t>
        </w:r>
      </w:hyperlink>
    </w:p>
    <w:p>
      <w:pPr>
        <w:spacing w:after="0" w:line="171" w:lineRule="exact"/>
        <w:rPr>
          <w:sz w:val="20"/>
          <w:szCs w:val="20"/>
          <w:color w:val="auto"/>
        </w:rPr>
      </w:pPr>
    </w:p>
    <w:p>
      <w:pPr>
        <w:spacing w:after="0"/>
        <w:rPr>
          <w:rFonts w:ascii="Arial" w:cs="Arial" w:eastAsia="Arial" w:hAnsi="Arial"/>
          <w:sz w:val="14"/>
          <w:szCs w:val="14"/>
          <w:u w:val="single" w:color="auto"/>
          <w:color w:val="0000FF"/>
        </w:rPr>
      </w:pPr>
      <w:hyperlink r:id="rId113">
        <w:r>
          <w:rPr>
            <w:rFonts w:ascii="Arial" w:cs="Arial" w:eastAsia="Arial" w:hAnsi="Arial"/>
            <w:sz w:val="14"/>
            <w:szCs w:val="14"/>
            <w:u w:val="single" w:color="auto"/>
            <w:color w:val="0000FF"/>
          </w:rPr>
          <w:t>EMI Option Scheme</w:t>
        </w:r>
      </w:hyperlink>
    </w:p>
    <w:p>
      <w:pPr>
        <w:spacing w:after="0" w:line="189" w:lineRule="exact"/>
        <w:rPr>
          <w:sz w:val="20"/>
          <w:szCs w:val="20"/>
          <w:color w:val="auto"/>
        </w:rPr>
      </w:pPr>
    </w:p>
    <w:p>
      <w:pPr>
        <w:spacing w:after="0"/>
        <w:rPr>
          <w:rFonts w:ascii="Arial" w:cs="Arial" w:eastAsia="Arial" w:hAnsi="Arial"/>
          <w:sz w:val="14"/>
          <w:szCs w:val="14"/>
          <w:u w:val="single" w:color="auto"/>
          <w:color w:val="0000FF"/>
        </w:rPr>
      </w:pPr>
      <w:hyperlink r:id="rId114">
        <w:r>
          <w:rPr>
            <w:rFonts w:ascii="Arial" w:cs="Arial" w:eastAsia="Arial" w:hAnsi="Arial"/>
            <w:sz w:val="14"/>
            <w:szCs w:val="14"/>
            <w:u w:val="single" w:color="auto"/>
            <w:color w:val="0000FF"/>
          </w:rPr>
          <w:t>Unapproved Share Option Scheme, as amended</w:t>
        </w:r>
      </w:hyperlink>
    </w:p>
    <w:p>
      <w:pPr>
        <w:spacing w:after="0" w:line="189" w:lineRule="exact"/>
        <w:rPr>
          <w:sz w:val="20"/>
          <w:szCs w:val="20"/>
          <w:color w:val="auto"/>
        </w:rPr>
      </w:pPr>
    </w:p>
    <w:p>
      <w:pPr>
        <w:spacing w:after="0"/>
        <w:rPr>
          <w:rFonts w:ascii="Arial" w:cs="Arial" w:eastAsia="Arial" w:hAnsi="Arial"/>
          <w:sz w:val="14"/>
          <w:szCs w:val="14"/>
          <w:u w:val="single" w:color="auto"/>
          <w:color w:val="0000FF"/>
        </w:rPr>
      </w:pPr>
      <w:hyperlink r:id="rId115">
        <w:r>
          <w:rPr>
            <w:rFonts w:ascii="Arial" w:cs="Arial" w:eastAsia="Arial" w:hAnsi="Arial"/>
            <w:sz w:val="14"/>
            <w:szCs w:val="14"/>
            <w:u w:val="single" w:color="auto"/>
            <w:color w:val="0000FF"/>
          </w:rPr>
          <w:t>2017 Incentive Award Plan and forms of award agreements thereunder</w:t>
        </w:r>
      </w:hyperlink>
    </w:p>
    <w:p>
      <w:pPr>
        <w:spacing w:after="0" w:line="189" w:lineRule="exact"/>
        <w:rPr>
          <w:sz w:val="20"/>
          <w:szCs w:val="20"/>
          <w:color w:val="auto"/>
        </w:rPr>
      </w:pPr>
    </w:p>
    <w:p>
      <w:pPr>
        <w:spacing w:after="0"/>
        <w:rPr>
          <w:rFonts w:ascii="Arial" w:cs="Arial" w:eastAsia="Arial" w:hAnsi="Arial"/>
          <w:sz w:val="12"/>
          <w:szCs w:val="12"/>
          <w:u w:val="single" w:color="auto"/>
          <w:color w:val="0000FF"/>
        </w:rPr>
      </w:pPr>
      <w:hyperlink r:id="rId116">
        <w:r>
          <w:rPr>
            <w:rFonts w:ascii="Arial" w:cs="Arial" w:eastAsia="Arial" w:hAnsi="Arial"/>
            <w:sz w:val="12"/>
            <w:szCs w:val="12"/>
            <w:u w:val="single" w:color="auto"/>
            <w:color w:val="0000FF"/>
          </w:rPr>
          <w:t>Employment Agreement, dated January 28, 2020, between Verona Pharma Inc.</w:t>
        </w:r>
      </w:hyperlink>
    </w:p>
    <w:p>
      <w:pPr>
        <w:spacing w:after="0" w:line="12" w:lineRule="exact"/>
        <w:rPr>
          <w:sz w:val="20"/>
          <w:szCs w:val="20"/>
          <w:color w:val="auto"/>
        </w:rPr>
      </w:pPr>
    </w:p>
    <w:p>
      <w:pPr>
        <w:spacing w:after="0"/>
        <w:rPr>
          <w:rFonts w:ascii="Arial" w:cs="Arial" w:eastAsia="Arial" w:hAnsi="Arial"/>
          <w:sz w:val="14"/>
          <w:szCs w:val="14"/>
          <w:u w:val="single" w:color="auto"/>
          <w:color w:val="0000FF"/>
        </w:rPr>
      </w:pPr>
      <w:hyperlink r:id="rId116">
        <w:r>
          <w:rPr>
            <w:rFonts w:ascii="Arial" w:cs="Arial" w:eastAsia="Arial" w:hAnsi="Arial"/>
            <w:sz w:val="14"/>
            <w:szCs w:val="14"/>
            <w:u w:val="single" w:color="auto"/>
            <w:color w:val="0000FF"/>
          </w:rPr>
          <w:t>and David Zaccardelli, Pharm. D.</w:t>
        </w:r>
      </w:hyperlink>
    </w:p>
    <w:p>
      <w:pPr>
        <w:spacing w:after="0" w:line="177" w:lineRule="exact"/>
        <w:rPr>
          <w:sz w:val="20"/>
          <w:szCs w:val="20"/>
          <w:color w:val="auto"/>
        </w:rPr>
      </w:pPr>
    </w:p>
    <w:p>
      <w:pPr>
        <w:ind w:right="120"/>
        <w:spacing w:after="0" w:line="236" w:lineRule="auto"/>
        <w:rPr>
          <w:rFonts w:ascii="Arial" w:cs="Arial" w:eastAsia="Arial" w:hAnsi="Arial"/>
          <w:sz w:val="14"/>
          <w:szCs w:val="14"/>
          <w:u w:val="single" w:color="auto"/>
          <w:color w:val="0000FF"/>
        </w:rPr>
      </w:pPr>
      <w:hyperlink r:id="rId117">
        <w:r>
          <w:rPr>
            <w:rFonts w:ascii="Arial" w:cs="Arial" w:eastAsia="Arial" w:hAnsi="Arial"/>
            <w:sz w:val="14"/>
            <w:szCs w:val="14"/>
            <w:u w:val="single" w:color="auto"/>
            <w:color w:val="0000FF"/>
          </w:rPr>
          <w:t>Employment Agreement, dated December 21, 2019, between Verona Pharma</w:t>
        </w:r>
      </w:hyperlink>
      <w:r>
        <w:rPr>
          <w:rFonts w:ascii="Arial" w:cs="Arial" w:eastAsia="Arial" w:hAnsi="Arial"/>
          <w:sz w:val="14"/>
          <w:szCs w:val="14"/>
          <w:u w:val="single" w:color="auto"/>
          <w:color w:val="0000FF"/>
        </w:rPr>
        <w:t xml:space="preserve"> </w:t>
      </w:r>
      <w:hyperlink r:id="rId117">
        <w:r>
          <w:rPr>
            <w:rFonts w:ascii="Arial" w:cs="Arial" w:eastAsia="Arial" w:hAnsi="Arial"/>
            <w:sz w:val="14"/>
            <w:szCs w:val="14"/>
            <w:u w:val="single" w:color="auto"/>
            <w:color w:val="0000FF"/>
          </w:rPr>
          <w:t>plc and Kathleen Rickard</w:t>
        </w:r>
      </w:hyperlink>
    </w:p>
    <w:p>
      <w:pPr>
        <w:spacing w:after="0" w:line="171" w:lineRule="exact"/>
        <w:rPr>
          <w:sz w:val="20"/>
          <w:szCs w:val="20"/>
          <w:color w:val="auto"/>
        </w:rPr>
      </w:pPr>
    </w:p>
    <w:p>
      <w:pPr>
        <w:ind w:right="100"/>
        <w:spacing w:after="0" w:line="236" w:lineRule="auto"/>
        <w:rPr>
          <w:rFonts w:ascii="Arial" w:cs="Arial" w:eastAsia="Arial" w:hAnsi="Arial"/>
          <w:sz w:val="14"/>
          <w:szCs w:val="14"/>
          <w:u w:val="single" w:color="auto"/>
          <w:color w:val="0000FF"/>
        </w:rPr>
      </w:pPr>
      <w:hyperlink r:id="rId118">
        <w:r>
          <w:rPr>
            <w:rFonts w:ascii="Arial" w:cs="Arial" w:eastAsia="Arial" w:hAnsi="Arial"/>
            <w:sz w:val="14"/>
            <w:szCs w:val="14"/>
            <w:u w:val="single" w:color="auto"/>
            <w:color w:val="0000FF"/>
          </w:rPr>
          <w:t>Employment Agreement, dated October 1, 2016, between Verona Pharma plc</w:t>
        </w:r>
      </w:hyperlink>
      <w:r>
        <w:rPr>
          <w:rFonts w:ascii="Arial" w:cs="Arial" w:eastAsia="Arial" w:hAnsi="Arial"/>
          <w:sz w:val="14"/>
          <w:szCs w:val="14"/>
          <w:u w:val="single" w:color="auto"/>
          <w:color w:val="0000FF"/>
        </w:rPr>
        <w:t xml:space="preserve"> </w:t>
      </w:r>
      <w:hyperlink r:id="rId118">
        <w:r>
          <w:rPr>
            <w:rFonts w:ascii="Arial" w:cs="Arial" w:eastAsia="Arial" w:hAnsi="Arial"/>
            <w:sz w:val="14"/>
            <w:szCs w:val="14"/>
            <w:u w:val="single" w:color="auto"/>
            <w:color w:val="0000FF"/>
          </w:rPr>
          <w:t>and Claire Poll</w:t>
        </w:r>
      </w:hyperlink>
    </w:p>
    <w:p>
      <w:pPr>
        <w:spacing w:after="0" w:line="171" w:lineRule="exact"/>
        <w:rPr>
          <w:sz w:val="20"/>
          <w:szCs w:val="20"/>
          <w:color w:val="auto"/>
        </w:rPr>
      </w:pPr>
    </w:p>
    <w:p>
      <w:pPr>
        <w:spacing w:after="0" w:line="236" w:lineRule="auto"/>
        <w:rPr>
          <w:rFonts w:ascii="Arial" w:cs="Arial" w:eastAsia="Arial" w:hAnsi="Arial"/>
          <w:sz w:val="14"/>
          <w:szCs w:val="14"/>
          <w:u w:val="single" w:color="auto"/>
          <w:color w:val="0000FF"/>
        </w:rPr>
      </w:pPr>
      <w:hyperlink r:id="rId119">
        <w:r>
          <w:rPr>
            <w:rFonts w:ascii="Arial" w:cs="Arial" w:eastAsia="Arial" w:hAnsi="Arial"/>
            <w:sz w:val="14"/>
            <w:szCs w:val="14"/>
            <w:u w:val="single" w:color="auto"/>
            <w:color w:val="0000FF"/>
          </w:rPr>
          <w:t>Employment Agreement, dated February 1, 2020, between Verona Pharma Inc.</w:t>
        </w:r>
      </w:hyperlink>
      <w:r>
        <w:rPr>
          <w:rFonts w:ascii="Arial" w:cs="Arial" w:eastAsia="Arial" w:hAnsi="Arial"/>
          <w:sz w:val="14"/>
          <w:szCs w:val="14"/>
          <w:u w:val="single" w:color="auto"/>
          <w:color w:val="0000FF"/>
        </w:rPr>
        <w:t xml:space="preserve"> </w:t>
      </w:r>
      <w:hyperlink r:id="rId119">
        <w:r>
          <w:rPr>
            <w:rFonts w:ascii="Arial" w:cs="Arial" w:eastAsia="Arial" w:hAnsi="Arial"/>
            <w:sz w:val="14"/>
            <w:szCs w:val="14"/>
            <w:u w:val="single" w:color="auto"/>
            <w:color w:val="0000FF"/>
          </w:rPr>
          <w:t>and Mark Hahn</w:t>
        </w:r>
      </w:hyperlink>
    </w:p>
    <w:p>
      <w:pPr>
        <w:spacing w:after="0" w:line="171" w:lineRule="exact"/>
        <w:rPr>
          <w:sz w:val="20"/>
          <w:szCs w:val="20"/>
          <w:color w:val="auto"/>
        </w:rPr>
      </w:pPr>
    </w:p>
    <w:p>
      <w:pPr>
        <w:spacing w:after="0"/>
        <w:rPr>
          <w:rFonts w:ascii="Arial" w:cs="Arial" w:eastAsia="Arial" w:hAnsi="Arial"/>
          <w:sz w:val="14"/>
          <w:szCs w:val="14"/>
          <w:u w:val="single" w:color="auto"/>
          <w:color w:val="0000FF"/>
        </w:rPr>
      </w:pPr>
      <w:hyperlink r:id="rId120">
        <w:r>
          <w:rPr>
            <w:rFonts w:ascii="Arial" w:cs="Arial" w:eastAsia="Arial" w:hAnsi="Arial"/>
            <w:sz w:val="14"/>
            <w:szCs w:val="14"/>
            <w:u w:val="single" w:color="auto"/>
            <w:color w:val="0000FF"/>
          </w:rPr>
          <w:t>Form of Indemnification Agreement for board members</w:t>
        </w:r>
      </w:hyperlink>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40" w:type="dxa"/>
            <w:vAlign w:val="bottom"/>
            <w:vMerge w:val="restart"/>
          </w:tcPr>
          <w:p>
            <w:pPr>
              <w:jc w:val="right"/>
              <w:ind w:right="329"/>
              <w:spacing w:after="0"/>
              <w:rPr>
                <w:sz w:val="20"/>
                <w:szCs w:val="20"/>
                <w:color w:val="auto"/>
              </w:rPr>
            </w:pPr>
            <w:r>
              <w:rPr>
                <w:rFonts w:ascii="Arial" w:cs="Arial" w:eastAsia="Arial" w:hAnsi="Arial"/>
                <w:sz w:val="14"/>
                <w:szCs w:val="14"/>
                <w:color w:val="auto"/>
                <w:w w:val="97"/>
              </w:rPr>
              <w:t>Form</w:t>
            </w:r>
          </w:p>
        </w:tc>
        <w:tc>
          <w:tcPr>
            <w:tcW w:w="1220" w:type="dxa"/>
            <w:vAlign w:val="bottom"/>
            <w:vMerge w:val="restart"/>
          </w:tcPr>
          <w:p>
            <w:pPr>
              <w:jc w:val="right"/>
              <w:ind w:right="89"/>
              <w:spacing w:after="0"/>
              <w:rPr>
                <w:sz w:val="20"/>
                <w:szCs w:val="20"/>
                <w:color w:val="auto"/>
              </w:rPr>
            </w:pPr>
            <w:r>
              <w:rPr>
                <w:rFonts w:ascii="Arial" w:cs="Arial" w:eastAsia="Arial" w:hAnsi="Arial"/>
                <w:sz w:val="14"/>
                <w:szCs w:val="14"/>
                <w:color w:val="auto"/>
              </w:rPr>
              <w:t>File No.</w:t>
            </w:r>
          </w:p>
        </w:tc>
        <w:tc>
          <w:tcPr>
            <w:tcW w:w="1060" w:type="dxa"/>
            <w:vAlign w:val="bottom"/>
            <w:vMerge w:val="restart"/>
          </w:tcPr>
          <w:p>
            <w:pPr>
              <w:jc w:val="right"/>
              <w:ind w:right="189"/>
              <w:spacing w:after="0"/>
              <w:rPr>
                <w:sz w:val="20"/>
                <w:szCs w:val="20"/>
                <w:color w:val="auto"/>
              </w:rPr>
            </w:pPr>
            <w:r>
              <w:rPr>
                <w:rFonts w:ascii="Arial" w:cs="Arial" w:eastAsia="Arial" w:hAnsi="Arial"/>
                <w:sz w:val="14"/>
                <w:szCs w:val="14"/>
                <w:color w:val="auto"/>
              </w:rPr>
              <w:t>Exhibit No.</w:t>
            </w: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Filing date</w:t>
            </w:r>
          </w:p>
        </w:tc>
        <w:tc>
          <w:tcPr>
            <w:tcW w:w="1040" w:type="dxa"/>
            <w:vAlign w:val="bottom"/>
          </w:tcPr>
          <w:p>
            <w:pPr>
              <w:jc w:val="right"/>
              <w:spacing w:after="0"/>
              <w:rPr>
                <w:sz w:val="20"/>
                <w:szCs w:val="20"/>
                <w:color w:val="auto"/>
              </w:rPr>
            </w:pPr>
            <w:r>
              <w:rPr>
                <w:rFonts w:ascii="Arial" w:cs="Arial" w:eastAsia="Arial" w:hAnsi="Arial"/>
                <w:sz w:val="14"/>
                <w:szCs w:val="14"/>
                <w:color w:val="auto"/>
                <w:w w:val="97"/>
              </w:rPr>
              <w:t>Filed / Furnished</w:t>
            </w:r>
          </w:p>
        </w:tc>
        <w:tc>
          <w:tcPr>
            <w:tcW w:w="0" w:type="dxa"/>
            <w:vAlign w:val="bottom"/>
          </w:tcPr>
          <w:p>
            <w:pPr>
              <w:spacing w:after="0"/>
              <w:rPr>
                <w:sz w:val="1"/>
                <w:szCs w:val="1"/>
                <w:color w:val="auto"/>
              </w:rPr>
            </w:pPr>
          </w:p>
        </w:tc>
      </w:tr>
      <w:tr>
        <w:trPr>
          <w:trHeight w:val="180"/>
        </w:trPr>
        <w:tc>
          <w:tcPr>
            <w:tcW w:w="7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Herewith</w:t>
            </w:r>
          </w:p>
        </w:tc>
        <w:tc>
          <w:tcPr>
            <w:tcW w:w="0" w:type="dxa"/>
            <w:vAlign w:val="bottom"/>
          </w:tcPr>
          <w:p>
            <w:pPr>
              <w:spacing w:after="0"/>
              <w:rPr>
                <w:sz w:val="1"/>
                <w:szCs w:val="1"/>
                <w:color w:val="auto"/>
              </w:rPr>
            </w:pPr>
          </w:p>
        </w:tc>
      </w:tr>
      <w:tr>
        <w:trPr>
          <w:trHeight w:val="350"/>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6-K</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001-38067</w:t>
            </w:r>
          </w:p>
        </w:tc>
        <w:tc>
          <w:tcPr>
            <w:tcW w:w="1060" w:type="dxa"/>
            <w:vAlign w:val="bottom"/>
          </w:tcPr>
          <w:p>
            <w:pPr>
              <w:jc w:val="right"/>
              <w:ind w:right="189"/>
              <w:spacing w:after="0"/>
              <w:rPr>
                <w:sz w:val="20"/>
                <w:szCs w:val="20"/>
                <w:color w:val="auto"/>
              </w:rPr>
            </w:pPr>
            <w:r>
              <w:rPr>
                <w:rFonts w:ascii="Arial" w:cs="Arial" w:eastAsia="Arial" w:hAnsi="Arial"/>
                <w:sz w:val="14"/>
                <w:szCs w:val="14"/>
                <w:color w:val="auto"/>
              </w:rPr>
              <w:t>1</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12/30/2020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20-F</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001-38067</w:t>
            </w:r>
          </w:p>
        </w:tc>
        <w:tc>
          <w:tcPr>
            <w:tcW w:w="1060" w:type="dxa"/>
            <w:vAlign w:val="bottom"/>
          </w:tcPr>
          <w:p>
            <w:pPr>
              <w:jc w:val="right"/>
              <w:ind w:right="229"/>
              <w:spacing w:after="0"/>
              <w:rPr>
                <w:sz w:val="20"/>
                <w:szCs w:val="20"/>
                <w:color w:val="auto"/>
              </w:rPr>
            </w:pPr>
            <w:r>
              <w:rPr>
                <w:rFonts w:ascii="Arial" w:cs="Arial" w:eastAsia="Arial" w:hAnsi="Arial"/>
                <w:sz w:val="14"/>
                <w:szCs w:val="14"/>
                <w:color w:val="auto"/>
              </w:rPr>
              <w:t>2.1</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2/27/2018</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20-F</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001-38067</w:t>
            </w:r>
          </w:p>
        </w:tc>
        <w:tc>
          <w:tcPr>
            <w:tcW w:w="1060" w:type="dxa"/>
            <w:vAlign w:val="bottom"/>
          </w:tcPr>
          <w:p>
            <w:pPr>
              <w:jc w:val="right"/>
              <w:ind w:right="229"/>
              <w:spacing w:after="0"/>
              <w:rPr>
                <w:sz w:val="20"/>
                <w:szCs w:val="20"/>
                <w:color w:val="auto"/>
              </w:rPr>
            </w:pPr>
            <w:r>
              <w:rPr>
                <w:rFonts w:ascii="Arial" w:cs="Arial" w:eastAsia="Arial" w:hAnsi="Arial"/>
                <w:sz w:val="14"/>
                <w:szCs w:val="14"/>
                <w:color w:val="auto"/>
              </w:rPr>
              <w:t>2.2</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2/27/2018</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F-1</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333-217124</w:t>
            </w:r>
          </w:p>
        </w:tc>
        <w:tc>
          <w:tcPr>
            <w:tcW w:w="1060" w:type="dxa"/>
            <w:vAlign w:val="bottom"/>
          </w:tcPr>
          <w:p>
            <w:pPr>
              <w:jc w:val="right"/>
              <w:ind w:right="229"/>
              <w:spacing w:after="0"/>
              <w:rPr>
                <w:sz w:val="20"/>
                <w:szCs w:val="20"/>
                <w:color w:val="auto"/>
              </w:rPr>
            </w:pPr>
            <w:r>
              <w:rPr>
                <w:rFonts w:ascii="Arial" w:cs="Arial" w:eastAsia="Arial" w:hAnsi="Arial"/>
                <w:sz w:val="14"/>
                <w:szCs w:val="14"/>
                <w:color w:val="auto"/>
              </w:rPr>
              <w:t>4.3</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4/3/2017</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F-1</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333-217124</w:t>
            </w:r>
          </w:p>
        </w:tc>
        <w:tc>
          <w:tcPr>
            <w:tcW w:w="1060" w:type="dxa"/>
            <w:vAlign w:val="bottom"/>
          </w:tcPr>
          <w:p>
            <w:pPr>
              <w:jc w:val="right"/>
              <w:ind w:right="229"/>
              <w:spacing w:after="0"/>
              <w:rPr>
                <w:sz w:val="20"/>
                <w:szCs w:val="20"/>
                <w:color w:val="auto"/>
              </w:rPr>
            </w:pPr>
            <w:r>
              <w:rPr>
                <w:rFonts w:ascii="Arial" w:cs="Arial" w:eastAsia="Arial" w:hAnsi="Arial"/>
                <w:sz w:val="14"/>
                <w:szCs w:val="14"/>
                <w:color w:val="auto"/>
              </w:rPr>
              <w:t>4.4</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4/3/2017</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10-K</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001-38067</w:t>
            </w:r>
          </w:p>
        </w:tc>
        <w:tc>
          <w:tcPr>
            <w:tcW w:w="1060" w:type="dxa"/>
            <w:vAlign w:val="bottom"/>
          </w:tcPr>
          <w:p>
            <w:pPr>
              <w:jc w:val="right"/>
              <w:ind w:right="229"/>
              <w:spacing w:after="0"/>
              <w:rPr>
                <w:sz w:val="20"/>
                <w:szCs w:val="20"/>
                <w:color w:val="auto"/>
              </w:rPr>
            </w:pPr>
            <w:r>
              <w:rPr>
                <w:rFonts w:ascii="Arial" w:cs="Arial" w:eastAsia="Arial" w:hAnsi="Arial"/>
                <w:sz w:val="14"/>
                <w:szCs w:val="14"/>
                <w:color w:val="auto"/>
              </w:rPr>
              <w:t>4.5</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2/25/2021</w:t>
            </w:r>
          </w:p>
        </w:tc>
        <w:tc>
          <w:tcPr>
            <w:tcW w:w="1040" w:type="dxa"/>
            <w:vAlign w:val="bottom"/>
          </w:tcPr>
          <w:p>
            <w:pPr>
              <w:jc w:val="right"/>
              <w:ind w:right="4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8"/>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F-1</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333-217124</w:t>
            </w:r>
          </w:p>
        </w:tc>
        <w:tc>
          <w:tcPr>
            <w:tcW w:w="1060" w:type="dxa"/>
            <w:vAlign w:val="bottom"/>
          </w:tcPr>
          <w:p>
            <w:pPr>
              <w:jc w:val="right"/>
              <w:ind w:right="229"/>
              <w:spacing w:after="0"/>
              <w:rPr>
                <w:sz w:val="20"/>
                <w:szCs w:val="20"/>
                <w:color w:val="auto"/>
              </w:rPr>
            </w:pPr>
            <w:r>
              <w:rPr>
                <w:rFonts w:ascii="Arial" w:cs="Arial" w:eastAsia="Arial" w:hAnsi="Arial"/>
                <w:sz w:val="14"/>
                <w:szCs w:val="14"/>
                <w:color w:val="auto"/>
              </w:rPr>
              <w:t>10.1</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4/3/2017</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6-K</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001-38067</w:t>
            </w:r>
          </w:p>
        </w:tc>
        <w:tc>
          <w:tcPr>
            <w:tcW w:w="1060" w:type="dxa"/>
            <w:vAlign w:val="bottom"/>
          </w:tcPr>
          <w:p>
            <w:pPr>
              <w:jc w:val="right"/>
              <w:ind w:right="229"/>
              <w:spacing w:after="0"/>
              <w:rPr>
                <w:sz w:val="20"/>
                <w:szCs w:val="20"/>
                <w:color w:val="auto"/>
              </w:rPr>
            </w:pPr>
            <w:r>
              <w:rPr>
                <w:rFonts w:ascii="Arial" w:cs="Arial" w:eastAsia="Arial" w:hAnsi="Arial"/>
                <w:sz w:val="14"/>
                <w:szCs w:val="14"/>
                <w:color w:val="auto"/>
              </w:rPr>
              <w:t>2</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7/22/2020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6"/>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F-1</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333-217124</w:t>
            </w:r>
          </w:p>
        </w:tc>
        <w:tc>
          <w:tcPr>
            <w:tcW w:w="1060" w:type="dxa"/>
            <w:vAlign w:val="bottom"/>
          </w:tcPr>
          <w:p>
            <w:pPr>
              <w:jc w:val="right"/>
              <w:ind w:right="229"/>
              <w:spacing w:after="0"/>
              <w:rPr>
                <w:sz w:val="20"/>
                <w:szCs w:val="20"/>
                <w:color w:val="auto"/>
              </w:rPr>
            </w:pPr>
            <w:r>
              <w:rPr>
                <w:rFonts w:ascii="Arial" w:cs="Arial" w:eastAsia="Arial" w:hAnsi="Arial"/>
                <w:sz w:val="14"/>
                <w:szCs w:val="14"/>
                <w:color w:val="auto"/>
              </w:rPr>
              <w:t>10.2</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4/3/2017</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20-F</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001-38067</w:t>
            </w:r>
          </w:p>
        </w:tc>
        <w:tc>
          <w:tcPr>
            <w:tcW w:w="1060" w:type="dxa"/>
            <w:vAlign w:val="bottom"/>
          </w:tcPr>
          <w:p>
            <w:pPr>
              <w:jc w:val="right"/>
              <w:ind w:right="189"/>
              <w:spacing w:after="0"/>
              <w:rPr>
                <w:sz w:val="20"/>
                <w:szCs w:val="20"/>
                <w:color w:val="auto"/>
              </w:rPr>
            </w:pPr>
            <w:r>
              <w:rPr>
                <w:rFonts w:ascii="Arial" w:cs="Arial" w:eastAsia="Arial" w:hAnsi="Arial"/>
                <w:sz w:val="14"/>
                <w:szCs w:val="14"/>
                <w:color w:val="auto"/>
              </w:rPr>
              <w:t>4.3.3</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2/27/2020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20-F</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001-38067</w:t>
            </w:r>
          </w:p>
        </w:tc>
        <w:tc>
          <w:tcPr>
            <w:tcW w:w="1060" w:type="dxa"/>
            <w:vAlign w:val="bottom"/>
          </w:tcPr>
          <w:p>
            <w:pPr>
              <w:jc w:val="right"/>
              <w:ind w:right="189"/>
              <w:spacing w:after="0"/>
              <w:rPr>
                <w:sz w:val="20"/>
                <w:szCs w:val="20"/>
                <w:color w:val="auto"/>
              </w:rPr>
            </w:pPr>
            <w:r>
              <w:rPr>
                <w:rFonts w:ascii="Arial" w:cs="Arial" w:eastAsia="Arial" w:hAnsi="Arial"/>
                <w:sz w:val="14"/>
                <w:szCs w:val="14"/>
                <w:color w:val="auto"/>
              </w:rPr>
              <w:t>4.3.4</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2/27/2020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20-F</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001-38067</w:t>
            </w:r>
          </w:p>
        </w:tc>
        <w:tc>
          <w:tcPr>
            <w:tcW w:w="1060" w:type="dxa"/>
            <w:vAlign w:val="bottom"/>
          </w:tcPr>
          <w:p>
            <w:pPr>
              <w:jc w:val="right"/>
              <w:ind w:right="189"/>
              <w:spacing w:after="0"/>
              <w:rPr>
                <w:sz w:val="20"/>
                <w:szCs w:val="20"/>
                <w:color w:val="auto"/>
              </w:rPr>
            </w:pPr>
            <w:r>
              <w:rPr>
                <w:rFonts w:ascii="Arial" w:cs="Arial" w:eastAsia="Arial" w:hAnsi="Arial"/>
                <w:sz w:val="14"/>
                <w:szCs w:val="14"/>
                <w:color w:val="auto"/>
              </w:rPr>
              <w:t>4.3.5</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2/27/2020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20-F</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001-38067</w:t>
            </w:r>
          </w:p>
        </w:tc>
        <w:tc>
          <w:tcPr>
            <w:tcW w:w="1060" w:type="dxa"/>
            <w:vAlign w:val="bottom"/>
          </w:tcPr>
          <w:p>
            <w:pPr>
              <w:jc w:val="right"/>
              <w:ind w:right="189"/>
              <w:spacing w:after="0"/>
              <w:rPr>
                <w:sz w:val="20"/>
                <w:szCs w:val="20"/>
                <w:color w:val="auto"/>
              </w:rPr>
            </w:pPr>
            <w:r>
              <w:rPr>
                <w:rFonts w:ascii="Arial" w:cs="Arial" w:eastAsia="Arial" w:hAnsi="Arial"/>
                <w:sz w:val="14"/>
                <w:szCs w:val="14"/>
                <w:color w:val="auto"/>
              </w:rPr>
              <w:t>4.3.6</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2/27/2020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jc w:val="right"/>
              <w:ind w:right="4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8"/>
        </w:trPr>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jc w:val="right"/>
              <w:ind w:right="4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8"/>
        </w:trPr>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jc w:val="right"/>
              <w:ind w:right="4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0"/>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F-1</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333-217124</w:t>
            </w:r>
          </w:p>
        </w:tc>
        <w:tc>
          <w:tcPr>
            <w:tcW w:w="1060" w:type="dxa"/>
            <w:vAlign w:val="bottom"/>
          </w:tcPr>
          <w:p>
            <w:pPr>
              <w:jc w:val="right"/>
              <w:ind w:right="229"/>
              <w:spacing w:after="0"/>
              <w:rPr>
                <w:sz w:val="20"/>
                <w:szCs w:val="20"/>
                <w:color w:val="auto"/>
              </w:rPr>
            </w:pPr>
            <w:r>
              <w:rPr>
                <w:rFonts w:ascii="Arial" w:cs="Arial" w:eastAsia="Arial" w:hAnsi="Arial"/>
                <w:sz w:val="14"/>
                <w:szCs w:val="14"/>
                <w:color w:val="auto"/>
              </w:rPr>
              <w:t>10.4</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4/3/2017</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F-1</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333-217124</w:t>
            </w:r>
          </w:p>
        </w:tc>
        <w:tc>
          <w:tcPr>
            <w:tcW w:w="1060" w:type="dxa"/>
            <w:vAlign w:val="bottom"/>
          </w:tcPr>
          <w:p>
            <w:pPr>
              <w:jc w:val="right"/>
              <w:ind w:right="189"/>
              <w:spacing w:after="0"/>
              <w:rPr>
                <w:sz w:val="20"/>
                <w:szCs w:val="20"/>
                <w:color w:val="auto"/>
              </w:rPr>
            </w:pPr>
            <w:r>
              <w:rPr>
                <w:rFonts w:ascii="Arial" w:cs="Arial" w:eastAsia="Arial" w:hAnsi="Arial"/>
                <w:sz w:val="14"/>
                <w:szCs w:val="14"/>
                <w:color w:val="auto"/>
              </w:rPr>
              <w:t>10.5</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4/3/2017</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20-F</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001-38067</w:t>
            </w:r>
          </w:p>
        </w:tc>
        <w:tc>
          <w:tcPr>
            <w:tcW w:w="1060" w:type="dxa"/>
            <w:vAlign w:val="bottom"/>
          </w:tcPr>
          <w:p>
            <w:pPr>
              <w:jc w:val="right"/>
              <w:ind w:right="229"/>
              <w:spacing w:after="0"/>
              <w:rPr>
                <w:sz w:val="20"/>
                <w:szCs w:val="20"/>
                <w:color w:val="auto"/>
              </w:rPr>
            </w:pPr>
            <w:r>
              <w:rPr>
                <w:rFonts w:ascii="Arial" w:cs="Arial" w:eastAsia="Arial" w:hAnsi="Arial"/>
                <w:sz w:val="14"/>
                <w:szCs w:val="14"/>
                <w:color w:val="auto"/>
              </w:rPr>
              <w:t>4.6</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2/27/2018</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20-F</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001-38067</w:t>
            </w:r>
          </w:p>
        </w:tc>
        <w:tc>
          <w:tcPr>
            <w:tcW w:w="1060" w:type="dxa"/>
            <w:vAlign w:val="bottom"/>
          </w:tcPr>
          <w:p>
            <w:pPr>
              <w:jc w:val="right"/>
              <w:ind w:right="229"/>
              <w:spacing w:after="0"/>
              <w:rPr>
                <w:sz w:val="20"/>
                <w:szCs w:val="20"/>
                <w:color w:val="auto"/>
              </w:rPr>
            </w:pPr>
            <w:r>
              <w:rPr>
                <w:rFonts w:ascii="Arial" w:cs="Arial" w:eastAsia="Arial" w:hAnsi="Arial"/>
                <w:sz w:val="14"/>
                <w:szCs w:val="14"/>
                <w:color w:val="auto"/>
              </w:rPr>
              <w:t>4.7</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2/27/2020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20-F</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001-38067</w:t>
            </w:r>
          </w:p>
        </w:tc>
        <w:tc>
          <w:tcPr>
            <w:tcW w:w="1060" w:type="dxa"/>
            <w:vAlign w:val="bottom"/>
          </w:tcPr>
          <w:p>
            <w:pPr>
              <w:jc w:val="right"/>
              <w:ind w:right="229"/>
              <w:spacing w:after="0"/>
              <w:rPr>
                <w:sz w:val="20"/>
                <w:szCs w:val="20"/>
                <w:color w:val="auto"/>
              </w:rPr>
            </w:pPr>
            <w:r>
              <w:rPr>
                <w:rFonts w:ascii="Arial" w:cs="Arial" w:eastAsia="Arial" w:hAnsi="Arial"/>
                <w:sz w:val="14"/>
                <w:szCs w:val="14"/>
                <w:color w:val="auto"/>
              </w:rPr>
              <w:t>4.8</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3/19/2019</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F-1</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333-217124</w:t>
            </w:r>
          </w:p>
        </w:tc>
        <w:tc>
          <w:tcPr>
            <w:tcW w:w="1060" w:type="dxa"/>
            <w:vAlign w:val="bottom"/>
          </w:tcPr>
          <w:p>
            <w:pPr>
              <w:jc w:val="right"/>
              <w:ind w:right="229"/>
              <w:spacing w:after="0"/>
              <w:rPr>
                <w:sz w:val="20"/>
                <w:szCs w:val="20"/>
                <w:color w:val="auto"/>
              </w:rPr>
            </w:pPr>
            <w:r>
              <w:rPr>
                <w:rFonts w:ascii="Arial" w:cs="Arial" w:eastAsia="Arial" w:hAnsi="Arial"/>
                <w:sz w:val="14"/>
                <w:szCs w:val="14"/>
                <w:color w:val="auto"/>
              </w:rPr>
              <w:t>10.9</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4/3/2017</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F-1</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333-247928</w:t>
            </w:r>
          </w:p>
        </w:tc>
        <w:tc>
          <w:tcPr>
            <w:tcW w:w="1060" w:type="dxa"/>
            <w:vAlign w:val="bottom"/>
          </w:tcPr>
          <w:p>
            <w:pPr>
              <w:jc w:val="right"/>
              <w:ind w:right="229"/>
              <w:spacing w:after="0"/>
              <w:rPr>
                <w:sz w:val="20"/>
                <w:szCs w:val="20"/>
                <w:color w:val="auto"/>
              </w:rPr>
            </w:pPr>
            <w:r>
              <w:rPr>
                <w:rFonts w:ascii="Arial" w:cs="Arial" w:eastAsia="Arial" w:hAnsi="Arial"/>
                <w:sz w:val="14"/>
                <w:szCs w:val="14"/>
                <w:color w:val="auto"/>
              </w:rPr>
              <w:t>10.12</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8/17/2020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740" w:type="dxa"/>
            <w:vAlign w:val="bottom"/>
          </w:tcPr>
          <w:p>
            <w:pPr>
              <w:jc w:val="right"/>
              <w:ind w:right="329"/>
              <w:spacing w:after="0"/>
              <w:rPr>
                <w:sz w:val="20"/>
                <w:szCs w:val="20"/>
                <w:color w:val="auto"/>
              </w:rPr>
            </w:pPr>
            <w:r>
              <w:rPr>
                <w:rFonts w:ascii="Arial" w:cs="Arial" w:eastAsia="Arial" w:hAnsi="Arial"/>
                <w:sz w:val="14"/>
                <w:szCs w:val="14"/>
                <w:color w:val="auto"/>
                <w:w w:val="93"/>
              </w:rPr>
              <w:t>F-1/A</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333-217124</w:t>
            </w:r>
          </w:p>
        </w:tc>
        <w:tc>
          <w:tcPr>
            <w:tcW w:w="1060" w:type="dxa"/>
            <w:vAlign w:val="bottom"/>
          </w:tcPr>
          <w:p>
            <w:pPr>
              <w:jc w:val="right"/>
              <w:ind w:right="189"/>
              <w:spacing w:after="0"/>
              <w:rPr>
                <w:sz w:val="20"/>
                <w:szCs w:val="20"/>
                <w:color w:val="auto"/>
              </w:rPr>
            </w:pPr>
            <w:r>
              <w:rPr>
                <w:rFonts w:ascii="Arial" w:cs="Arial" w:eastAsia="Arial" w:hAnsi="Arial"/>
                <w:sz w:val="14"/>
                <w:szCs w:val="14"/>
                <w:color w:val="auto"/>
              </w:rPr>
              <w:t>10.11.1</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4/18/2017</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23" w:orient="portrait"/>
          <w:cols w:equalWidth="0" w:num="3">
            <w:col w:w="940" w:space="180"/>
            <w:col w:w="4480" w:space="560"/>
            <w:col w:w="5120"/>
          </w:cols>
          <w:pgMar w:left="300" w:top="1143" w:right="319" w:bottom="0" w:gutter="0" w:footer="0" w:header="0"/>
          <w:type w:val="continuous"/>
        </w:sectPr>
      </w:pPr>
    </w:p>
    <w:bookmarkStart w:id="88" w:name="page89"/>
    <w:bookmarkEnd w:id="88"/>
    <w:p>
      <w:pPr>
        <w:spacing w:after="0" w:line="85"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10.14#</w:t>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10.15</w:t>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10.18</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10.19.1</w:t>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10.19.2</w:t>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10.19.3†</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10.20#</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10.21†</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21.1</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23.1</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31.1</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31.2</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32.1</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32.2</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101.INS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101.SCH</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101.CAL</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101.LAB</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101.PRE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101.DEF</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104</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 Filed herewith.</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4"/>
          <w:szCs w:val="14"/>
          <w:u w:val="single" w:color="auto"/>
          <w:color w:val="0000FF"/>
        </w:rPr>
      </w:pPr>
      <w:hyperlink r:id="rId121">
        <w:r>
          <w:rPr>
            <w:rFonts w:ascii="Arial" w:cs="Arial" w:eastAsia="Arial" w:hAnsi="Arial"/>
            <w:sz w:val="14"/>
            <w:szCs w:val="14"/>
            <w:u w:val="single" w:color="auto"/>
            <w:color w:val="0000FF"/>
          </w:rPr>
          <w:t>Form of Indemnification Agreement for executive officers</w:t>
        </w:r>
      </w:hyperlink>
    </w:p>
    <w:p>
      <w:pPr>
        <w:spacing w:after="0" w:line="189" w:lineRule="exact"/>
        <w:rPr>
          <w:sz w:val="20"/>
          <w:szCs w:val="20"/>
          <w:color w:val="auto"/>
        </w:rPr>
      </w:pPr>
    </w:p>
    <w:p>
      <w:pPr>
        <w:spacing w:after="0" w:line="226" w:lineRule="auto"/>
        <w:rPr>
          <w:rFonts w:ascii="Arial" w:cs="Arial" w:eastAsia="Arial" w:hAnsi="Arial"/>
          <w:sz w:val="14"/>
          <w:szCs w:val="14"/>
          <w:u w:val="single" w:color="auto"/>
          <w:color w:val="0000FF"/>
        </w:rPr>
      </w:pPr>
      <w:hyperlink r:id="rId122">
        <w:r>
          <w:rPr>
            <w:rFonts w:ascii="Arial" w:cs="Arial" w:eastAsia="Arial" w:hAnsi="Arial"/>
            <w:sz w:val="14"/>
            <w:szCs w:val="14"/>
            <w:u w:val="single" w:color="auto"/>
            <w:color w:val="0000FF"/>
          </w:rPr>
          <w:t>Relationship Agreement relating to Verona Pharma plc, dated July 29, 2016, by</w:t>
        </w:r>
      </w:hyperlink>
      <w:r>
        <w:rPr>
          <w:rFonts w:ascii="Arial" w:cs="Arial" w:eastAsia="Arial" w:hAnsi="Arial"/>
          <w:sz w:val="14"/>
          <w:szCs w:val="14"/>
          <w:u w:val="single" w:color="auto"/>
          <w:color w:val="0000FF"/>
        </w:rPr>
        <w:t xml:space="preserve"> </w:t>
      </w:r>
      <w:hyperlink r:id="rId122">
        <w:r>
          <w:rPr>
            <w:rFonts w:ascii="Arial" w:cs="Arial" w:eastAsia="Arial" w:hAnsi="Arial"/>
            <w:sz w:val="14"/>
            <w:szCs w:val="14"/>
            <w:u w:val="single" w:color="auto"/>
            <w:color w:val="0000FF"/>
          </w:rPr>
          <w:t>and among the Verona Pharma plc, OrbiMed Private Investments VI, LP and</w:t>
        </w:r>
      </w:hyperlink>
      <w:r>
        <w:rPr>
          <w:rFonts w:ascii="Arial" w:cs="Arial" w:eastAsia="Arial" w:hAnsi="Arial"/>
          <w:sz w:val="14"/>
          <w:szCs w:val="14"/>
          <w:u w:val="single" w:color="auto"/>
          <w:color w:val="0000FF"/>
        </w:rPr>
        <w:t xml:space="preserve"> </w:t>
      </w:r>
      <w:hyperlink r:id="rId122">
        <w:r>
          <w:rPr>
            <w:rFonts w:ascii="Arial" w:cs="Arial" w:eastAsia="Arial" w:hAnsi="Arial"/>
            <w:sz w:val="14"/>
            <w:szCs w:val="14"/>
            <w:u w:val="single" w:color="auto"/>
            <w:color w:val="0000FF"/>
          </w:rPr>
          <w:t>NPlus1 Singer Advisory LLP</w:t>
        </w:r>
      </w:hyperlink>
    </w:p>
    <w:p>
      <w:pPr>
        <w:spacing w:after="0" w:line="171" w:lineRule="exact"/>
        <w:rPr>
          <w:rFonts w:ascii="Arial" w:cs="Arial" w:eastAsia="Arial" w:hAnsi="Arial"/>
          <w:sz w:val="14"/>
          <w:szCs w:val="14"/>
          <w:u w:val="single" w:color="auto"/>
          <w:color w:val="0000FF"/>
        </w:rPr>
      </w:pPr>
    </w:p>
    <w:p>
      <w:pPr>
        <w:jc w:val="both"/>
        <w:spacing w:after="0" w:line="226" w:lineRule="auto"/>
        <w:rPr>
          <w:rFonts w:ascii="Arial" w:cs="Arial" w:eastAsia="Arial" w:hAnsi="Arial"/>
          <w:sz w:val="14"/>
          <w:szCs w:val="14"/>
          <w:u w:val="single" w:color="auto"/>
          <w:color w:val="0000FF"/>
        </w:rPr>
      </w:pPr>
      <w:hyperlink r:id="rId123">
        <w:r>
          <w:rPr>
            <w:rFonts w:ascii="Arial" w:cs="Arial" w:eastAsia="Arial" w:hAnsi="Arial"/>
            <w:sz w:val="14"/>
            <w:szCs w:val="14"/>
            <w:u w:val="single" w:color="auto"/>
            <w:color w:val="0000FF"/>
          </w:rPr>
          <w:t>Relationship Agreement relating to Verona Pharma plc, dated July 29, 2016, by</w:t>
        </w:r>
      </w:hyperlink>
      <w:r>
        <w:rPr>
          <w:rFonts w:ascii="Arial" w:cs="Arial" w:eastAsia="Arial" w:hAnsi="Arial"/>
          <w:sz w:val="14"/>
          <w:szCs w:val="14"/>
          <w:u w:val="single" w:color="auto"/>
          <w:color w:val="0000FF"/>
        </w:rPr>
        <w:t xml:space="preserve"> </w:t>
      </w:r>
      <w:hyperlink r:id="rId123">
        <w:r>
          <w:rPr>
            <w:rFonts w:ascii="Arial" w:cs="Arial" w:eastAsia="Arial" w:hAnsi="Arial"/>
            <w:sz w:val="14"/>
            <w:szCs w:val="14"/>
            <w:u w:val="single" w:color="auto"/>
            <w:color w:val="0000FF"/>
          </w:rPr>
          <w:t>and among the Verona Pharma plc, Abingworth Bioventures VI LP and NPlus1</w:t>
        </w:r>
      </w:hyperlink>
      <w:r>
        <w:rPr>
          <w:rFonts w:ascii="Arial" w:cs="Arial" w:eastAsia="Arial" w:hAnsi="Arial"/>
          <w:sz w:val="14"/>
          <w:szCs w:val="14"/>
          <w:u w:val="single" w:color="auto"/>
          <w:color w:val="0000FF"/>
        </w:rPr>
        <w:t xml:space="preserve"> </w:t>
      </w:r>
      <w:hyperlink r:id="rId123">
        <w:r>
          <w:rPr>
            <w:rFonts w:ascii="Arial" w:cs="Arial" w:eastAsia="Arial" w:hAnsi="Arial"/>
            <w:sz w:val="14"/>
            <w:szCs w:val="14"/>
            <w:u w:val="single" w:color="auto"/>
            <w:color w:val="0000FF"/>
          </w:rPr>
          <w:t>Singer Advisory LLP</w:t>
        </w:r>
      </w:hyperlink>
    </w:p>
    <w:p>
      <w:pPr>
        <w:spacing w:after="0" w:line="171" w:lineRule="exact"/>
        <w:rPr>
          <w:rFonts w:ascii="Arial" w:cs="Arial" w:eastAsia="Arial" w:hAnsi="Arial"/>
          <w:sz w:val="14"/>
          <w:szCs w:val="14"/>
          <w:u w:val="single" w:color="auto"/>
          <w:color w:val="0000FF"/>
        </w:rPr>
      </w:pPr>
    </w:p>
    <w:p>
      <w:pPr>
        <w:spacing w:after="0" w:line="238" w:lineRule="auto"/>
        <w:rPr>
          <w:rFonts w:ascii="Arial" w:cs="Arial" w:eastAsia="Arial" w:hAnsi="Arial"/>
          <w:sz w:val="13"/>
          <w:szCs w:val="13"/>
          <w:u w:val="single" w:color="auto"/>
          <w:color w:val="0000FF"/>
        </w:rPr>
      </w:pPr>
      <w:hyperlink r:id="rId124">
        <w:r>
          <w:rPr>
            <w:rFonts w:ascii="Arial" w:cs="Arial" w:eastAsia="Arial" w:hAnsi="Arial"/>
            <w:sz w:val="13"/>
            <w:szCs w:val="13"/>
            <w:u w:val="single" w:color="auto"/>
            <w:color w:val="0000FF"/>
          </w:rPr>
          <w:t>Relationship Agreement relating to Verona Pharma plc, dated July 29, 2016, by</w:t>
        </w:r>
      </w:hyperlink>
      <w:r>
        <w:rPr>
          <w:rFonts w:ascii="Arial" w:cs="Arial" w:eastAsia="Arial" w:hAnsi="Arial"/>
          <w:sz w:val="13"/>
          <w:szCs w:val="13"/>
          <w:u w:val="single" w:color="auto"/>
          <w:color w:val="0000FF"/>
        </w:rPr>
        <w:t xml:space="preserve"> </w:t>
      </w:r>
      <w:hyperlink r:id="rId124">
        <w:r>
          <w:rPr>
            <w:rFonts w:ascii="Arial" w:cs="Arial" w:eastAsia="Arial" w:hAnsi="Arial"/>
            <w:sz w:val="13"/>
            <w:szCs w:val="13"/>
            <w:u w:val="single" w:color="auto"/>
            <w:color w:val="0000FF"/>
          </w:rPr>
          <w:t>and among the Verona Pharma plc, Vivo Ventures Fund VII, L.P., Vivo</w:t>
        </w:r>
      </w:hyperlink>
      <w:r>
        <w:rPr>
          <w:rFonts w:ascii="Arial" w:cs="Arial" w:eastAsia="Arial" w:hAnsi="Arial"/>
          <w:sz w:val="13"/>
          <w:szCs w:val="13"/>
          <w:u w:val="single" w:color="auto"/>
          <w:color w:val="0000FF"/>
        </w:rPr>
        <w:t xml:space="preserve"> </w:t>
      </w:r>
      <w:hyperlink r:id="rId124">
        <w:r>
          <w:rPr>
            <w:rFonts w:ascii="Arial" w:cs="Arial" w:eastAsia="Arial" w:hAnsi="Arial"/>
            <w:sz w:val="13"/>
            <w:szCs w:val="13"/>
            <w:u w:val="single" w:color="auto"/>
            <w:color w:val="0000FF"/>
          </w:rPr>
          <w:t>Ventures VII Affiliates Fund, L.P., Vivo Ventures Fund VI, L.P., Vivo Ventures</w:t>
        </w:r>
      </w:hyperlink>
      <w:r>
        <w:rPr>
          <w:rFonts w:ascii="Arial" w:cs="Arial" w:eastAsia="Arial" w:hAnsi="Arial"/>
          <w:sz w:val="13"/>
          <w:szCs w:val="13"/>
          <w:u w:val="single" w:color="auto"/>
          <w:color w:val="0000FF"/>
        </w:rPr>
        <w:t xml:space="preserve"> </w:t>
      </w:r>
      <w:hyperlink r:id="rId124">
        <w:r>
          <w:rPr>
            <w:rFonts w:ascii="Arial" w:cs="Arial" w:eastAsia="Arial" w:hAnsi="Arial"/>
            <w:sz w:val="13"/>
            <w:szCs w:val="13"/>
            <w:u w:val="single" w:color="auto"/>
            <w:color w:val="0000FF"/>
          </w:rPr>
          <w:t>VI Affiliates Fund, L.P. and NPlus1 Singer Advisory LLP</w:t>
        </w:r>
      </w:hyperlink>
    </w:p>
    <w:p>
      <w:pPr>
        <w:spacing w:after="0" w:line="171" w:lineRule="exact"/>
        <w:rPr>
          <w:rFonts w:ascii="Arial" w:cs="Arial" w:eastAsia="Arial" w:hAnsi="Arial"/>
          <w:sz w:val="13"/>
          <w:szCs w:val="13"/>
          <w:u w:val="single" w:color="auto"/>
          <w:color w:val="0000FF"/>
        </w:rPr>
      </w:pPr>
    </w:p>
    <w:p>
      <w:pPr>
        <w:spacing w:after="0" w:line="238" w:lineRule="auto"/>
        <w:rPr>
          <w:rFonts w:ascii="Arial" w:cs="Arial" w:eastAsia="Arial" w:hAnsi="Arial"/>
          <w:sz w:val="13"/>
          <w:szCs w:val="13"/>
          <w:u w:val="single" w:color="auto"/>
          <w:color w:val="0000FF"/>
        </w:rPr>
      </w:pPr>
      <w:hyperlink r:id="rId125">
        <w:r>
          <w:rPr>
            <w:rFonts w:ascii="Arial" w:cs="Arial" w:eastAsia="Arial" w:hAnsi="Arial"/>
            <w:sz w:val="13"/>
            <w:szCs w:val="13"/>
            <w:u w:val="single" w:color="auto"/>
            <w:color w:val="0000FF"/>
          </w:rPr>
          <w:t>Relationship Agreement relating to Verona Pharma plc, dated July 29, 2016, by</w:t>
        </w:r>
      </w:hyperlink>
      <w:r>
        <w:rPr>
          <w:rFonts w:ascii="Arial" w:cs="Arial" w:eastAsia="Arial" w:hAnsi="Arial"/>
          <w:sz w:val="13"/>
          <w:szCs w:val="13"/>
          <w:u w:val="single" w:color="auto"/>
          <w:color w:val="0000FF"/>
        </w:rPr>
        <w:t xml:space="preserve"> </w:t>
      </w:r>
      <w:hyperlink r:id="rId125">
        <w:r>
          <w:rPr>
            <w:rFonts w:ascii="Arial" w:cs="Arial" w:eastAsia="Arial" w:hAnsi="Arial"/>
            <w:sz w:val="13"/>
            <w:szCs w:val="13"/>
            <w:u w:val="single" w:color="auto"/>
            <w:color w:val="0000FF"/>
          </w:rPr>
          <w:t>and among the Verona Pharma plc, Vivo Ventures Fund VII, L.P., Vivo</w:t>
        </w:r>
      </w:hyperlink>
      <w:r>
        <w:rPr>
          <w:rFonts w:ascii="Arial" w:cs="Arial" w:eastAsia="Arial" w:hAnsi="Arial"/>
          <w:sz w:val="13"/>
          <w:szCs w:val="13"/>
          <w:u w:val="single" w:color="auto"/>
          <w:color w:val="0000FF"/>
        </w:rPr>
        <w:t xml:space="preserve"> </w:t>
      </w:r>
      <w:hyperlink r:id="rId125">
        <w:r>
          <w:rPr>
            <w:rFonts w:ascii="Arial" w:cs="Arial" w:eastAsia="Arial" w:hAnsi="Arial"/>
            <w:sz w:val="13"/>
            <w:szCs w:val="13"/>
            <w:u w:val="single" w:color="auto"/>
            <w:color w:val="0000FF"/>
          </w:rPr>
          <w:t>Ventures VII Affiliates Fund, L.P., Vivo Ventures Fund VI, L.P., Vivo Ventures</w:t>
        </w:r>
      </w:hyperlink>
      <w:r>
        <w:rPr>
          <w:rFonts w:ascii="Arial" w:cs="Arial" w:eastAsia="Arial" w:hAnsi="Arial"/>
          <w:sz w:val="13"/>
          <w:szCs w:val="13"/>
          <w:u w:val="single" w:color="auto"/>
          <w:color w:val="0000FF"/>
        </w:rPr>
        <w:t xml:space="preserve"> </w:t>
      </w:r>
      <w:hyperlink r:id="rId125">
        <w:r>
          <w:rPr>
            <w:rFonts w:ascii="Arial" w:cs="Arial" w:eastAsia="Arial" w:hAnsi="Arial"/>
            <w:sz w:val="13"/>
            <w:szCs w:val="13"/>
            <w:u w:val="single" w:color="auto"/>
            <w:color w:val="0000FF"/>
          </w:rPr>
          <w:t>VI Affiliates Fund, L.P. and NPlus1 Singer Advisory LLP</w:t>
        </w:r>
      </w:hyperlink>
    </w:p>
    <w:p>
      <w:pPr>
        <w:spacing w:after="0" w:line="171" w:lineRule="exact"/>
        <w:rPr>
          <w:rFonts w:ascii="Arial" w:cs="Arial" w:eastAsia="Arial" w:hAnsi="Arial"/>
          <w:sz w:val="13"/>
          <w:szCs w:val="13"/>
          <w:u w:val="single" w:color="auto"/>
          <w:color w:val="0000FF"/>
        </w:rPr>
      </w:pPr>
    </w:p>
    <w:p>
      <w:pPr>
        <w:ind w:right="80"/>
        <w:spacing w:after="0" w:line="270" w:lineRule="auto"/>
        <w:rPr>
          <w:rFonts w:ascii="Arial" w:cs="Arial" w:eastAsia="Arial" w:hAnsi="Arial"/>
          <w:sz w:val="13"/>
          <w:szCs w:val="13"/>
          <w:u w:val="single" w:color="auto"/>
          <w:color w:val="0000FF"/>
        </w:rPr>
      </w:pPr>
      <w:hyperlink r:id="rId126">
        <w:r>
          <w:rPr>
            <w:rFonts w:ascii="Arial" w:cs="Arial" w:eastAsia="Arial" w:hAnsi="Arial"/>
            <w:sz w:val="13"/>
            <w:szCs w:val="13"/>
            <w:u w:val="single" w:color="auto"/>
            <w:color w:val="0000FF"/>
          </w:rPr>
          <w:t>Loan and Security Agreement, dated as of November 19, 2020, by and among</w:t>
        </w:r>
      </w:hyperlink>
      <w:r>
        <w:rPr>
          <w:rFonts w:ascii="Arial" w:cs="Arial" w:eastAsia="Arial" w:hAnsi="Arial"/>
          <w:sz w:val="13"/>
          <w:szCs w:val="13"/>
          <w:u w:val="single" w:color="auto"/>
          <w:color w:val="0000FF"/>
        </w:rPr>
        <w:t xml:space="preserve"> </w:t>
      </w:r>
      <w:hyperlink r:id="rId126">
        <w:r>
          <w:rPr>
            <w:rFonts w:ascii="Arial" w:cs="Arial" w:eastAsia="Arial" w:hAnsi="Arial"/>
            <w:sz w:val="13"/>
            <w:szCs w:val="13"/>
            <w:u w:val="single" w:color="auto"/>
            <w:color w:val="0000FF"/>
          </w:rPr>
          <w:t>Silicon Valley Bank, Verona Pharma plc and Verona Pharma, Inc.</w:t>
        </w:r>
      </w:hyperlink>
    </w:p>
    <w:p>
      <w:pPr>
        <w:spacing w:after="0" w:line="152" w:lineRule="exact"/>
        <w:rPr>
          <w:sz w:val="20"/>
          <w:szCs w:val="20"/>
          <w:color w:val="auto"/>
        </w:rPr>
      </w:pPr>
    </w:p>
    <w:p>
      <w:pPr>
        <w:ind w:right="100"/>
        <w:spacing w:after="0" w:line="226" w:lineRule="auto"/>
        <w:rPr>
          <w:rFonts w:ascii="Arial" w:cs="Arial" w:eastAsia="Arial" w:hAnsi="Arial"/>
          <w:sz w:val="14"/>
          <w:szCs w:val="14"/>
          <w:u w:val="single" w:color="auto"/>
          <w:color w:val="0000FF"/>
        </w:rPr>
      </w:pPr>
      <w:hyperlink r:id="rId127">
        <w:r>
          <w:rPr>
            <w:rFonts w:ascii="Arial" w:cs="Arial" w:eastAsia="Arial" w:hAnsi="Arial"/>
            <w:sz w:val="14"/>
            <w:szCs w:val="14"/>
            <w:u w:val="single" w:color="auto"/>
            <w:color w:val="0000FF"/>
          </w:rPr>
          <w:t>First Amendment to Loan and Security Agreement, dated as of November 19,</w:t>
        </w:r>
      </w:hyperlink>
      <w:r>
        <w:rPr>
          <w:rFonts w:ascii="Arial" w:cs="Arial" w:eastAsia="Arial" w:hAnsi="Arial"/>
          <w:sz w:val="14"/>
          <w:szCs w:val="14"/>
          <w:u w:val="single" w:color="auto"/>
          <w:color w:val="0000FF"/>
        </w:rPr>
        <w:t xml:space="preserve"> </w:t>
      </w:r>
      <w:hyperlink r:id="rId127">
        <w:r>
          <w:rPr>
            <w:rFonts w:ascii="Arial" w:cs="Arial" w:eastAsia="Arial" w:hAnsi="Arial"/>
            <w:sz w:val="14"/>
            <w:szCs w:val="14"/>
            <w:u w:val="single" w:color="auto"/>
            <w:color w:val="0000FF"/>
          </w:rPr>
          <w:t>2020, by and among Silicon Valley Bank, Verona Pharma plc and Verona</w:t>
        </w:r>
      </w:hyperlink>
      <w:r>
        <w:rPr>
          <w:rFonts w:ascii="Arial" w:cs="Arial" w:eastAsia="Arial" w:hAnsi="Arial"/>
          <w:sz w:val="14"/>
          <w:szCs w:val="14"/>
          <w:u w:val="single" w:color="auto"/>
          <w:color w:val="0000FF"/>
        </w:rPr>
        <w:t xml:space="preserve"> </w:t>
      </w:r>
      <w:hyperlink r:id="rId127">
        <w:r>
          <w:rPr>
            <w:rFonts w:ascii="Arial" w:cs="Arial" w:eastAsia="Arial" w:hAnsi="Arial"/>
            <w:sz w:val="14"/>
            <w:szCs w:val="14"/>
            <w:u w:val="single" w:color="auto"/>
            <w:color w:val="0000FF"/>
          </w:rPr>
          <w:t>Pharma, Inc.</w:t>
        </w:r>
      </w:hyperlink>
    </w:p>
    <w:p>
      <w:pPr>
        <w:spacing w:after="0" w:line="171" w:lineRule="exact"/>
        <w:rPr>
          <w:rFonts w:ascii="Arial" w:cs="Arial" w:eastAsia="Arial" w:hAnsi="Arial"/>
          <w:sz w:val="14"/>
          <w:szCs w:val="14"/>
          <w:u w:val="single" w:color="auto"/>
          <w:color w:val="0000FF"/>
        </w:rPr>
      </w:pPr>
    </w:p>
    <w:p>
      <w:pPr>
        <w:ind w:right="240"/>
        <w:spacing w:after="0" w:line="226" w:lineRule="auto"/>
        <w:rPr>
          <w:rFonts w:ascii="Arial" w:cs="Arial" w:eastAsia="Arial" w:hAnsi="Arial"/>
          <w:sz w:val="14"/>
          <w:szCs w:val="14"/>
          <w:u w:val="single" w:color="auto"/>
          <w:color w:val="0000FF"/>
        </w:rPr>
      </w:pPr>
      <w:hyperlink w:anchor="page172">
        <w:r>
          <w:rPr>
            <w:rFonts w:ascii="Arial" w:cs="Arial" w:eastAsia="Arial" w:hAnsi="Arial"/>
            <w:sz w:val="14"/>
            <w:szCs w:val="14"/>
            <w:u w:val="single" w:color="auto"/>
            <w:color w:val="0000FF"/>
          </w:rPr>
          <w:t>Second Amendment to Loan and Security Agreement, dated as of March 2,</w:t>
        </w:r>
      </w:hyperlink>
      <w:r>
        <w:rPr>
          <w:rFonts w:ascii="Arial" w:cs="Arial" w:eastAsia="Arial" w:hAnsi="Arial"/>
          <w:sz w:val="14"/>
          <w:szCs w:val="14"/>
          <w:u w:val="single" w:color="auto"/>
          <w:color w:val="0000FF"/>
        </w:rPr>
        <w:t xml:space="preserve"> </w:t>
      </w:r>
      <w:hyperlink w:anchor="page172">
        <w:r>
          <w:rPr>
            <w:rFonts w:ascii="Arial" w:cs="Arial" w:eastAsia="Arial" w:hAnsi="Arial"/>
            <w:sz w:val="14"/>
            <w:szCs w:val="14"/>
            <w:u w:val="single" w:color="auto"/>
            <w:color w:val="0000FF"/>
          </w:rPr>
          <w:t>2022, by and among Silicon Valley Bank, Verona Pharma plc and Verona</w:t>
        </w:r>
      </w:hyperlink>
      <w:r>
        <w:rPr>
          <w:rFonts w:ascii="Arial" w:cs="Arial" w:eastAsia="Arial" w:hAnsi="Arial"/>
          <w:sz w:val="14"/>
          <w:szCs w:val="14"/>
          <w:u w:val="single" w:color="auto"/>
          <w:color w:val="0000FF"/>
        </w:rPr>
        <w:t xml:space="preserve"> </w:t>
      </w:r>
      <w:hyperlink w:anchor="page172">
        <w:r>
          <w:rPr>
            <w:rFonts w:ascii="Arial" w:cs="Arial" w:eastAsia="Arial" w:hAnsi="Arial"/>
            <w:sz w:val="14"/>
            <w:szCs w:val="14"/>
            <w:u w:val="single" w:color="auto"/>
            <w:color w:val="0000FF"/>
          </w:rPr>
          <w:t>Pharma, Inc.</w:t>
        </w:r>
      </w:hyperlink>
    </w:p>
    <w:p>
      <w:pPr>
        <w:spacing w:after="0" w:line="171" w:lineRule="exact"/>
        <w:rPr>
          <w:rFonts w:ascii="Arial" w:cs="Arial" w:eastAsia="Arial" w:hAnsi="Arial"/>
          <w:sz w:val="14"/>
          <w:szCs w:val="14"/>
          <w:u w:val="single" w:color="auto"/>
          <w:color w:val="0000FF"/>
        </w:rPr>
      </w:pPr>
    </w:p>
    <w:p>
      <w:pPr>
        <w:spacing w:after="0"/>
        <w:rPr>
          <w:rFonts w:ascii="Arial" w:cs="Arial" w:eastAsia="Arial" w:hAnsi="Arial"/>
          <w:sz w:val="14"/>
          <w:szCs w:val="14"/>
          <w:u w:val="single" w:color="auto"/>
          <w:color w:val="0000FF"/>
        </w:rPr>
      </w:pPr>
      <w:hyperlink r:id="rId128">
        <w:r>
          <w:rPr>
            <w:rFonts w:ascii="Arial" w:cs="Arial" w:eastAsia="Arial" w:hAnsi="Arial"/>
            <w:sz w:val="14"/>
            <w:szCs w:val="14"/>
            <w:u w:val="single" w:color="auto"/>
            <w:color w:val="0000FF"/>
          </w:rPr>
          <w:t>Form of Non-Executive Director letter of appointment</w:t>
        </w:r>
      </w:hyperlink>
    </w:p>
    <w:p>
      <w:pPr>
        <w:spacing w:after="0" w:line="115" w:lineRule="exact"/>
        <w:rPr>
          <w:rFonts w:ascii="Arial" w:cs="Arial" w:eastAsia="Arial" w:hAnsi="Arial"/>
          <w:sz w:val="14"/>
          <w:szCs w:val="14"/>
          <w:u w:val="single" w:color="auto"/>
          <w:color w:val="0000FF"/>
        </w:rPr>
      </w:pPr>
    </w:p>
    <w:p>
      <w:pPr>
        <w:ind w:right="100"/>
        <w:spacing w:after="0" w:line="251" w:lineRule="auto"/>
        <w:rPr>
          <w:rFonts w:ascii="Arial" w:cs="Arial" w:eastAsia="Arial" w:hAnsi="Arial"/>
          <w:sz w:val="14"/>
          <w:szCs w:val="14"/>
          <w:u w:val="single" w:color="auto"/>
          <w:color w:val="0000FF"/>
        </w:rPr>
      </w:pPr>
      <w:hyperlink r:id="rId129">
        <w:r>
          <w:rPr>
            <w:rFonts w:ascii="Arial" w:cs="Arial" w:eastAsia="Arial" w:hAnsi="Arial"/>
            <w:sz w:val="14"/>
            <w:szCs w:val="14"/>
            <w:u w:val="single" w:color="auto"/>
            <w:color w:val="0000FF"/>
          </w:rPr>
          <w:t>Collaboration and License Agreement, effective as of June 9, 2021, by and</w:t>
        </w:r>
      </w:hyperlink>
      <w:r>
        <w:rPr>
          <w:rFonts w:ascii="Arial" w:cs="Arial" w:eastAsia="Arial" w:hAnsi="Arial"/>
          <w:sz w:val="14"/>
          <w:szCs w:val="14"/>
          <w:u w:val="single" w:color="auto"/>
          <w:color w:val="0000FF"/>
        </w:rPr>
        <w:t xml:space="preserve"> </w:t>
      </w:r>
      <w:hyperlink r:id="rId129">
        <w:r>
          <w:rPr>
            <w:rFonts w:ascii="Arial" w:cs="Arial" w:eastAsia="Arial" w:hAnsi="Arial"/>
            <w:sz w:val="14"/>
            <w:szCs w:val="14"/>
            <w:u w:val="single" w:color="auto"/>
            <w:color w:val="0000FF"/>
          </w:rPr>
          <w:t>between Verona Pharma plc, Nuance Pharma Limited and Nuance (Shanghai)</w:t>
        </w:r>
      </w:hyperlink>
      <w:r>
        <w:rPr>
          <w:rFonts w:ascii="Arial" w:cs="Arial" w:eastAsia="Arial" w:hAnsi="Arial"/>
          <w:sz w:val="14"/>
          <w:szCs w:val="14"/>
          <w:u w:val="single" w:color="auto"/>
          <w:color w:val="0000FF"/>
        </w:rPr>
        <w:t xml:space="preserve"> </w:t>
      </w:r>
      <w:hyperlink r:id="rId129">
        <w:r>
          <w:rPr>
            <w:rFonts w:ascii="Arial" w:cs="Arial" w:eastAsia="Arial" w:hAnsi="Arial"/>
            <w:sz w:val="14"/>
            <w:szCs w:val="14"/>
            <w:u w:val="single" w:color="auto"/>
            <w:color w:val="0000FF"/>
          </w:rPr>
          <w:t>Pharma Co Ltd</w:t>
        </w:r>
      </w:hyperlink>
    </w:p>
    <w:p>
      <w:pPr>
        <w:spacing w:after="0" w:line="89" w:lineRule="exact"/>
        <w:rPr>
          <w:rFonts w:ascii="Arial" w:cs="Arial" w:eastAsia="Arial" w:hAnsi="Arial"/>
          <w:sz w:val="14"/>
          <w:szCs w:val="14"/>
          <w:u w:val="single" w:color="auto"/>
          <w:color w:val="0000FF"/>
        </w:rPr>
      </w:pPr>
    </w:p>
    <w:p>
      <w:pPr>
        <w:spacing w:after="0"/>
        <w:rPr>
          <w:rFonts w:ascii="Arial" w:cs="Arial" w:eastAsia="Arial" w:hAnsi="Arial"/>
          <w:sz w:val="14"/>
          <w:szCs w:val="14"/>
          <w:u w:val="single" w:color="auto"/>
          <w:color w:val="0000FF"/>
        </w:rPr>
      </w:pPr>
      <w:hyperlink w:anchor="page176">
        <w:r>
          <w:rPr>
            <w:rFonts w:ascii="Arial" w:cs="Arial" w:eastAsia="Arial" w:hAnsi="Arial"/>
            <w:sz w:val="14"/>
            <w:szCs w:val="14"/>
            <w:u w:val="single" w:color="auto"/>
            <w:color w:val="0000FF"/>
          </w:rPr>
          <w:t>List of Subsidiaries of Verona Pharma plc</w:t>
        </w:r>
      </w:hyperlink>
    </w:p>
    <w:p>
      <w:pPr>
        <w:spacing w:after="0" w:line="189" w:lineRule="exact"/>
        <w:rPr>
          <w:rFonts w:ascii="Arial" w:cs="Arial" w:eastAsia="Arial" w:hAnsi="Arial"/>
          <w:sz w:val="14"/>
          <w:szCs w:val="14"/>
          <w:u w:val="single" w:color="auto"/>
          <w:color w:val="0000FF"/>
        </w:rPr>
      </w:pPr>
    </w:p>
    <w:p>
      <w:pPr>
        <w:ind w:right="360"/>
        <w:spacing w:after="0" w:line="236" w:lineRule="auto"/>
        <w:rPr>
          <w:rFonts w:ascii="Arial" w:cs="Arial" w:eastAsia="Arial" w:hAnsi="Arial"/>
          <w:sz w:val="14"/>
          <w:szCs w:val="14"/>
          <w:u w:val="single" w:color="auto"/>
          <w:color w:val="0000FF"/>
        </w:rPr>
      </w:pPr>
      <w:hyperlink w:anchor="page177">
        <w:r>
          <w:rPr>
            <w:rFonts w:ascii="Arial" w:cs="Arial" w:eastAsia="Arial" w:hAnsi="Arial"/>
            <w:sz w:val="14"/>
            <w:szCs w:val="14"/>
            <w:u w:val="single" w:color="auto"/>
            <w:color w:val="0000FF"/>
          </w:rPr>
          <w:t>Consent of PricewaterhouseCoopers LLP, Independent Registered Public</w:t>
        </w:r>
      </w:hyperlink>
      <w:r>
        <w:rPr>
          <w:rFonts w:ascii="Arial" w:cs="Arial" w:eastAsia="Arial" w:hAnsi="Arial"/>
          <w:sz w:val="14"/>
          <w:szCs w:val="14"/>
          <w:u w:val="single" w:color="auto"/>
          <w:color w:val="0000FF"/>
        </w:rPr>
        <w:t xml:space="preserve"> </w:t>
      </w:r>
      <w:hyperlink w:anchor="page177">
        <w:r>
          <w:rPr>
            <w:rFonts w:ascii="Arial" w:cs="Arial" w:eastAsia="Arial" w:hAnsi="Arial"/>
            <w:sz w:val="14"/>
            <w:szCs w:val="14"/>
            <w:u w:val="single" w:color="auto"/>
            <w:color w:val="0000FF"/>
          </w:rPr>
          <w:t>Accounting Firm</w:t>
        </w:r>
      </w:hyperlink>
    </w:p>
    <w:p>
      <w:pPr>
        <w:spacing w:after="0" w:line="171" w:lineRule="exact"/>
        <w:rPr>
          <w:sz w:val="20"/>
          <w:szCs w:val="20"/>
          <w:color w:val="auto"/>
        </w:rPr>
      </w:pPr>
    </w:p>
    <w:p>
      <w:pPr>
        <w:spacing w:after="0"/>
        <w:rPr>
          <w:rFonts w:ascii="Arial" w:cs="Arial" w:eastAsia="Arial" w:hAnsi="Arial"/>
          <w:sz w:val="14"/>
          <w:szCs w:val="14"/>
          <w:u w:val="single" w:color="auto"/>
          <w:color w:val="0000FF"/>
        </w:rPr>
      </w:pPr>
      <w:hyperlink w:anchor="page178">
        <w:r>
          <w:rPr>
            <w:rFonts w:ascii="Arial" w:cs="Arial" w:eastAsia="Arial" w:hAnsi="Arial"/>
            <w:sz w:val="14"/>
            <w:szCs w:val="14"/>
            <w:u w:val="single" w:color="auto"/>
            <w:color w:val="0000FF"/>
          </w:rPr>
          <w:t>Rule 13a-14(a)/15d-14(a) Certification of Chief Executive Officer</w:t>
        </w:r>
      </w:hyperlink>
    </w:p>
    <w:p>
      <w:pPr>
        <w:spacing w:after="0" w:line="189" w:lineRule="exact"/>
        <w:rPr>
          <w:sz w:val="20"/>
          <w:szCs w:val="20"/>
          <w:color w:val="auto"/>
        </w:rPr>
      </w:pPr>
    </w:p>
    <w:p>
      <w:pPr>
        <w:spacing w:after="0"/>
        <w:rPr>
          <w:rFonts w:ascii="Arial" w:cs="Arial" w:eastAsia="Arial" w:hAnsi="Arial"/>
          <w:sz w:val="14"/>
          <w:szCs w:val="14"/>
          <w:u w:val="single" w:color="auto"/>
          <w:color w:val="0000FF"/>
        </w:rPr>
      </w:pPr>
      <w:hyperlink w:anchor="page179">
        <w:r>
          <w:rPr>
            <w:rFonts w:ascii="Arial" w:cs="Arial" w:eastAsia="Arial" w:hAnsi="Arial"/>
            <w:sz w:val="14"/>
            <w:szCs w:val="14"/>
            <w:u w:val="single" w:color="auto"/>
            <w:color w:val="0000FF"/>
          </w:rPr>
          <w:t>Rule 13a-14(a)/15d-14(a) Certification of Chief Financial Officer</w:t>
        </w:r>
      </w:hyperlink>
    </w:p>
    <w:p>
      <w:pPr>
        <w:spacing w:after="0" w:line="189" w:lineRule="exact"/>
        <w:rPr>
          <w:sz w:val="20"/>
          <w:szCs w:val="20"/>
          <w:color w:val="auto"/>
        </w:rPr>
      </w:pPr>
    </w:p>
    <w:p>
      <w:pPr>
        <w:spacing w:after="0"/>
        <w:rPr>
          <w:rFonts w:ascii="Arial" w:cs="Arial" w:eastAsia="Arial" w:hAnsi="Arial"/>
          <w:sz w:val="14"/>
          <w:szCs w:val="14"/>
          <w:u w:val="single" w:color="auto"/>
          <w:color w:val="0000FF"/>
        </w:rPr>
      </w:pPr>
      <w:hyperlink w:anchor="page180">
        <w:r>
          <w:rPr>
            <w:rFonts w:ascii="Arial" w:cs="Arial" w:eastAsia="Arial" w:hAnsi="Arial"/>
            <w:sz w:val="14"/>
            <w:szCs w:val="14"/>
            <w:u w:val="single" w:color="auto"/>
            <w:color w:val="0000FF"/>
          </w:rPr>
          <w:t>Section 1350 Certification of Chief Executive Officer</w:t>
        </w:r>
      </w:hyperlink>
    </w:p>
    <w:p>
      <w:pPr>
        <w:spacing w:after="0" w:line="189" w:lineRule="exact"/>
        <w:rPr>
          <w:sz w:val="20"/>
          <w:szCs w:val="20"/>
          <w:color w:val="auto"/>
        </w:rPr>
      </w:pPr>
    </w:p>
    <w:p>
      <w:pPr>
        <w:spacing w:after="0"/>
        <w:rPr>
          <w:rFonts w:ascii="Arial" w:cs="Arial" w:eastAsia="Arial" w:hAnsi="Arial"/>
          <w:sz w:val="14"/>
          <w:szCs w:val="14"/>
          <w:u w:val="single" w:color="auto"/>
          <w:color w:val="0000FF"/>
        </w:rPr>
      </w:pPr>
      <w:hyperlink w:anchor="page181">
        <w:r>
          <w:rPr>
            <w:rFonts w:ascii="Arial" w:cs="Arial" w:eastAsia="Arial" w:hAnsi="Arial"/>
            <w:sz w:val="14"/>
            <w:szCs w:val="14"/>
            <w:u w:val="single" w:color="auto"/>
            <w:color w:val="0000FF"/>
          </w:rPr>
          <w:t>Section 1350 Certification of Chief Financial Officer</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Inline XBRL Instance Document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Extension Schema Document</w:t>
      </w:r>
    </w:p>
    <w:p>
      <w:pPr>
        <w:spacing w:after="0" w:line="19" w:lineRule="exact"/>
        <w:rPr>
          <w:sz w:val="20"/>
          <w:szCs w:val="20"/>
          <w:color w:val="auto"/>
        </w:rPr>
      </w:pPr>
    </w:p>
    <w:p>
      <w:pPr>
        <w:ind w:right="600"/>
        <w:spacing w:after="0" w:line="289" w:lineRule="auto"/>
        <w:rPr>
          <w:sz w:val="20"/>
          <w:szCs w:val="20"/>
          <w:color w:val="auto"/>
        </w:rPr>
      </w:pPr>
      <w:r>
        <w:rPr>
          <w:rFonts w:ascii="Arial" w:cs="Arial" w:eastAsia="Arial" w:hAnsi="Arial"/>
          <w:sz w:val="13"/>
          <w:szCs w:val="13"/>
          <w:color w:val="auto"/>
        </w:rPr>
        <w:t>Inline XBRL Taxonomy Extension Calculation Linkbase Document Inline XBRL Taxonomy Extension Label Linkbase Document Inline XBRL Taxonomy Extension Presentation Linkbase Document Inline XBRL Taxonomy Extension Definition Linkbase Document</w:t>
      </w:r>
    </w:p>
    <w:p>
      <w:pPr>
        <w:spacing w:after="0" w:line="1" w:lineRule="exact"/>
        <w:rPr>
          <w:sz w:val="20"/>
          <w:szCs w:val="20"/>
          <w:color w:val="auto"/>
        </w:rPr>
      </w:pPr>
    </w:p>
    <w:p>
      <w:pPr>
        <w:ind w:right="120"/>
        <w:spacing w:after="0" w:line="236" w:lineRule="auto"/>
        <w:rPr>
          <w:sz w:val="20"/>
          <w:szCs w:val="20"/>
          <w:color w:val="auto"/>
        </w:rPr>
      </w:pPr>
      <w:r>
        <w:rPr>
          <w:rFonts w:ascii="Arial" w:cs="Arial" w:eastAsia="Arial" w:hAnsi="Arial"/>
          <w:sz w:val="14"/>
          <w:szCs w:val="14"/>
          <w:color w:val="auto"/>
        </w:rPr>
        <w:t>Cover Page Interactive Data File (formatted in Inline XBRL and contained in Exhibit 101)</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740" w:type="dxa"/>
            <w:vAlign w:val="bottom"/>
          </w:tcPr>
          <w:p>
            <w:pPr>
              <w:jc w:val="right"/>
              <w:ind w:right="329"/>
              <w:spacing w:after="0"/>
              <w:rPr>
                <w:sz w:val="20"/>
                <w:szCs w:val="20"/>
                <w:color w:val="auto"/>
              </w:rPr>
            </w:pPr>
            <w:r>
              <w:rPr>
                <w:rFonts w:ascii="Arial" w:cs="Arial" w:eastAsia="Arial" w:hAnsi="Arial"/>
                <w:sz w:val="14"/>
                <w:szCs w:val="14"/>
                <w:color w:val="auto"/>
                <w:w w:val="93"/>
              </w:rPr>
              <w:t>F-1/A</w:t>
            </w:r>
          </w:p>
        </w:tc>
        <w:tc>
          <w:tcPr>
            <w:tcW w:w="1560" w:type="dxa"/>
            <w:vAlign w:val="bottom"/>
          </w:tcPr>
          <w:p>
            <w:pPr>
              <w:jc w:val="right"/>
              <w:ind w:right="429"/>
              <w:spacing w:after="0"/>
              <w:rPr>
                <w:sz w:val="20"/>
                <w:szCs w:val="20"/>
                <w:color w:val="auto"/>
              </w:rPr>
            </w:pPr>
            <w:r>
              <w:rPr>
                <w:rFonts w:ascii="Arial" w:cs="Arial" w:eastAsia="Arial" w:hAnsi="Arial"/>
                <w:sz w:val="14"/>
                <w:szCs w:val="14"/>
                <w:color w:val="auto"/>
              </w:rPr>
              <w:t>333-217124</w:t>
            </w:r>
          </w:p>
        </w:tc>
        <w:tc>
          <w:tcPr>
            <w:tcW w:w="720" w:type="dxa"/>
            <w:vAlign w:val="bottom"/>
          </w:tcPr>
          <w:p>
            <w:pPr>
              <w:jc w:val="right"/>
              <w:ind w:right="189"/>
              <w:spacing w:after="0"/>
              <w:rPr>
                <w:sz w:val="20"/>
                <w:szCs w:val="20"/>
                <w:color w:val="auto"/>
              </w:rPr>
            </w:pPr>
            <w:r>
              <w:rPr>
                <w:rFonts w:ascii="Arial" w:cs="Arial" w:eastAsia="Arial" w:hAnsi="Arial"/>
                <w:sz w:val="14"/>
                <w:szCs w:val="14"/>
                <w:color w:val="auto"/>
                <w:w w:val="94"/>
              </w:rPr>
              <w:t>10.11.2</w:t>
            </w:r>
          </w:p>
        </w:tc>
        <w:tc>
          <w:tcPr>
            <w:tcW w:w="1180" w:type="dxa"/>
            <w:vAlign w:val="bottom"/>
          </w:tcPr>
          <w:p>
            <w:pPr>
              <w:jc w:val="right"/>
              <w:ind w:right="209"/>
              <w:spacing w:after="0"/>
              <w:rPr>
                <w:sz w:val="20"/>
                <w:szCs w:val="20"/>
                <w:color w:val="auto"/>
              </w:rPr>
            </w:pPr>
            <w:r>
              <w:rPr>
                <w:rFonts w:ascii="Arial" w:cs="Arial" w:eastAsia="Arial" w:hAnsi="Arial"/>
                <w:sz w:val="14"/>
                <w:szCs w:val="14"/>
                <w:color w:val="auto"/>
              </w:rPr>
              <w:t>4/18/2017</w:t>
            </w:r>
          </w:p>
        </w:tc>
        <w:tc>
          <w:tcPr>
            <w:tcW w:w="340" w:type="dxa"/>
            <w:vAlign w:val="bottom"/>
          </w:tcPr>
          <w:p>
            <w:pPr>
              <w:spacing w:after="0"/>
              <w:rPr>
                <w:sz w:val="15"/>
                <w:szCs w:val="15"/>
                <w:color w:val="auto"/>
              </w:rPr>
            </w:pPr>
          </w:p>
        </w:tc>
      </w:tr>
      <w:tr>
        <w:trPr>
          <w:trHeight w:val="626"/>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F-1</w:t>
            </w:r>
          </w:p>
        </w:tc>
        <w:tc>
          <w:tcPr>
            <w:tcW w:w="1560" w:type="dxa"/>
            <w:vAlign w:val="bottom"/>
          </w:tcPr>
          <w:p>
            <w:pPr>
              <w:jc w:val="right"/>
              <w:ind w:right="429"/>
              <w:spacing w:after="0"/>
              <w:rPr>
                <w:sz w:val="20"/>
                <w:szCs w:val="20"/>
                <w:color w:val="auto"/>
              </w:rPr>
            </w:pPr>
            <w:r>
              <w:rPr>
                <w:rFonts w:ascii="Arial" w:cs="Arial" w:eastAsia="Arial" w:hAnsi="Arial"/>
                <w:sz w:val="14"/>
                <w:szCs w:val="14"/>
                <w:color w:val="auto"/>
              </w:rPr>
              <w:t>333-217124</w:t>
            </w:r>
          </w:p>
        </w:tc>
        <w:tc>
          <w:tcPr>
            <w:tcW w:w="720" w:type="dxa"/>
            <w:vAlign w:val="bottom"/>
          </w:tcPr>
          <w:p>
            <w:pPr>
              <w:jc w:val="right"/>
              <w:ind w:right="189"/>
              <w:spacing w:after="0"/>
              <w:rPr>
                <w:sz w:val="20"/>
                <w:szCs w:val="20"/>
                <w:color w:val="auto"/>
              </w:rPr>
            </w:pPr>
            <w:r>
              <w:rPr>
                <w:rFonts w:ascii="Arial" w:cs="Arial" w:eastAsia="Arial" w:hAnsi="Arial"/>
                <w:sz w:val="14"/>
                <w:szCs w:val="14"/>
                <w:color w:val="auto"/>
              </w:rPr>
              <w:t>10.12</w:t>
            </w:r>
          </w:p>
        </w:tc>
        <w:tc>
          <w:tcPr>
            <w:tcW w:w="1180" w:type="dxa"/>
            <w:vAlign w:val="bottom"/>
          </w:tcPr>
          <w:p>
            <w:pPr>
              <w:jc w:val="right"/>
              <w:ind w:right="209"/>
              <w:spacing w:after="0"/>
              <w:rPr>
                <w:sz w:val="20"/>
                <w:szCs w:val="20"/>
                <w:color w:val="auto"/>
              </w:rPr>
            </w:pPr>
            <w:r>
              <w:rPr>
                <w:rFonts w:ascii="Arial" w:cs="Arial" w:eastAsia="Arial" w:hAnsi="Arial"/>
                <w:sz w:val="14"/>
                <w:szCs w:val="14"/>
                <w:color w:val="auto"/>
              </w:rPr>
              <w:t>4/3/2017</w:t>
            </w:r>
          </w:p>
        </w:tc>
        <w:tc>
          <w:tcPr>
            <w:tcW w:w="340" w:type="dxa"/>
            <w:vAlign w:val="bottom"/>
          </w:tcPr>
          <w:p>
            <w:pPr>
              <w:spacing w:after="0"/>
              <w:rPr>
                <w:sz w:val="24"/>
                <w:szCs w:val="24"/>
                <w:color w:val="auto"/>
              </w:rPr>
            </w:pPr>
          </w:p>
        </w:tc>
      </w:tr>
      <w:tr>
        <w:trPr>
          <w:trHeight w:val="626"/>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F-1</w:t>
            </w:r>
          </w:p>
        </w:tc>
        <w:tc>
          <w:tcPr>
            <w:tcW w:w="1560" w:type="dxa"/>
            <w:vAlign w:val="bottom"/>
          </w:tcPr>
          <w:p>
            <w:pPr>
              <w:jc w:val="right"/>
              <w:ind w:right="429"/>
              <w:spacing w:after="0"/>
              <w:rPr>
                <w:sz w:val="20"/>
                <w:szCs w:val="20"/>
                <w:color w:val="auto"/>
              </w:rPr>
            </w:pPr>
            <w:r>
              <w:rPr>
                <w:rFonts w:ascii="Arial" w:cs="Arial" w:eastAsia="Arial" w:hAnsi="Arial"/>
                <w:sz w:val="14"/>
                <w:szCs w:val="14"/>
                <w:color w:val="auto"/>
              </w:rPr>
              <w:t>333-217124</w:t>
            </w:r>
          </w:p>
        </w:tc>
        <w:tc>
          <w:tcPr>
            <w:tcW w:w="720" w:type="dxa"/>
            <w:vAlign w:val="bottom"/>
          </w:tcPr>
          <w:p>
            <w:pPr>
              <w:jc w:val="right"/>
              <w:ind w:right="189"/>
              <w:spacing w:after="0"/>
              <w:rPr>
                <w:sz w:val="20"/>
                <w:szCs w:val="20"/>
                <w:color w:val="auto"/>
              </w:rPr>
            </w:pPr>
            <w:r>
              <w:rPr>
                <w:rFonts w:ascii="Arial" w:cs="Arial" w:eastAsia="Arial" w:hAnsi="Arial"/>
                <w:sz w:val="14"/>
                <w:szCs w:val="14"/>
                <w:color w:val="auto"/>
              </w:rPr>
              <w:t>10.13</w:t>
            </w:r>
          </w:p>
        </w:tc>
        <w:tc>
          <w:tcPr>
            <w:tcW w:w="1180" w:type="dxa"/>
            <w:vAlign w:val="bottom"/>
          </w:tcPr>
          <w:p>
            <w:pPr>
              <w:jc w:val="right"/>
              <w:ind w:right="209"/>
              <w:spacing w:after="0"/>
              <w:rPr>
                <w:sz w:val="20"/>
                <w:szCs w:val="20"/>
                <w:color w:val="auto"/>
              </w:rPr>
            </w:pPr>
            <w:r>
              <w:rPr>
                <w:rFonts w:ascii="Arial" w:cs="Arial" w:eastAsia="Arial" w:hAnsi="Arial"/>
                <w:sz w:val="14"/>
                <w:szCs w:val="14"/>
                <w:color w:val="auto"/>
              </w:rPr>
              <w:t>4/3/2017</w:t>
            </w:r>
          </w:p>
        </w:tc>
        <w:tc>
          <w:tcPr>
            <w:tcW w:w="340" w:type="dxa"/>
            <w:vAlign w:val="bottom"/>
          </w:tcPr>
          <w:p>
            <w:pPr>
              <w:spacing w:after="0"/>
              <w:rPr>
                <w:sz w:val="24"/>
                <w:szCs w:val="24"/>
                <w:color w:val="auto"/>
              </w:rPr>
            </w:pPr>
          </w:p>
        </w:tc>
      </w:tr>
      <w:tr>
        <w:trPr>
          <w:trHeight w:val="764"/>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F-1</w:t>
            </w:r>
          </w:p>
        </w:tc>
        <w:tc>
          <w:tcPr>
            <w:tcW w:w="1560" w:type="dxa"/>
            <w:vAlign w:val="bottom"/>
          </w:tcPr>
          <w:p>
            <w:pPr>
              <w:jc w:val="right"/>
              <w:ind w:right="429"/>
              <w:spacing w:after="0"/>
              <w:rPr>
                <w:sz w:val="20"/>
                <w:szCs w:val="20"/>
                <w:color w:val="auto"/>
              </w:rPr>
            </w:pPr>
            <w:r>
              <w:rPr>
                <w:rFonts w:ascii="Arial" w:cs="Arial" w:eastAsia="Arial" w:hAnsi="Arial"/>
                <w:sz w:val="14"/>
                <w:szCs w:val="14"/>
                <w:color w:val="auto"/>
              </w:rPr>
              <w:t>333-217124</w:t>
            </w:r>
          </w:p>
        </w:tc>
        <w:tc>
          <w:tcPr>
            <w:tcW w:w="720" w:type="dxa"/>
            <w:vAlign w:val="bottom"/>
          </w:tcPr>
          <w:p>
            <w:pPr>
              <w:jc w:val="right"/>
              <w:ind w:right="189"/>
              <w:spacing w:after="0"/>
              <w:rPr>
                <w:sz w:val="20"/>
                <w:szCs w:val="20"/>
                <w:color w:val="auto"/>
              </w:rPr>
            </w:pPr>
            <w:r>
              <w:rPr>
                <w:rFonts w:ascii="Arial" w:cs="Arial" w:eastAsia="Arial" w:hAnsi="Arial"/>
                <w:sz w:val="14"/>
                <w:szCs w:val="14"/>
                <w:color w:val="auto"/>
              </w:rPr>
              <w:t>10.14</w:t>
            </w:r>
          </w:p>
        </w:tc>
        <w:tc>
          <w:tcPr>
            <w:tcW w:w="1180" w:type="dxa"/>
            <w:vAlign w:val="bottom"/>
          </w:tcPr>
          <w:p>
            <w:pPr>
              <w:jc w:val="right"/>
              <w:ind w:right="209"/>
              <w:spacing w:after="0"/>
              <w:rPr>
                <w:sz w:val="20"/>
                <w:szCs w:val="20"/>
                <w:color w:val="auto"/>
              </w:rPr>
            </w:pPr>
            <w:r>
              <w:rPr>
                <w:rFonts w:ascii="Arial" w:cs="Arial" w:eastAsia="Arial" w:hAnsi="Arial"/>
                <w:sz w:val="14"/>
                <w:szCs w:val="14"/>
                <w:color w:val="auto"/>
              </w:rPr>
              <w:t>4/3/2017</w:t>
            </w:r>
          </w:p>
        </w:tc>
        <w:tc>
          <w:tcPr>
            <w:tcW w:w="340" w:type="dxa"/>
            <w:vAlign w:val="bottom"/>
          </w:tcPr>
          <w:p>
            <w:pPr>
              <w:spacing w:after="0"/>
              <w:rPr>
                <w:sz w:val="24"/>
                <w:szCs w:val="24"/>
                <w:color w:val="auto"/>
              </w:rPr>
            </w:pPr>
          </w:p>
        </w:tc>
      </w:tr>
      <w:tr>
        <w:trPr>
          <w:trHeight w:val="764"/>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6-K</w:t>
            </w:r>
          </w:p>
        </w:tc>
        <w:tc>
          <w:tcPr>
            <w:tcW w:w="1560" w:type="dxa"/>
            <w:vAlign w:val="bottom"/>
          </w:tcPr>
          <w:p>
            <w:pPr>
              <w:jc w:val="right"/>
              <w:ind w:right="429"/>
              <w:spacing w:after="0"/>
              <w:rPr>
                <w:sz w:val="20"/>
                <w:szCs w:val="20"/>
                <w:color w:val="auto"/>
              </w:rPr>
            </w:pPr>
            <w:r>
              <w:rPr>
                <w:rFonts w:ascii="Arial" w:cs="Arial" w:eastAsia="Arial" w:hAnsi="Arial"/>
                <w:sz w:val="14"/>
                <w:szCs w:val="14"/>
                <w:color w:val="auto"/>
              </w:rPr>
              <w:t>001-38067</w:t>
            </w:r>
          </w:p>
        </w:tc>
        <w:tc>
          <w:tcPr>
            <w:tcW w:w="720" w:type="dxa"/>
            <w:vAlign w:val="bottom"/>
          </w:tcPr>
          <w:p>
            <w:pPr>
              <w:jc w:val="right"/>
              <w:ind w:right="189"/>
              <w:spacing w:after="0"/>
              <w:rPr>
                <w:sz w:val="20"/>
                <w:szCs w:val="20"/>
                <w:color w:val="auto"/>
              </w:rPr>
            </w:pPr>
            <w:r>
              <w:rPr>
                <w:rFonts w:ascii="Arial" w:cs="Arial" w:eastAsia="Arial" w:hAnsi="Arial"/>
                <w:sz w:val="14"/>
                <w:szCs w:val="14"/>
                <w:color w:val="auto"/>
              </w:rPr>
              <w:t>1</w:t>
            </w:r>
          </w:p>
        </w:tc>
        <w:tc>
          <w:tcPr>
            <w:tcW w:w="1180" w:type="dxa"/>
            <w:vAlign w:val="bottom"/>
          </w:tcPr>
          <w:p>
            <w:pPr>
              <w:jc w:val="right"/>
              <w:ind w:right="209"/>
              <w:spacing w:after="0"/>
              <w:rPr>
                <w:sz w:val="20"/>
                <w:szCs w:val="20"/>
                <w:color w:val="auto"/>
              </w:rPr>
            </w:pPr>
            <w:r>
              <w:rPr>
                <w:rFonts w:ascii="Arial" w:cs="Arial" w:eastAsia="Arial" w:hAnsi="Arial"/>
                <w:sz w:val="14"/>
                <w:szCs w:val="14"/>
                <w:color w:val="auto"/>
              </w:rPr>
              <w:t>7/22/2020</w:t>
            </w:r>
          </w:p>
        </w:tc>
        <w:tc>
          <w:tcPr>
            <w:tcW w:w="340" w:type="dxa"/>
            <w:vAlign w:val="bottom"/>
          </w:tcPr>
          <w:p>
            <w:pPr>
              <w:spacing w:after="0"/>
              <w:rPr>
                <w:sz w:val="24"/>
                <w:szCs w:val="24"/>
                <w:color w:val="auto"/>
              </w:rPr>
            </w:pPr>
          </w:p>
        </w:tc>
      </w:tr>
      <w:tr>
        <w:trPr>
          <w:trHeight w:val="488"/>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6-K</w:t>
            </w:r>
          </w:p>
        </w:tc>
        <w:tc>
          <w:tcPr>
            <w:tcW w:w="1560" w:type="dxa"/>
            <w:vAlign w:val="bottom"/>
          </w:tcPr>
          <w:p>
            <w:pPr>
              <w:jc w:val="right"/>
              <w:ind w:right="429"/>
              <w:spacing w:after="0"/>
              <w:rPr>
                <w:sz w:val="20"/>
                <w:szCs w:val="20"/>
                <w:color w:val="auto"/>
              </w:rPr>
            </w:pPr>
            <w:r>
              <w:rPr>
                <w:rFonts w:ascii="Arial" w:cs="Arial" w:eastAsia="Arial" w:hAnsi="Arial"/>
                <w:sz w:val="14"/>
                <w:szCs w:val="14"/>
                <w:color w:val="auto"/>
              </w:rPr>
              <w:t>001-38067</w:t>
            </w:r>
          </w:p>
        </w:tc>
        <w:tc>
          <w:tcPr>
            <w:tcW w:w="720" w:type="dxa"/>
            <w:vAlign w:val="bottom"/>
          </w:tcPr>
          <w:p>
            <w:pPr>
              <w:jc w:val="right"/>
              <w:ind w:right="189"/>
              <w:spacing w:after="0"/>
              <w:rPr>
                <w:sz w:val="20"/>
                <w:szCs w:val="20"/>
                <w:color w:val="auto"/>
              </w:rPr>
            </w:pPr>
            <w:r>
              <w:rPr>
                <w:rFonts w:ascii="Arial" w:cs="Arial" w:eastAsia="Arial" w:hAnsi="Arial"/>
                <w:sz w:val="14"/>
                <w:szCs w:val="14"/>
                <w:color w:val="auto"/>
              </w:rPr>
              <w:t>1.1</w:t>
            </w:r>
          </w:p>
        </w:tc>
        <w:tc>
          <w:tcPr>
            <w:tcW w:w="1180" w:type="dxa"/>
            <w:vAlign w:val="bottom"/>
          </w:tcPr>
          <w:p>
            <w:pPr>
              <w:jc w:val="right"/>
              <w:ind w:right="209"/>
              <w:spacing w:after="0"/>
              <w:rPr>
                <w:sz w:val="20"/>
                <w:szCs w:val="20"/>
                <w:color w:val="auto"/>
              </w:rPr>
            </w:pPr>
            <w:r>
              <w:rPr>
                <w:rFonts w:ascii="Arial" w:cs="Arial" w:eastAsia="Arial" w:hAnsi="Arial"/>
                <w:sz w:val="14"/>
                <w:szCs w:val="14"/>
                <w:color w:val="auto"/>
              </w:rPr>
              <w:t>11/24/2020</w:t>
            </w:r>
          </w:p>
        </w:tc>
        <w:tc>
          <w:tcPr>
            <w:tcW w:w="340" w:type="dxa"/>
            <w:vAlign w:val="bottom"/>
          </w:tcPr>
          <w:p>
            <w:pPr>
              <w:spacing w:after="0"/>
              <w:rPr>
                <w:sz w:val="24"/>
                <w:szCs w:val="24"/>
                <w:color w:val="auto"/>
              </w:rPr>
            </w:pPr>
          </w:p>
        </w:tc>
      </w:tr>
      <w:tr>
        <w:trPr>
          <w:trHeight w:val="626"/>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10-K</w:t>
            </w:r>
          </w:p>
        </w:tc>
        <w:tc>
          <w:tcPr>
            <w:tcW w:w="1560" w:type="dxa"/>
            <w:vAlign w:val="bottom"/>
          </w:tcPr>
          <w:p>
            <w:pPr>
              <w:jc w:val="right"/>
              <w:spacing w:after="0"/>
              <w:rPr>
                <w:sz w:val="20"/>
                <w:szCs w:val="20"/>
                <w:color w:val="auto"/>
              </w:rPr>
            </w:pPr>
            <w:r>
              <w:rPr>
                <w:rFonts w:ascii="Arial" w:cs="Arial" w:eastAsia="Arial" w:hAnsi="Arial"/>
                <w:sz w:val="14"/>
                <w:szCs w:val="14"/>
                <w:color w:val="auto"/>
              </w:rPr>
              <w:t>001-38067 10.19.2</w:t>
            </w:r>
          </w:p>
        </w:tc>
        <w:tc>
          <w:tcPr>
            <w:tcW w:w="720" w:type="dxa"/>
            <w:vAlign w:val="bottom"/>
          </w:tcPr>
          <w:p>
            <w:pPr>
              <w:spacing w:after="0"/>
              <w:rPr>
                <w:sz w:val="24"/>
                <w:szCs w:val="24"/>
                <w:color w:val="auto"/>
              </w:rPr>
            </w:pPr>
          </w:p>
        </w:tc>
        <w:tc>
          <w:tcPr>
            <w:tcW w:w="1180" w:type="dxa"/>
            <w:vAlign w:val="bottom"/>
          </w:tcPr>
          <w:p>
            <w:pPr>
              <w:jc w:val="right"/>
              <w:ind w:right="209"/>
              <w:spacing w:after="0"/>
              <w:rPr>
                <w:sz w:val="20"/>
                <w:szCs w:val="20"/>
                <w:color w:val="auto"/>
              </w:rPr>
            </w:pPr>
            <w:r>
              <w:rPr>
                <w:rFonts w:ascii="Arial" w:cs="Arial" w:eastAsia="Arial" w:hAnsi="Arial"/>
                <w:sz w:val="14"/>
                <w:szCs w:val="14"/>
                <w:color w:val="auto"/>
              </w:rPr>
              <w:t>2/25/2021</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626"/>
        </w:trPr>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0"/>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10-K</w:t>
            </w:r>
          </w:p>
        </w:tc>
        <w:tc>
          <w:tcPr>
            <w:tcW w:w="1560" w:type="dxa"/>
            <w:vAlign w:val="bottom"/>
          </w:tcPr>
          <w:p>
            <w:pPr>
              <w:jc w:val="right"/>
              <w:ind w:right="429"/>
              <w:spacing w:after="0"/>
              <w:rPr>
                <w:sz w:val="20"/>
                <w:szCs w:val="20"/>
                <w:color w:val="auto"/>
              </w:rPr>
            </w:pPr>
            <w:r>
              <w:rPr>
                <w:rFonts w:ascii="Arial" w:cs="Arial" w:eastAsia="Arial" w:hAnsi="Arial"/>
                <w:sz w:val="14"/>
                <w:szCs w:val="14"/>
                <w:color w:val="auto"/>
              </w:rPr>
              <w:t>001-38067</w:t>
            </w:r>
          </w:p>
        </w:tc>
        <w:tc>
          <w:tcPr>
            <w:tcW w:w="720" w:type="dxa"/>
            <w:vAlign w:val="bottom"/>
          </w:tcPr>
          <w:p>
            <w:pPr>
              <w:jc w:val="right"/>
              <w:ind w:right="189"/>
              <w:spacing w:after="0"/>
              <w:rPr>
                <w:sz w:val="20"/>
                <w:szCs w:val="20"/>
                <w:color w:val="auto"/>
              </w:rPr>
            </w:pPr>
            <w:r>
              <w:rPr>
                <w:rFonts w:ascii="Arial" w:cs="Arial" w:eastAsia="Arial" w:hAnsi="Arial"/>
                <w:sz w:val="14"/>
                <w:szCs w:val="14"/>
                <w:color w:val="auto"/>
              </w:rPr>
              <w:t>10.2</w:t>
            </w:r>
          </w:p>
        </w:tc>
        <w:tc>
          <w:tcPr>
            <w:tcW w:w="1180" w:type="dxa"/>
            <w:vAlign w:val="bottom"/>
          </w:tcPr>
          <w:p>
            <w:pPr>
              <w:jc w:val="right"/>
              <w:ind w:right="209"/>
              <w:spacing w:after="0"/>
              <w:rPr>
                <w:sz w:val="20"/>
                <w:szCs w:val="20"/>
                <w:color w:val="auto"/>
              </w:rPr>
            </w:pPr>
            <w:r>
              <w:rPr>
                <w:rFonts w:ascii="Arial" w:cs="Arial" w:eastAsia="Arial" w:hAnsi="Arial"/>
                <w:sz w:val="14"/>
                <w:szCs w:val="14"/>
                <w:color w:val="auto"/>
              </w:rPr>
              <w:t>2/25/2021</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520"/>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10-Q</w:t>
            </w:r>
          </w:p>
        </w:tc>
        <w:tc>
          <w:tcPr>
            <w:tcW w:w="1560" w:type="dxa"/>
            <w:vAlign w:val="bottom"/>
          </w:tcPr>
          <w:p>
            <w:pPr>
              <w:jc w:val="right"/>
              <w:ind w:right="429"/>
              <w:spacing w:after="0"/>
              <w:rPr>
                <w:sz w:val="20"/>
                <w:szCs w:val="20"/>
                <w:color w:val="auto"/>
              </w:rPr>
            </w:pPr>
            <w:r>
              <w:rPr>
                <w:rFonts w:ascii="Arial" w:cs="Arial" w:eastAsia="Arial" w:hAnsi="Arial"/>
                <w:sz w:val="14"/>
                <w:szCs w:val="14"/>
                <w:color w:val="auto"/>
              </w:rPr>
              <w:t>001-38067</w:t>
            </w:r>
          </w:p>
        </w:tc>
        <w:tc>
          <w:tcPr>
            <w:tcW w:w="720" w:type="dxa"/>
            <w:vAlign w:val="bottom"/>
          </w:tcPr>
          <w:p>
            <w:pPr>
              <w:jc w:val="right"/>
              <w:ind w:right="189"/>
              <w:spacing w:after="0"/>
              <w:rPr>
                <w:sz w:val="20"/>
                <w:szCs w:val="20"/>
                <w:color w:val="auto"/>
              </w:rPr>
            </w:pPr>
            <w:r>
              <w:rPr>
                <w:rFonts w:ascii="Arial" w:cs="Arial" w:eastAsia="Arial" w:hAnsi="Arial"/>
                <w:sz w:val="14"/>
                <w:szCs w:val="14"/>
                <w:color w:val="auto"/>
              </w:rPr>
              <w:t>10.1</w:t>
            </w:r>
          </w:p>
        </w:tc>
        <w:tc>
          <w:tcPr>
            <w:tcW w:w="1180" w:type="dxa"/>
            <w:vAlign w:val="bottom"/>
          </w:tcPr>
          <w:p>
            <w:pPr>
              <w:jc w:val="right"/>
              <w:ind w:right="209"/>
              <w:spacing w:after="0"/>
              <w:rPr>
                <w:sz w:val="20"/>
                <w:szCs w:val="20"/>
                <w:color w:val="auto"/>
              </w:rPr>
            </w:pPr>
            <w:r>
              <w:rPr>
                <w:rFonts w:ascii="Arial" w:cs="Arial" w:eastAsia="Arial" w:hAnsi="Arial"/>
                <w:sz w:val="14"/>
                <w:szCs w:val="14"/>
                <w:color w:val="auto"/>
              </w:rPr>
              <w:t>8/5/2021</w:t>
            </w:r>
          </w:p>
        </w:tc>
        <w:tc>
          <w:tcPr>
            <w:tcW w:w="340" w:type="dxa"/>
            <w:vAlign w:val="bottom"/>
          </w:tcPr>
          <w:p>
            <w:pPr>
              <w:spacing w:after="0"/>
              <w:rPr>
                <w:sz w:val="24"/>
                <w:szCs w:val="24"/>
                <w:color w:val="auto"/>
              </w:rPr>
            </w:pPr>
          </w:p>
        </w:tc>
      </w:tr>
    </w:tbl>
    <w:p>
      <w:pPr>
        <w:spacing w:after="0" w:line="170"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w:t>
      </w:r>
    </w:p>
    <w:p>
      <w:pPr>
        <w:spacing w:after="0" w:line="327"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w:t>
      </w:r>
    </w:p>
    <w:p>
      <w:pPr>
        <w:spacing w:after="0" w:line="189"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w:t>
      </w:r>
    </w:p>
    <w:p>
      <w:pPr>
        <w:spacing w:after="0" w:line="189"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w:t>
      </w:r>
    </w:p>
    <w:p>
      <w:pPr>
        <w:spacing w:after="0" w:line="189" w:lineRule="exact"/>
        <w:rPr>
          <w:sz w:val="20"/>
          <w:szCs w:val="20"/>
          <w:color w:val="auto"/>
        </w:rPr>
      </w:pPr>
    </w:p>
    <w:p>
      <w:pPr>
        <w:jc w:val="right"/>
        <w:ind w:right="540"/>
        <w:spacing w:after="0"/>
        <w:rPr>
          <w:sz w:val="20"/>
          <w:szCs w:val="20"/>
          <w:color w:val="auto"/>
        </w:rPr>
      </w:pPr>
      <w:r>
        <w:rPr>
          <w:rFonts w:ascii="Arial" w:cs="Arial" w:eastAsia="Arial" w:hAnsi="Arial"/>
          <w:sz w:val="14"/>
          <w:szCs w:val="14"/>
          <w:color w:val="auto"/>
        </w:rPr>
        <w:t>**</w:t>
      </w:r>
    </w:p>
    <w:p>
      <w:pPr>
        <w:spacing w:after="0" w:line="189" w:lineRule="exact"/>
        <w:rPr>
          <w:sz w:val="20"/>
          <w:szCs w:val="20"/>
          <w:color w:val="auto"/>
        </w:rPr>
      </w:pPr>
    </w:p>
    <w:p>
      <w:pPr>
        <w:jc w:val="right"/>
        <w:ind w:right="540"/>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w:t>
      </w:r>
    </w:p>
    <w:p>
      <w:pPr>
        <w:spacing w:after="0" w:line="157"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w:t>
      </w:r>
    </w:p>
    <w:p>
      <w:pPr>
        <w:spacing w:after="0" w:line="380" w:lineRule="exact"/>
        <w:rPr>
          <w:sz w:val="20"/>
          <w:szCs w:val="20"/>
          <w:color w:val="auto"/>
        </w:rPr>
      </w:pPr>
    </w:p>
    <w:p>
      <w:pPr>
        <w:sectPr>
          <w:pgSz w:w="11900" w:h="16838" w:orient="portrait"/>
          <w:cols w:equalWidth="0" w:num="3">
            <w:col w:w="960" w:space="160"/>
            <w:col w:w="4500" w:space="540"/>
            <w:col w:w="5120"/>
          </w:cols>
          <w:pgMar w:left="300" w:top="235" w:right="319" w:bottom="1440" w:gutter="0" w:footer="0" w:header="0"/>
        </w:sectPr>
      </w:pPr>
    </w:p>
    <w:p>
      <w:pPr>
        <w:spacing w:after="0"/>
        <w:rPr>
          <w:sz w:val="20"/>
          <w:szCs w:val="20"/>
          <w:color w:val="auto"/>
        </w:rPr>
      </w:pPr>
      <w:r>
        <w:rPr>
          <w:rFonts w:ascii="Arial" w:cs="Arial" w:eastAsia="Arial" w:hAnsi="Arial"/>
          <w:sz w:val="14"/>
          <w:szCs w:val="14"/>
          <w:color w:val="auto"/>
        </w:rPr>
        <w:t>** Furnished herewith.</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72" w:lineRule="exact"/>
        <w:rPr>
          <w:sz w:val="20"/>
          <w:szCs w:val="20"/>
          <w:color w:val="auto"/>
        </w:rPr>
      </w:pPr>
    </w:p>
    <w:p>
      <w:pPr>
        <w:ind w:firstLine="5"/>
        <w:spacing w:after="0" w:line="287" w:lineRule="auto"/>
        <w:tabs>
          <w:tab w:leader="none" w:pos="106" w:val="left"/>
        </w:tabs>
        <w:numPr>
          <w:ilvl w:val="0"/>
          <w:numId w:val="41"/>
        </w:numPr>
        <w:rPr>
          <w:rFonts w:ascii="Arial" w:cs="Arial" w:eastAsia="Arial" w:hAnsi="Arial"/>
          <w:sz w:val="13"/>
          <w:szCs w:val="13"/>
          <w:color w:val="auto"/>
        </w:rPr>
      </w:pPr>
      <w:r>
        <w:rPr>
          <w:rFonts w:ascii="Arial" w:cs="Arial" w:eastAsia="Arial" w:hAnsi="Arial"/>
          <w:sz w:val="13"/>
          <w:szCs w:val="13"/>
          <w:color w:val="auto"/>
        </w:rPr>
        <w:t>Portions of this exhibit (indicated by asterisks) have been omitted pursuant to Regulation S-K, Item 601(b)(10). Such omitted information is not material and the registrant customarily and actually treats such information as private or confidential. Additionally, schedules and attachments to this exhibit have been omitted pursuant to Regulation S-K, Items 601(a)(5).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5" w:right="319" w:bottom="1440" w:gutter="0" w:footer="0" w:header="0"/>
          <w:type w:val="continuous"/>
        </w:sectPr>
      </w:pPr>
    </w:p>
    <w:bookmarkStart w:id="89" w:name="page90"/>
    <w:bookmarkEnd w:id="89"/>
    <w:p>
      <w:pPr>
        <w:spacing w:after="0"/>
        <w:tabs>
          <w:tab w:leader="none" w:pos="620" w:val="left"/>
        </w:tabs>
        <w:rPr>
          <w:sz w:val="20"/>
          <w:szCs w:val="20"/>
          <w:color w:val="auto"/>
        </w:rPr>
      </w:pPr>
      <w:r>
        <w:rPr>
          <w:rFonts w:ascii="Arial" w:cs="Arial" w:eastAsia="Arial" w:hAnsi="Arial"/>
          <w:sz w:val="14"/>
          <w:szCs w:val="14"/>
          <w:b w:val="1"/>
          <w:bCs w:val="1"/>
          <w:color w:val="auto"/>
        </w:rPr>
        <w:t>Item 16.</w:t>
      </w:r>
      <w:r>
        <w:rPr>
          <w:sz w:val="20"/>
          <w:szCs w:val="20"/>
          <w:color w:val="auto"/>
        </w:rPr>
        <w:tab/>
      </w:r>
      <w:r>
        <w:rPr>
          <w:rFonts w:ascii="Arial" w:cs="Arial" w:eastAsia="Arial" w:hAnsi="Arial"/>
          <w:sz w:val="13"/>
          <w:szCs w:val="13"/>
          <w:b w:val="1"/>
          <w:bCs w:val="1"/>
          <w:color w:val="auto"/>
        </w:rPr>
        <w:t>Form 10-K Summary</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302" w:right="1440" w:bottom="1440" w:gutter="0" w:footer="0" w:header="0"/>
        </w:sectPr>
      </w:pPr>
    </w:p>
    <w:bookmarkStart w:id="90" w:name="page91"/>
    <w:bookmarkEnd w:id="90"/>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80"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340" w:type="dxa"/>
            <w:vAlign w:val="bottom"/>
          </w:tcPr>
          <w:p>
            <w:pPr>
              <w:spacing w:after="0"/>
              <w:rPr>
                <w:sz w:val="15"/>
                <w:szCs w:val="15"/>
                <w:color w:val="auto"/>
              </w:rPr>
            </w:pPr>
          </w:p>
        </w:tc>
        <w:tc>
          <w:tcPr>
            <w:tcW w:w="4900" w:type="dxa"/>
            <w:vAlign w:val="bottom"/>
          </w:tcPr>
          <w:p>
            <w:pPr>
              <w:ind w:left="2160"/>
              <w:spacing w:after="0"/>
              <w:rPr>
                <w:sz w:val="20"/>
                <w:szCs w:val="20"/>
                <w:color w:val="auto"/>
              </w:rPr>
            </w:pPr>
            <w:r>
              <w:rPr>
                <w:rFonts w:ascii="Arial" w:cs="Arial" w:eastAsia="Arial" w:hAnsi="Arial"/>
                <w:sz w:val="14"/>
                <w:szCs w:val="14"/>
                <w:color w:val="auto"/>
              </w:rPr>
              <w:t>VERONA PHARMA PLC</w:t>
            </w:r>
          </w:p>
        </w:tc>
        <w:tc>
          <w:tcPr>
            <w:tcW w:w="3020" w:type="dxa"/>
            <w:vAlign w:val="bottom"/>
          </w:tcPr>
          <w:p>
            <w:pPr>
              <w:spacing w:after="0"/>
              <w:rPr>
                <w:sz w:val="15"/>
                <w:szCs w:val="15"/>
                <w:color w:val="auto"/>
              </w:rPr>
            </w:pPr>
          </w:p>
        </w:tc>
      </w:tr>
      <w:tr>
        <w:trPr>
          <w:trHeight w:val="419"/>
        </w:trPr>
        <w:tc>
          <w:tcPr>
            <w:tcW w:w="3340" w:type="dxa"/>
            <w:vAlign w:val="bottom"/>
          </w:tcPr>
          <w:p>
            <w:pPr>
              <w:spacing w:after="0"/>
              <w:rPr>
                <w:sz w:val="20"/>
                <w:szCs w:val="20"/>
                <w:color w:val="auto"/>
              </w:rPr>
            </w:pPr>
            <w:r>
              <w:rPr>
                <w:rFonts w:ascii="Arial" w:cs="Arial" w:eastAsia="Arial" w:hAnsi="Arial"/>
                <w:sz w:val="14"/>
                <w:szCs w:val="14"/>
                <w:color w:val="auto"/>
              </w:rPr>
              <w:t>Date: March 3, 2022</w:t>
            </w:r>
          </w:p>
        </w:tc>
        <w:tc>
          <w:tcPr>
            <w:tcW w:w="4900" w:type="dxa"/>
            <w:vAlign w:val="bottom"/>
          </w:tcPr>
          <w:p>
            <w:pPr>
              <w:ind w:left="2160"/>
              <w:spacing w:after="0"/>
              <w:rPr>
                <w:sz w:val="20"/>
                <w:szCs w:val="20"/>
                <w:color w:val="auto"/>
              </w:rPr>
            </w:pPr>
            <w:r>
              <w:rPr>
                <w:rFonts w:ascii="Arial" w:cs="Arial" w:eastAsia="Arial" w:hAnsi="Arial"/>
                <w:sz w:val="14"/>
                <w:szCs w:val="14"/>
                <w:color w:val="auto"/>
              </w:rPr>
              <w:t>By:</w:t>
            </w: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David Zaccardelli</w:t>
            </w:r>
          </w:p>
        </w:tc>
      </w:tr>
      <w:tr>
        <w:trPr>
          <w:trHeight w:val="187"/>
        </w:trPr>
        <w:tc>
          <w:tcPr>
            <w:tcW w:w="33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3020" w:type="dxa"/>
            <w:vAlign w:val="bottom"/>
          </w:tcPr>
          <w:p>
            <w:pPr>
              <w:ind w:left="20"/>
              <w:spacing w:after="0"/>
              <w:rPr>
                <w:sz w:val="20"/>
                <w:szCs w:val="20"/>
                <w:color w:val="auto"/>
              </w:rPr>
            </w:pPr>
            <w:r>
              <w:rPr>
                <w:rFonts w:ascii="Arial" w:cs="Arial" w:eastAsia="Arial" w:hAnsi="Arial"/>
                <w:sz w:val="14"/>
                <w:szCs w:val="14"/>
                <w:color w:val="auto"/>
              </w:rPr>
              <w:t>David Zaccardelli, Pharm. D.</w:t>
            </w:r>
          </w:p>
        </w:tc>
      </w:tr>
      <w:tr>
        <w:trPr>
          <w:trHeight w:val="202"/>
        </w:trPr>
        <w:tc>
          <w:tcPr>
            <w:tcW w:w="334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3020" w:type="dxa"/>
            <w:vAlign w:val="bottom"/>
          </w:tcPr>
          <w:p>
            <w:pPr>
              <w:ind w:left="20"/>
              <w:spacing w:after="0"/>
              <w:rPr>
                <w:sz w:val="20"/>
                <w:szCs w:val="20"/>
                <w:color w:val="auto"/>
              </w:rPr>
            </w:pPr>
            <w:r>
              <w:rPr>
                <w:rFonts w:ascii="Arial" w:cs="Arial" w:eastAsia="Arial" w:hAnsi="Arial"/>
                <w:sz w:val="14"/>
                <w:szCs w:val="14"/>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91" w:name="page92"/>
    <w:bookmarkEnd w:id="91"/>
    <w:tbl>
      <w:tblPr>
        <w:tblLayout w:type="fixed"/>
        <w:tblInd w:w="10" w:type="dxa"/>
        <w:tblCellMar>
          <w:top w:w="0" w:type="dxa"/>
          <w:left w:w="0" w:type="dxa"/>
          <w:bottom w:w="0" w:type="dxa"/>
          <w:right w:w="0" w:type="dxa"/>
        </w:tblCellMar>
      </w:tblPr>
      <w:tr>
        <w:trPr>
          <w:trHeight w:val="488"/>
        </w:trPr>
        <w:tc>
          <w:tcPr>
            <w:tcW w:w="348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14"/>
                <w:szCs w:val="14"/>
                <w:color w:val="auto"/>
                <w:w w:val="93"/>
              </w:rPr>
              <w:t>/s/ David Zaccardelli</w:t>
            </w:r>
          </w:p>
        </w:tc>
        <w:tc>
          <w:tcPr>
            <w:tcW w:w="562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President and Chief Executive Officer</w:t>
            </w:r>
          </w:p>
        </w:tc>
        <w:tc>
          <w:tcPr>
            <w:tcW w:w="212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4"/>
                <w:szCs w:val="14"/>
                <w:color w:val="auto"/>
              </w:rPr>
              <w:t>March 3, 2022</w:t>
            </w:r>
          </w:p>
        </w:tc>
      </w:tr>
      <w:tr>
        <w:trPr>
          <w:trHeight w:val="244"/>
        </w:trPr>
        <w:tc>
          <w:tcPr>
            <w:tcW w:w="3480" w:type="dxa"/>
            <w:vAlign w:val="bottom"/>
            <w:tcBorders>
              <w:left w:val="single" w:sz="8" w:color="auto"/>
            </w:tcBorders>
          </w:tcPr>
          <w:p>
            <w:pPr>
              <w:spacing w:after="0"/>
              <w:rPr>
                <w:sz w:val="21"/>
                <w:szCs w:val="21"/>
                <w:color w:val="auto"/>
              </w:rPr>
            </w:pPr>
          </w:p>
        </w:tc>
        <w:tc>
          <w:tcPr>
            <w:tcW w:w="5620" w:type="dxa"/>
            <w:vAlign w:val="bottom"/>
            <w:tcBorders>
              <w:right w:val="single" w:sz="8" w:color="auto"/>
            </w:tcBorders>
          </w:tcPr>
          <w:p>
            <w:pPr>
              <w:ind w:left="240"/>
              <w:spacing w:after="0"/>
              <w:rPr>
                <w:sz w:val="20"/>
                <w:szCs w:val="20"/>
                <w:color w:val="auto"/>
              </w:rPr>
            </w:pPr>
            <w:r>
              <w:rPr>
                <w:rFonts w:ascii="Arial" w:cs="Arial" w:eastAsia="Arial" w:hAnsi="Arial"/>
                <w:sz w:val="14"/>
                <w:szCs w:val="14"/>
                <w:i w:val="1"/>
                <w:iCs w:val="1"/>
                <w:color w:val="auto"/>
              </w:rPr>
              <w:t>(principal executive officer)</w:t>
            </w:r>
          </w:p>
        </w:tc>
        <w:tc>
          <w:tcPr>
            <w:tcW w:w="2120" w:type="dxa"/>
            <w:vAlign w:val="bottom"/>
            <w:tcBorders>
              <w:right w:val="single" w:sz="8" w:color="auto"/>
            </w:tcBorders>
          </w:tcPr>
          <w:p>
            <w:pPr>
              <w:spacing w:after="0"/>
              <w:rPr>
                <w:sz w:val="21"/>
                <w:szCs w:val="21"/>
                <w:color w:val="auto"/>
              </w:rPr>
            </w:pP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562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David Zaccardelli, Pharm. D.</w:t>
            </w:r>
          </w:p>
        </w:tc>
        <w:tc>
          <w:tcPr>
            <w:tcW w:w="5620" w:type="dxa"/>
            <w:vAlign w:val="bottom"/>
            <w:tcBorders>
              <w:right w:val="single" w:sz="8" w:color="auto"/>
            </w:tcBorders>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color w:val="auto"/>
                <w:w w:val="92"/>
              </w:rPr>
              <w:t>/s/ Mark W. Hahn</w:t>
            </w:r>
          </w:p>
        </w:tc>
        <w:tc>
          <w:tcPr>
            <w:tcW w:w="562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Chief Financial Officer</w:t>
            </w:r>
          </w:p>
        </w:tc>
        <w:tc>
          <w:tcPr>
            <w:tcW w:w="212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March 3, 2022</w:t>
            </w:r>
          </w:p>
        </w:tc>
      </w:tr>
      <w:tr>
        <w:trPr>
          <w:trHeight w:val="244"/>
        </w:trPr>
        <w:tc>
          <w:tcPr>
            <w:tcW w:w="3480" w:type="dxa"/>
            <w:vAlign w:val="bottom"/>
            <w:tcBorders>
              <w:left w:val="single" w:sz="8" w:color="auto"/>
            </w:tcBorders>
          </w:tcPr>
          <w:p>
            <w:pPr>
              <w:spacing w:after="0"/>
              <w:rPr>
                <w:sz w:val="21"/>
                <w:szCs w:val="21"/>
                <w:color w:val="auto"/>
              </w:rPr>
            </w:pPr>
          </w:p>
        </w:tc>
        <w:tc>
          <w:tcPr>
            <w:tcW w:w="5620" w:type="dxa"/>
            <w:vAlign w:val="bottom"/>
            <w:tcBorders>
              <w:right w:val="single" w:sz="8" w:color="auto"/>
            </w:tcBorders>
          </w:tcPr>
          <w:p>
            <w:pPr>
              <w:ind w:left="240"/>
              <w:spacing w:after="0"/>
              <w:rPr>
                <w:sz w:val="20"/>
                <w:szCs w:val="20"/>
                <w:color w:val="auto"/>
              </w:rPr>
            </w:pPr>
            <w:r>
              <w:rPr>
                <w:rFonts w:ascii="Arial" w:cs="Arial" w:eastAsia="Arial" w:hAnsi="Arial"/>
                <w:sz w:val="14"/>
                <w:szCs w:val="14"/>
                <w:i w:val="1"/>
                <w:iCs w:val="1"/>
                <w:color w:val="auto"/>
              </w:rPr>
              <w:t>(principal financial and accounting officer)</w:t>
            </w:r>
          </w:p>
        </w:tc>
        <w:tc>
          <w:tcPr>
            <w:tcW w:w="2120" w:type="dxa"/>
            <w:vAlign w:val="bottom"/>
            <w:tcBorders>
              <w:right w:val="single" w:sz="8" w:color="auto"/>
            </w:tcBorders>
          </w:tcPr>
          <w:p>
            <w:pPr>
              <w:spacing w:after="0"/>
              <w:rPr>
                <w:sz w:val="21"/>
                <w:szCs w:val="21"/>
                <w:color w:val="auto"/>
              </w:rPr>
            </w:pP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562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Mark W. Hahn</w:t>
            </w:r>
          </w:p>
        </w:tc>
        <w:tc>
          <w:tcPr>
            <w:tcW w:w="5620" w:type="dxa"/>
            <w:vAlign w:val="bottom"/>
            <w:tcBorders>
              <w:right w:val="single" w:sz="8" w:color="auto"/>
            </w:tcBorders>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color w:val="auto"/>
                <w:w w:val="92"/>
              </w:rPr>
              <w:t>/s/ David Ebsworth, Ph.D.</w:t>
            </w:r>
          </w:p>
        </w:tc>
        <w:tc>
          <w:tcPr>
            <w:tcW w:w="562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Chairperson of the Board of Directors</w:t>
            </w:r>
          </w:p>
        </w:tc>
        <w:tc>
          <w:tcPr>
            <w:tcW w:w="212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March 3, 2022</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562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David Ebsworth, Ph.D.</w:t>
            </w:r>
          </w:p>
        </w:tc>
        <w:tc>
          <w:tcPr>
            <w:tcW w:w="5620" w:type="dxa"/>
            <w:vAlign w:val="bottom"/>
            <w:tcBorders>
              <w:right w:val="single" w:sz="8" w:color="auto"/>
            </w:tcBorders>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color w:val="auto"/>
                <w:w w:val="93"/>
              </w:rPr>
              <w:t>/s/ Ken Cunningham, M.D.</w:t>
            </w:r>
          </w:p>
        </w:tc>
        <w:tc>
          <w:tcPr>
            <w:tcW w:w="562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Director</w:t>
            </w:r>
          </w:p>
        </w:tc>
        <w:tc>
          <w:tcPr>
            <w:tcW w:w="212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March 3, 2022</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562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Ken Cunningham, M.D.</w:t>
            </w:r>
          </w:p>
        </w:tc>
        <w:tc>
          <w:tcPr>
            <w:tcW w:w="5620" w:type="dxa"/>
            <w:vAlign w:val="bottom"/>
            <w:tcBorders>
              <w:right w:val="single" w:sz="8" w:color="auto"/>
            </w:tcBorders>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color w:val="auto"/>
                <w:w w:val="90"/>
              </w:rPr>
              <w:t>/s/ Lisa Deschamps</w:t>
            </w:r>
          </w:p>
        </w:tc>
        <w:tc>
          <w:tcPr>
            <w:tcW w:w="562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Director</w:t>
            </w:r>
          </w:p>
        </w:tc>
        <w:tc>
          <w:tcPr>
            <w:tcW w:w="212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March 3, 2022</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562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Lisa Deschamps</w:t>
            </w:r>
          </w:p>
        </w:tc>
        <w:tc>
          <w:tcPr>
            <w:tcW w:w="5620" w:type="dxa"/>
            <w:vAlign w:val="bottom"/>
            <w:tcBorders>
              <w:right w:val="single" w:sz="8" w:color="auto"/>
            </w:tcBorders>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color w:val="auto"/>
                <w:w w:val="95"/>
              </w:rPr>
              <w:t>/s/ Martin Edwards, M.D.</w:t>
            </w:r>
          </w:p>
        </w:tc>
        <w:tc>
          <w:tcPr>
            <w:tcW w:w="562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Director</w:t>
            </w:r>
          </w:p>
        </w:tc>
        <w:tc>
          <w:tcPr>
            <w:tcW w:w="212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March 3, 2022</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562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Martin Edwards, M.D.</w:t>
            </w:r>
          </w:p>
        </w:tc>
        <w:tc>
          <w:tcPr>
            <w:tcW w:w="5620" w:type="dxa"/>
            <w:vAlign w:val="bottom"/>
            <w:tcBorders>
              <w:right w:val="single" w:sz="8" w:color="auto"/>
            </w:tcBorders>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color w:val="auto"/>
                <w:w w:val="91"/>
              </w:rPr>
              <w:t>/s/ Rishi Gupta</w:t>
            </w:r>
          </w:p>
        </w:tc>
        <w:tc>
          <w:tcPr>
            <w:tcW w:w="562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Director</w:t>
            </w:r>
          </w:p>
        </w:tc>
        <w:tc>
          <w:tcPr>
            <w:tcW w:w="212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March 3, 2022</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562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Rishi Gupta</w:t>
            </w:r>
          </w:p>
        </w:tc>
        <w:tc>
          <w:tcPr>
            <w:tcW w:w="5620" w:type="dxa"/>
            <w:vAlign w:val="bottom"/>
            <w:tcBorders>
              <w:right w:val="single" w:sz="8" w:color="auto"/>
            </w:tcBorders>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color w:val="auto"/>
                <w:w w:val="90"/>
              </w:rPr>
              <w:t>/s/ Mahendra Shah, Ph.D.</w:t>
            </w:r>
          </w:p>
        </w:tc>
        <w:tc>
          <w:tcPr>
            <w:tcW w:w="562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Director</w:t>
            </w:r>
          </w:p>
        </w:tc>
        <w:tc>
          <w:tcPr>
            <w:tcW w:w="212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March 3, 2022</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562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Mahendra Shah, Ph.D.</w:t>
            </w:r>
          </w:p>
        </w:tc>
        <w:tc>
          <w:tcPr>
            <w:tcW w:w="5620" w:type="dxa"/>
            <w:vAlign w:val="bottom"/>
            <w:tcBorders>
              <w:right w:val="single" w:sz="8" w:color="auto"/>
            </w:tcBorders>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color w:val="auto"/>
                <w:w w:val="93"/>
              </w:rPr>
              <w:t>/s/ Andrew Sinclair, Ph.D.</w:t>
            </w:r>
          </w:p>
        </w:tc>
        <w:tc>
          <w:tcPr>
            <w:tcW w:w="562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Director</w:t>
            </w:r>
          </w:p>
        </w:tc>
        <w:tc>
          <w:tcPr>
            <w:tcW w:w="212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March 3, 2022</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562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Andrew Sinclair, Ph.D.</w:t>
            </w:r>
          </w:p>
        </w:tc>
        <w:tc>
          <w:tcPr>
            <w:tcW w:w="5620" w:type="dxa"/>
            <w:vAlign w:val="bottom"/>
            <w:tcBorders>
              <w:right w:val="single" w:sz="8" w:color="auto"/>
            </w:tcBorders>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color w:val="auto"/>
                <w:w w:val="90"/>
              </w:rPr>
              <w:t>/s/ Vikas Sinha</w:t>
            </w:r>
          </w:p>
        </w:tc>
        <w:tc>
          <w:tcPr>
            <w:tcW w:w="562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Director</w:t>
            </w:r>
          </w:p>
        </w:tc>
        <w:tc>
          <w:tcPr>
            <w:tcW w:w="212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March 3, 2022</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562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Vikas Sinha</w:t>
            </w:r>
          </w:p>
        </w:tc>
        <w:tc>
          <w:tcPr>
            <w:tcW w:w="5620" w:type="dxa"/>
            <w:vAlign w:val="bottom"/>
            <w:tcBorders>
              <w:right w:val="single" w:sz="8" w:color="auto"/>
            </w:tcBorders>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color w:val="auto"/>
                <w:w w:val="94"/>
              </w:rPr>
              <w:t>/s/ Anders Ullman, M.D., Ph.D.</w:t>
            </w:r>
          </w:p>
        </w:tc>
        <w:tc>
          <w:tcPr>
            <w:tcW w:w="562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Director</w:t>
            </w:r>
          </w:p>
        </w:tc>
        <w:tc>
          <w:tcPr>
            <w:tcW w:w="212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March 3, 2022</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562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Anders Ullman, M.D., Ph.D.</w:t>
            </w:r>
          </w:p>
        </w:tc>
        <w:tc>
          <w:tcPr>
            <w:tcW w:w="5620" w:type="dxa"/>
            <w:vAlign w:val="bottom"/>
            <w:tcBorders>
              <w:right w:val="single" w:sz="8" w:color="auto"/>
            </w:tcBorders>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5620" w:type="dxa"/>
            <w:vAlign w:val="bottom"/>
            <w:tcBorders>
              <w:bottom w:val="single" w:sz="8" w:color="auto"/>
              <w:right w:val="single" w:sz="8" w:color="auto"/>
            </w:tcBorders>
          </w:tcPr>
          <w:p>
            <w:pPr>
              <w:spacing w:after="0"/>
              <w:rPr>
                <w:sz w:val="8"/>
                <w:szCs w:val="8"/>
                <w:color w:val="auto"/>
              </w:rPr>
            </w:pPr>
          </w:p>
        </w:tc>
        <w:tc>
          <w:tcPr>
            <w:tcW w:w="212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1220"/>
          </w:cols>
          <w:pgMar w:left="300" w:top="132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29" w:right="379" w:bottom="1440" w:gutter="0" w:footer="0" w:header="0"/>
          <w:type w:val="continuous"/>
        </w:sectPr>
      </w:pPr>
    </w:p>
    <w:bookmarkStart w:id="92" w:name="page93"/>
    <w:bookmarkEnd w:id="92"/>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Index</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shd w:val="clear" w:color="auto" w:fill="CCEEFF"/>
          </w:tcPr>
          <w:p>
            <w:pPr>
              <w:spacing w:after="0"/>
              <w:rPr>
                <w:sz w:val="20"/>
                <w:szCs w:val="20"/>
                <w:color w:val="auto"/>
              </w:rPr>
            </w:pPr>
          </w:p>
        </w:tc>
        <w:tc>
          <w:tcPr>
            <w:tcW w:w="6500" w:type="dxa"/>
            <w:vAlign w:val="bottom"/>
            <w:gridSpan w:val="6"/>
            <w:shd w:val="clear" w:color="auto" w:fill="CCEEFF"/>
          </w:tcPr>
          <w:p>
            <w:pPr>
              <w:spacing w:after="0"/>
              <w:rPr>
                <w:rFonts w:ascii="Arial" w:cs="Arial" w:eastAsia="Arial" w:hAnsi="Arial"/>
                <w:sz w:val="14"/>
                <w:szCs w:val="14"/>
                <w:color w:val="0000FF"/>
              </w:rPr>
            </w:pPr>
            <w:hyperlink w:anchor="page93">
              <w:r>
                <w:rPr>
                  <w:rFonts w:ascii="Arial" w:cs="Arial" w:eastAsia="Arial" w:hAnsi="Arial"/>
                  <w:sz w:val="14"/>
                  <w:szCs w:val="14"/>
                  <w:color w:val="0000FF"/>
                </w:rPr>
                <w:t xml:space="preserve">Report of Independent Registered Public Accounting Firm (PCAOB </w:t>
              </w:r>
            </w:hyperlink>
            <w:r>
              <w:rPr>
                <w:rFonts w:ascii="Arial" w:cs="Arial" w:eastAsia="Arial" w:hAnsi="Arial"/>
                <w:sz w:val="14"/>
                <w:szCs w:val="14"/>
                <w:color w:val="0000FF"/>
              </w:rPr>
              <w:t xml:space="preserve">ID: </w:t>
            </w:r>
            <w:r>
              <w:rPr>
                <w:rFonts w:ascii="Arial" w:cs="Arial" w:eastAsia="Arial" w:hAnsi="Arial"/>
                <w:sz w:val="14"/>
                <w:szCs w:val="14"/>
                <w:color w:val="000000"/>
              </w:rPr>
              <w:t>876)</w:t>
            </w:r>
          </w:p>
        </w:tc>
        <w:tc>
          <w:tcPr>
            <w:tcW w:w="4760" w:type="dxa"/>
            <w:vAlign w:val="bottom"/>
            <w:shd w:val="clear" w:color="auto" w:fill="CCEEFF"/>
          </w:tcPr>
          <w:p>
            <w:pPr>
              <w:ind w:left="4560"/>
              <w:spacing w:after="0"/>
              <w:rPr>
                <w:rFonts w:ascii="Arial" w:cs="Arial" w:eastAsia="Arial" w:hAnsi="Arial"/>
                <w:sz w:val="14"/>
                <w:szCs w:val="14"/>
                <w:color w:val="auto"/>
                <w:w w:val="85"/>
              </w:rPr>
            </w:pPr>
            <w:r>
              <w:rPr>
                <w:rFonts w:ascii="Arial" w:cs="Arial" w:eastAsia="Arial" w:hAnsi="Arial"/>
                <w:sz w:val="14"/>
                <w:szCs w:val="14"/>
                <w:color w:val="auto"/>
                <w:w w:val="85"/>
              </w:rPr>
              <w:t>F-</w:t>
            </w:r>
            <w:hyperlink w:anchor="page93">
              <w:r>
                <w:rPr>
                  <w:rFonts w:ascii="Arial" w:cs="Arial" w:eastAsia="Arial" w:hAnsi="Arial"/>
                  <w:sz w:val="14"/>
                  <w:szCs w:val="14"/>
                  <w:color w:val="auto"/>
                  <w:w w:val="85"/>
                </w:rPr>
                <w:t>2</w:t>
              </w:r>
            </w:hyperlink>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2480" w:type="dxa"/>
            <w:vAlign w:val="bottom"/>
            <w:tcBorders>
              <w:top w:val="single" w:sz="8" w:color="0000FF"/>
            </w:tcBorders>
            <w:shd w:val="clear" w:color="auto" w:fill="CCEEFF"/>
          </w:tcPr>
          <w:p>
            <w:pPr>
              <w:spacing w:after="0"/>
              <w:rPr>
                <w:sz w:val="8"/>
                <w:szCs w:val="8"/>
                <w:color w:val="auto"/>
              </w:rPr>
            </w:pPr>
          </w:p>
        </w:tc>
        <w:tc>
          <w:tcPr>
            <w:tcW w:w="118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980" w:type="dxa"/>
            <w:vAlign w:val="bottom"/>
            <w:tcBorders>
              <w:top w:val="single" w:sz="8" w:color="CCEEFF"/>
            </w:tcBorders>
            <w:shd w:val="clear" w:color="auto" w:fill="CCEEFF"/>
          </w:tcPr>
          <w:p>
            <w:pPr>
              <w:spacing w:after="0"/>
              <w:rPr>
                <w:sz w:val="8"/>
                <w:szCs w:val="8"/>
                <w:color w:val="auto"/>
              </w:rPr>
            </w:pPr>
          </w:p>
        </w:tc>
        <w:tc>
          <w:tcPr>
            <w:tcW w:w="12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76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6500" w:type="dxa"/>
            <w:vAlign w:val="bottom"/>
            <w:gridSpan w:val="6"/>
          </w:tcPr>
          <w:p>
            <w:pPr>
              <w:spacing w:after="0"/>
              <w:rPr>
                <w:rFonts w:ascii="Arial" w:cs="Arial" w:eastAsia="Arial" w:hAnsi="Arial"/>
                <w:sz w:val="14"/>
                <w:szCs w:val="14"/>
                <w:color w:val="0000FF"/>
              </w:rPr>
            </w:pPr>
            <w:hyperlink w:anchor="page94">
              <w:r>
                <w:rPr>
                  <w:rFonts w:ascii="Arial" w:cs="Arial" w:eastAsia="Arial" w:hAnsi="Arial"/>
                  <w:sz w:val="14"/>
                  <w:szCs w:val="14"/>
                  <w:color w:val="0000FF"/>
                </w:rPr>
                <w:t xml:space="preserve">Consolidated Balance Sheets as of December 31, </w:t>
              </w:r>
            </w:hyperlink>
            <w:r>
              <w:rPr>
                <w:rFonts w:ascii="Arial" w:cs="Arial" w:eastAsia="Arial" w:hAnsi="Arial"/>
                <w:sz w:val="14"/>
                <w:szCs w:val="14"/>
                <w:color w:val="0000FF"/>
              </w:rPr>
              <w:t xml:space="preserve">2021 </w:t>
            </w:r>
            <w:hyperlink w:anchor="page94">
              <w:r>
                <w:rPr>
                  <w:rFonts w:ascii="Arial" w:cs="Arial" w:eastAsia="Arial" w:hAnsi="Arial"/>
                  <w:sz w:val="14"/>
                  <w:szCs w:val="14"/>
                  <w:color w:val="0000FF"/>
                </w:rPr>
                <w:t xml:space="preserve">and </w:t>
              </w:r>
            </w:hyperlink>
            <w:r>
              <w:rPr>
                <w:rFonts w:ascii="Arial" w:cs="Arial" w:eastAsia="Arial" w:hAnsi="Arial"/>
                <w:sz w:val="14"/>
                <w:szCs w:val="14"/>
                <w:color w:val="0000FF"/>
              </w:rPr>
              <w:t>2020</w:t>
            </w:r>
          </w:p>
        </w:tc>
        <w:tc>
          <w:tcPr>
            <w:tcW w:w="4760" w:type="dxa"/>
            <w:vAlign w:val="bottom"/>
          </w:tcPr>
          <w:p>
            <w:pPr>
              <w:ind w:left="4560"/>
              <w:spacing w:after="0"/>
              <w:rPr>
                <w:rFonts w:ascii="Arial" w:cs="Arial" w:eastAsia="Arial" w:hAnsi="Arial"/>
                <w:sz w:val="14"/>
                <w:szCs w:val="14"/>
                <w:color w:val="auto"/>
                <w:w w:val="85"/>
              </w:rPr>
            </w:pPr>
            <w:r>
              <w:rPr>
                <w:rFonts w:ascii="Arial" w:cs="Arial" w:eastAsia="Arial" w:hAnsi="Arial"/>
                <w:sz w:val="14"/>
                <w:szCs w:val="14"/>
                <w:color w:val="auto"/>
                <w:w w:val="85"/>
              </w:rPr>
              <w:t>F-</w:t>
            </w:r>
            <w:hyperlink w:anchor="page94">
              <w:r>
                <w:rPr>
                  <w:rFonts w:ascii="Arial" w:cs="Arial" w:eastAsia="Arial" w:hAnsi="Arial"/>
                  <w:sz w:val="14"/>
                  <w:szCs w:val="14"/>
                  <w:color w:val="auto"/>
                  <w:w w:val="85"/>
                </w:rPr>
                <w:t>3</w:t>
              </w:r>
            </w:hyperlink>
          </w:p>
        </w:tc>
      </w:tr>
      <w:tr>
        <w:trPr>
          <w:trHeight w:val="97"/>
        </w:trPr>
        <w:tc>
          <w:tcPr>
            <w:tcW w:w="20" w:type="dxa"/>
            <w:vAlign w:val="bottom"/>
          </w:tcPr>
          <w:p>
            <w:pPr>
              <w:spacing w:after="0"/>
              <w:rPr>
                <w:sz w:val="8"/>
                <w:szCs w:val="8"/>
                <w:color w:val="auto"/>
              </w:rPr>
            </w:pPr>
          </w:p>
        </w:tc>
        <w:tc>
          <w:tcPr>
            <w:tcW w:w="2480" w:type="dxa"/>
            <w:vAlign w:val="bottom"/>
            <w:tcBorders>
              <w:top w:val="single" w:sz="8" w:color="0000FF"/>
            </w:tcBorders>
          </w:tcPr>
          <w:p>
            <w:pPr>
              <w:spacing w:after="0"/>
              <w:rPr>
                <w:sz w:val="8"/>
                <w:szCs w:val="8"/>
                <w:color w:val="auto"/>
              </w:rPr>
            </w:pPr>
          </w:p>
        </w:tc>
        <w:tc>
          <w:tcPr>
            <w:tcW w:w="1180" w:type="dxa"/>
            <w:vAlign w:val="bottom"/>
            <w:tcBorders>
              <w:top w:val="single" w:sz="8" w:color="0000FF"/>
            </w:tcBorders>
          </w:tcPr>
          <w:p>
            <w:pPr>
              <w:spacing w:after="0"/>
              <w:rPr>
                <w:sz w:val="8"/>
                <w:szCs w:val="8"/>
                <w:color w:val="auto"/>
              </w:rPr>
            </w:pPr>
          </w:p>
        </w:tc>
        <w:tc>
          <w:tcPr>
            <w:tcW w:w="4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760" w:type="dxa"/>
            <w:vAlign w:val="bottom"/>
          </w:tcPr>
          <w:p>
            <w:pPr>
              <w:spacing w:after="0"/>
              <w:rPr>
                <w:sz w:val="8"/>
                <w:szCs w:val="8"/>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6500" w:type="dxa"/>
            <w:vAlign w:val="bottom"/>
            <w:tcBorders>
              <w:bottom w:val="single" w:sz="8" w:color="0000FF"/>
            </w:tcBorders>
            <w:gridSpan w:val="6"/>
            <w:shd w:val="clear" w:color="auto" w:fill="CCEEFF"/>
          </w:tcPr>
          <w:p>
            <w:pPr>
              <w:spacing w:after="0"/>
              <w:rPr>
                <w:rFonts w:ascii="Arial" w:cs="Arial" w:eastAsia="Arial" w:hAnsi="Arial"/>
                <w:sz w:val="14"/>
                <w:szCs w:val="14"/>
                <w:color w:val="0000FF"/>
                <w:w w:val="89"/>
              </w:rPr>
            </w:pPr>
            <w:hyperlink w:anchor="page95">
              <w:r>
                <w:rPr>
                  <w:rFonts w:ascii="Arial" w:cs="Arial" w:eastAsia="Arial" w:hAnsi="Arial"/>
                  <w:sz w:val="14"/>
                  <w:szCs w:val="14"/>
                  <w:color w:val="0000FF"/>
                  <w:w w:val="89"/>
                </w:rPr>
                <w:t xml:space="preserve">Consolidated Statements of Operations and Comprehensive Loss for the years ended December 31, </w:t>
              </w:r>
            </w:hyperlink>
            <w:r>
              <w:rPr>
                <w:rFonts w:ascii="Arial" w:cs="Arial" w:eastAsia="Arial" w:hAnsi="Arial"/>
                <w:sz w:val="14"/>
                <w:szCs w:val="14"/>
                <w:color w:val="0000FF"/>
                <w:w w:val="89"/>
              </w:rPr>
              <w:t xml:space="preserve">2021 </w:t>
            </w:r>
            <w:hyperlink w:anchor="page95">
              <w:r>
                <w:rPr>
                  <w:rFonts w:ascii="Arial" w:cs="Arial" w:eastAsia="Arial" w:hAnsi="Arial"/>
                  <w:sz w:val="14"/>
                  <w:szCs w:val="14"/>
                  <w:color w:val="0000FF"/>
                  <w:w w:val="89"/>
                </w:rPr>
                <w:t xml:space="preserve">and </w:t>
              </w:r>
            </w:hyperlink>
            <w:r>
              <w:rPr>
                <w:rFonts w:ascii="Arial" w:cs="Arial" w:eastAsia="Arial" w:hAnsi="Arial"/>
                <w:sz w:val="14"/>
                <w:szCs w:val="14"/>
                <w:color w:val="0000FF"/>
                <w:w w:val="89"/>
              </w:rPr>
              <w:t>2020</w:t>
            </w:r>
          </w:p>
        </w:tc>
        <w:tc>
          <w:tcPr>
            <w:tcW w:w="4760" w:type="dxa"/>
            <w:vAlign w:val="bottom"/>
            <w:tcBorders>
              <w:bottom w:val="single" w:sz="8" w:color="CCEEFF"/>
            </w:tcBorders>
            <w:shd w:val="clear" w:color="auto" w:fill="CCEEFF"/>
          </w:tcPr>
          <w:p>
            <w:pPr>
              <w:ind w:left="4560"/>
              <w:spacing w:after="0"/>
              <w:rPr>
                <w:rFonts w:ascii="Arial" w:cs="Arial" w:eastAsia="Arial" w:hAnsi="Arial"/>
                <w:sz w:val="14"/>
                <w:szCs w:val="14"/>
                <w:color w:val="auto"/>
                <w:w w:val="85"/>
              </w:rPr>
            </w:pPr>
            <w:r>
              <w:rPr>
                <w:rFonts w:ascii="Arial" w:cs="Arial" w:eastAsia="Arial" w:hAnsi="Arial"/>
                <w:sz w:val="14"/>
                <w:szCs w:val="14"/>
                <w:color w:val="auto"/>
                <w:w w:val="85"/>
              </w:rPr>
              <w:t>F-</w:t>
            </w:r>
            <w:hyperlink w:anchor="page95">
              <w:r>
                <w:rPr>
                  <w:rFonts w:ascii="Arial" w:cs="Arial" w:eastAsia="Arial" w:hAnsi="Arial"/>
                  <w:sz w:val="14"/>
                  <w:szCs w:val="14"/>
                  <w:color w:val="auto"/>
                  <w:w w:val="85"/>
                </w:rPr>
                <w:t>4</w:t>
              </w:r>
            </w:hyperlink>
          </w:p>
        </w:tc>
      </w:tr>
      <w:tr>
        <w:trPr>
          <w:trHeight w:val="97"/>
        </w:trPr>
        <w:tc>
          <w:tcPr>
            <w:tcW w:w="20" w:type="dxa"/>
            <w:vAlign w:val="bottom"/>
            <w:shd w:val="clear" w:color="auto" w:fill="CCEEFF"/>
          </w:tcPr>
          <w:p>
            <w:pPr>
              <w:spacing w:after="0"/>
              <w:rPr>
                <w:sz w:val="8"/>
                <w:szCs w:val="8"/>
                <w:color w:val="auto"/>
              </w:rPr>
            </w:pPr>
          </w:p>
        </w:tc>
        <w:tc>
          <w:tcPr>
            <w:tcW w:w="24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760" w:type="dxa"/>
            <w:vAlign w:val="bottom"/>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6500" w:type="dxa"/>
            <w:vAlign w:val="bottom"/>
            <w:gridSpan w:val="6"/>
          </w:tcPr>
          <w:p>
            <w:pPr>
              <w:spacing w:after="0"/>
              <w:rPr>
                <w:rFonts w:ascii="Arial" w:cs="Arial" w:eastAsia="Arial" w:hAnsi="Arial"/>
                <w:sz w:val="14"/>
                <w:szCs w:val="14"/>
                <w:color w:val="0000FF"/>
                <w:w w:val="93"/>
              </w:rPr>
            </w:pPr>
            <w:hyperlink w:anchor="page96">
              <w:r>
                <w:rPr>
                  <w:rFonts w:ascii="Arial" w:cs="Arial" w:eastAsia="Arial" w:hAnsi="Arial"/>
                  <w:sz w:val="14"/>
                  <w:szCs w:val="14"/>
                  <w:color w:val="0000FF"/>
                  <w:w w:val="93"/>
                </w:rPr>
                <w:t xml:space="preserve">Consolidated Statements of Changes in Shareholders’ Equity for the years ended December 31, </w:t>
              </w:r>
            </w:hyperlink>
            <w:r>
              <w:rPr>
                <w:rFonts w:ascii="Arial" w:cs="Arial" w:eastAsia="Arial" w:hAnsi="Arial"/>
                <w:sz w:val="14"/>
                <w:szCs w:val="14"/>
                <w:color w:val="0000FF"/>
                <w:w w:val="93"/>
              </w:rPr>
              <w:t xml:space="preserve">2021 </w:t>
            </w:r>
            <w:hyperlink w:anchor="page96">
              <w:r>
                <w:rPr>
                  <w:rFonts w:ascii="Arial" w:cs="Arial" w:eastAsia="Arial" w:hAnsi="Arial"/>
                  <w:sz w:val="14"/>
                  <w:szCs w:val="14"/>
                  <w:color w:val="0000FF"/>
                  <w:w w:val="93"/>
                </w:rPr>
                <w:t xml:space="preserve">and </w:t>
              </w:r>
            </w:hyperlink>
            <w:r>
              <w:rPr>
                <w:rFonts w:ascii="Arial" w:cs="Arial" w:eastAsia="Arial" w:hAnsi="Arial"/>
                <w:sz w:val="14"/>
                <w:szCs w:val="14"/>
                <w:color w:val="0000FF"/>
                <w:w w:val="93"/>
              </w:rPr>
              <w:t>2020</w:t>
            </w:r>
          </w:p>
        </w:tc>
        <w:tc>
          <w:tcPr>
            <w:tcW w:w="4760" w:type="dxa"/>
            <w:vAlign w:val="bottom"/>
          </w:tcPr>
          <w:p>
            <w:pPr>
              <w:ind w:left="4560"/>
              <w:spacing w:after="0"/>
              <w:rPr>
                <w:rFonts w:ascii="Arial" w:cs="Arial" w:eastAsia="Arial" w:hAnsi="Arial"/>
                <w:sz w:val="14"/>
                <w:szCs w:val="14"/>
                <w:color w:val="auto"/>
                <w:w w:val="85"/>
              </w:rPr>
            </w:pPr>
            <w:r>
              <w:rPr>
                <w:rFonts w:ascii="Arial" w:cs="Arial" w:eastAsia="Arial" w:hAnsi="Arial"/>
                <w:sz w:val="14"/>
                <w:szCs w:val="14"/>
                <w:color w:val="auto"/>
                <w:w w:val="85"/>
              </w:rPr>
              <w:t>F-</w:t>
            </w:r>
            <w:hyperlink w:anchor="page96">
              <w:r>
                <w:rPr>
                  <w:rFonts w:ascii="Arial" w:cs="Arial" w:eastAsia="Arial" w:hAnsi="Arial"/>
                  <w:sz w:val="14"/>
                  <w:szCs w:val="14"/>
                  <w:color w:val="auto"/>
                  <w:w w:val="85"/>
                </w:rPr>
                <w:t>5</w:t>
              </w:r>
            </w:hyperlink>
          </w:p>
        </w:tc>
      </w:tr>
      <w:tr>
        <w:trPr>
          <w:trHeight w:val="97"/>
        </w:trPr>
        <w:tc>
          <w:tcPr>
            <w:tcW w:w="20" w:type="dxa"/>
            <w:vAlign w:val="bottom"/>
          </w:tcPr>
          <w:p>
            <w:pPr>
              <w:spacing w:after="0"/>
              <w:rPr>
                <w:sz w:val="8"/>
                <w:szCs w:val="8"/>
                <w:color w:val="auto"/>
              </w:rPr>
            </w:pPr>
          </w:p>
        </w:tc>
        <w:tc>
          <w:tcPr>
            <w:tcW w:w="2480" w:type="dxa"/>
            <w:vAlign w:val="bottom"/>
            <w:tcBorders>
              <w:top w:val="single" w:sz="8" w:color="0000FF"/>
            </w:tcBorders>
          </w:tcPr>
          <w:p>
            <w:pPr>
              <w:spacing w:after="0"/>
              <w:rPr>
                <w:sz w:val="8"/>
                <w:szCs w:val="8"/>
                <w:color w:val="auto"/>
              </w:rPr>
            </w:pPr>
          </w:p>
        </w:tc>
        <w:tc>
          <w:tcPr>
            <w:tcW w:w="1180" w:type="dxa"/>
            <w:vAlign w:val="bottom"/>
            <w:tcBorders>
              <w:top w:val="single" w:sz="8" w:color="0000FF"/>
            </w:tcBorders>
          </w:tcPr>
          <w:p>
            <w:pPr>
              <w:spacing w:after="0"/>
              <w:rPr>
                <w:sz w:val="8"/>
                <w:szCs w:val="8"/>
                <w:color w:val="auto"/>
              </w:rPr>
            </w:pPr>
          </w:p>
        </w:tc>
        <w:tc>
          <w:tcPr>
            <w:tcW w:w="440" w:type="dxa"/>
            <w:vAlign w:val="bottom"/>
            <w:tcBorders>
              <w:top w:val="single" w:sz="8" w:color="0000FF"/>
            </w:tcBorders>
          </w:tcPr>
          <w:p>
            <w:pPr>
              <w:spacing w:after="0"/>
              <w:rPr>
                <w:sz w:val="8"/>
                <w:szCs w:val="8"/>
                <w:color w:val="auto"/>
              </w:rPr>
            </w:pPr>
          </w:p>
        </w:tc>
        <w:tc>
          <w:tcPr>
            <w:tcW w:w="980" w:type="dxa"/>
            <w:vAlign w:val="bottom"/>
            <w:tcBorders>
              <w:top w:val="single" w:sz="8" w:color="0000FF"/>
            </w:tcBorders>
          </w:tcPr>
          <w:p>
            <w:pPr>
              <w:spacing w:after="0"/>
              <w:rPr>
                <w:sz w:val="8"/>
                <w:szCs w:val="8"/>
                <w:color w:val="auto"/>
              </w:rPr>
            </w:pPr>
          </w:p>
        </w:tc>
        <w:tc>
          <w:tcPr>
            <w:tcW w:w="1200" w:type="dxa"/>
            <w:vAlign w:val="bottom"/>
            <w:tcBorders>
              <w:top w:val="single" w:sz="8" w:color="0000FF"/>
            </w:tcBorders>
          </w:tcPr>
          <w:p>
            <w:pPr>
              <w:spacing w:after="0"/>
              <w:rPr>
                <w:sz w:val="8"/>
                <w:szCs w:val="8"/>
                <w:color w:val="auto"/>
              </w:rPr>
            </w:pPr>
          </w:p>
        </w:tc>
        <w:tc>
          <w:tcPr>
            <w:tcW w:w="220" w:type="dxa"/>
            <w:vAlign w:val="bottom"/>
          </w:tcPr>
          <w:p>
            <w:pPr>
              <w:spacing w:after="0"/>
              <w:rPr>
                <w:sz w:val="8"/>
                <w:szCs w:val="8"/>
                <w:color w:val="auto"/>
              </w:rPr>
            </w:pPr>
          </w:p>
        </w:tc>
        <w:tc>
          <w:tcPr>
            <w:tcW w:w="476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6500" w:type="dxa"/>
            <w:vAlign w:val="bottom"/>
            <w:gridSpan w:val="6"/>
            <w:shd w:val="clear" w:color="auto" w:fill="CCEEFF"/>
          </w:tcPr>
          <w:p>
            <w:pPr>
              <w:spacing w:after="0"/>
              <w:rPr>
                <w:rFonts w:ascii="Arial" w:cs="Arial" w:eastAsia="Arial" w:hAnsi="Arial"/>
                <w:sz w:val="14"/>
                <w:szCs w:val="14"/>
                <w:color w:val="0000FF"/>
              </w:rPr>
            </w:pPr>
            <w:hyperlink w:anchor="page97">
              <w:r>
                <w:rPr>
                  <w:rFonts w:ascii="Arial" w:cs="Arial" w:eastAsia="Arial" w:hAnsi="Arial"/>
                  <w:sz w:val="14"/>
                  <w:szCs w:val="14"/>
                  <w:color w:val="0000FF"/>
                </w:rPr>
                <w:t xml:space="preserve">Consolidated Statements of Cash Flows for the years ended December 31, </w:t>
              </w:r>
            </w:hyperlink>
            <w:r>
              <w:rPr>
                <w:rFonts w:ascii="Arial" w:cs="Arial" w:eastAsia="Arial" w:hAnsi="Arial"/>
                <w:sz w:val="14"/>
                <w:szCs w:val="14"/>
                <w:color w:val="0000FF"/>
              </w:rPr>
              <w:t xml:space="preserve">2021 </w:t>
            </w:r>
            <w:hyperlink w:anchor="page97">
              <w:r>
                <w:rPr>
                  <w:rFonts w:ascii="Arial" w:cs="Arial" w:eastAsia="Arial" w:hAnsi="Arial"/>
                  <w:sz w:val="14"/>
                  <w:szCs w:val="14"/>
                  <w:color w:val="0000FF"/>
                </w:rPr>
                <w:t xml:space="preserve">and </w:t>
              </w:r>
            </w:hyperlink>
            <w:r>
              <w:rPr>
                <w:rFonts w:ascii="Arial" w:cs="Arial" w:eastAsia="Arial" w:hAnsi="Arial"/>
                <w:sz w:val="14"/>
                <w:szCs w:val="14"/>
                <w:color w:val="0000FF"/>
              </w:rPr>
              <w:t>2020</w:t>
            </w:r>
          </w:p>
        </w:tc>
        <w:tc>
          <w:tcPr>
            <w:tcW w:w="4760" w:type="dxa"/>
            <w:vAlign w:val="bottom"/>
            <w:shd w:val="clear" w:color="auto" w:fill="CCEEFF"/>
          </w:tcPr>
          <w:p>
            <w:pPr>
              <w:ind w:left="4560"/>
              <w:spacing w:after="0"/>
              <w:rPr>
                <w:rFonts w:ascii="Arial" w:cs="Arial" w:eastAsia="Arial" w:hAnsi="Arial"/>
                <w:sz w:val="14"/>
                <w:szCs w:val="14"/>
                <w:color w:val="auto"/>
                <w:w w:val="85"/>
              </w:rPr>
            </w:pPr>
            <w:r>
              <w:rPr>
                <w:rFonts w:ascii="Arial" w:cs="Arial" w:eastAsia="Arial" w:hAnsi="Arial"/>
                <w:sz w:val="14"/>
                <w:szCs w:val="14"/>
                <w:color w:val="auto"/>
                <w:w w:val="85"/>
              </w:rPr>
              <w:t>F-</w:t>
            </w:r>
            <w:hyperlink w:anchor="page97">
              <w:r>
                <w:rPr>
                  <w:rFonts w:ascii="Arial" w:cs="Arial" w:eastAsia="Arial" w:hAnsi="Arial"/>
                  <w:sz w:val="14"/>
                  <w:szCs w:val="14"/>
                  <w:color w:val="auto"/>
                  <w:w w:val="85"/>
                </w:rPr>
                <w:t>6</w:t>
              </w:r>
            </w:hyperlink>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2480" w:type="dxa"/>
            <w:vAlign w:val="bottom"/>
            <w:tcBorders>
              <w:top w:val="single" w:sz="8" w:color="0000FF"/>
            </w:tcBorders>
            <w:shd w:val="clear" w:color="auto" w:fill="CCEEFF"/>
          </w:tcPr>
          <w:p>
            <w:pPr>
              <w:spacing w:after="0"/>
              <w:rPr>
                <w:sz w:val="8"/>
                <w:szCs w:val="8"/>
                <w:color w:val="auto"/>
              </w:rPr>
            </w:pPr>
          </w:p>
        </w:tc>
        <w:tc>
          <w:tcPr>
            <w:tcW w:w="118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980" w:type="dxa"/>
            <w:vAlign w:val="bottom"/>
            <w:tcBorders>
              <w:top w:val="single" w:sz="8" w:color="0000FF"/>
            </w:tcBorders>
            <w:shd w:val="clear" w:color="auto" w:fill="CCEEFF"/>
          </w:tcPr>
          <w:p>
            <w:pPr>
              <w:spacing w:after="0"/>
              <w:rPr>
                <w:sz w:val="8"/>
                <w:szCs w:val="8"/>
                <w:color w:val="auto"/>
              </w:rPr>
            </w:pPr>
          </w:p>
        </w:tc>
        <w:tc>
          <w:tcPr>
            <w:tcW w:w="12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76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2480" w:type="dxa"/>
            <w:vAlign w:val="bottom"/>
            <w:tcBorders>
              <w:bottom w:val="single" w:sz="8" w:color="0000FF"/>
            </w:tcBorders>
          </w:tcPr>
          <w:p>
            <w:pPr>
              <w:spacing w:after="0"/>
              <w:rPr>
                <w:rFonts w:ascii="Arial" w:cs="Arial" w:eastAsia="Arial" w:hAnsi="Arial"/>
                <w:sz w:val="14"/>
                <w:szCs w:val="14"/>
                <w:color w:val="0000FF"/>
                <w:w w:val="90"/>
              </w:rPr>
            </w:pPr>
            <w:hyperlink w:anchor="page98">
              <w:r>
                <w:rPr>
                  <w:rFonts w:ascii="Arial" w:cs="Arial" w:eastAsia="Arial" w:hAnsi="Arial"/>
                  <w:sz w:val="14"/>
                  <w:szCs w:val="14"/>
                  <w:color w:val="0000FF"/>
                  <w:w w:val="90"/>
                </w:rPr>
                <w:t>Notes to Consolidated Financial Statements</w:t>
              </w:r>
            </w:hyperlink>
          </w:p>
        </w:tc>
        <w:tc>
          <w:tcPr>
            <w:tcW w:w="4020" w:type="dxa"/>
            <w:vAlign w:val="bottom"/>
            <w:gridSpan w:val="5"/>
          </w:tcPr>
          <w:p>
            <w:pPr>
              <w:spacing w:after="0"/>
              <w:rPr>
                <w:sz w:val="20"/>
                <w:szCs w:val="20"/>
                <w:color w:val="auto"/>
              </w:rPr>
            </w:pPr>
          </w:p>
        </w:tc>
        <w:tc>
          <w:tcPr>
            <w:tcW w:w="4760" w:type="dxa"/>
            <w:vAlign w:val="bottom"/>
          </w:tcPr>
          <w:p>
            <w:pPr>
              <w:ind w:left="4560"/>
              <w:spacing w:after="0"/>
              <w:rPr>
                <w:rFonts w:ascii="Arial" w:cs="Arial" w:eastAsia="Arial" w:hAnsi="Arial"/>
                <w:sz w:val="14"/>
                <w:szCs w:val="14"/>
                <w:color w:val="auto"/>
                <w:w w:val="85"/>
              </w:rPr>
            </w:pPr>
            <w:r>
              <w:rPr>
                <w:rFonts w:ascii="Arial" w:cs="Arial" w:eastAsia="Arial" w:hAnsi="Arial"/>
                <w:sz w:val="14"/>
                <w:szCs w:val="14"/>
                <w:color w:val="auto"/>
                <w:w w:val="85"/>
              </w:rPr>
              <w:t>F-</w:t>
            </w:r>
            <w:hyperlink w:anchor="page98">
              <w:r>
                <w:rPr>
                  <w:rFonts w:ascii="Arial" w:cs="Arial" w:eastAsia="Arial" w:hAnsi="Arial"/>
                  <w:sz w:val="14"/>
                  <w:szCs w:val="14"/>
                  <w:color w:val="auto"/>
                  <w:w w:val="85"/>
                </w:rPr>
                <w:t>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93" w:name="page94"/>
    <w:bookmarkEnd w:id="93"/>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Shareholders of Verona Pharma Plc</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3"/>
          <w:szCs w:val="13"/>
          <w:color w:val="auto"/>
        </w:rPr>
        <w:t>We have audited the accompanying consolidated balance sheets of Verona Pharma plc and its subsidiary (the “Company”) as of December 31, 2021 and 2020, and the related consolidated statements of operations and comprehensive loss, of shareholders’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93" w:lineRule="exact"/>
        <w:rPr>
          <w:sz w:val="20"/>
          <w:szCs w:val="20"/>
          <w:color w:val="auto"/>
        </w:rPr>
      </w:pPr>
    </w:p>
    <w:p>
      <w:pPr>
        <w:ind w:right="20"/>
        <w:spacing w:after="0" w:line="262" w:lineRule="auto"/>
        <w:rPr>
          <w:sz w:val="20"/>
          <w:szCs w:val="20"/>
          <w:color w:val="auto"/>
        </w:rPr>
      </w:pPr>
      <w:r>
        <w:rPr>
          <w:rFonts w:ascii="Arial" w:cs="Arial" w:eastAsia="Arial" w:hAnsi="Arial"/>
          <w:sz w:val="13"/>
          <w:szCs w:val="13"/>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spacing w:after="0" w:line="288" w:lineRule="auto"/>
        <w:rPr>
          <w:sz w:val="20"/>
          <w:szCs w:val="20"/>
          <w:color w:val="auto"/>
        </w:rPr>
      </w:pPr>
      <w:r>
        <w:rPr>
          <w:rFonts w:ascii="Arial" w:cs="Arial" w:eastAsia="Arial" w:hAnsi="Arial"/>
          <w:sz w:val="13"/>
          <w:szCs w:val="13"/>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2"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Emphasis of Matter</w:t>
      </w:r>
    </w:p>
    <w:p>
      <w:pPr>
        <w:spacing w:after="0" w:line="204"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As discussed in Note 1 to the consolidated financial statements, the Company will require additional financing to fund future operations. Management’s plans in regard to this matter are described in Note 1.</w:t>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Reading,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March 3, 2022</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4" w:name="page95"/>
    <w:bookmarkEnd w:id="94"/>
    <w:p>
      <w:pPr>
        <w:jc w:val="center"/>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amounts and par value of shares)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4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2021</w:t>
            </w:r>
          </w:p>
        </w:tc>
        <w:tc>
          <w:tcPr>
            <w:tcW w:w="1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70"/>
        </w:trPr>
        <w:tc>
          <w:tcPr>
            <w:tcW w:w="8400" w:type="dxa"/>
            <w:vAlign w:val="bottom"/>
            <w:shd w:val="clear" w:color="auto" w:fill="CCEEFF"/>
          </w:tcPr>
          <w:p>
            <w:pPr>
              <w:ind w:left="5380"/>
              <w:spacing w:after="0"/>
              <w:rPr>
                <w:sz w:val="20"/>
                <w:szCs w:val="20"/>
                <w:color w:val="auto"/>
              </w:rPr>
            </w:pPr>
            <w:r>
              <w:rPr>
                <w:rFonts w:ascii="Arial" w:cs="Arial" w:eastAsia="Arial" w:hAnsi="Arial"/>
                <w:sz w:val="14"/>
                <w:szCs w:val="14"/>
                <w:b w:val="1"/>
                <w:bCs w:val="1"/>
                <w:color w:val="auto"/>
              </w:rPr>
              <w:t>ASSETS</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148,380</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187,986</w:t>
            </w: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Prepaid expenses</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4,037</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4,538</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 incentive receivables</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15,583</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8,260</w:t>
            </w: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current assets</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2,063</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1,720</w:t>
            </w:r>
          </w:p>
        </w:tc>
        <w:tc>
          <w:tcPr>
            <w:tcW w:w="0" w:type="dxa"/>
            <w:vAlign w:val="bottom"/>
          </w:tcPr>
          <w:p>
            <w:pPr>
              <w:spacing w:after="0"/>
              <w:rPr>
                <w:sz w:val="1"/>
                <w:szCs w:val="1"/>
                <w:color w:val="auto"/>
              </w:rPr>
            </w:pPr>
          </w:p>
        </w:tc>
      </w:tr>
      <w:tr>
        <w:trPr>
          <w:trHeight w:val="171"/>
        </w:trPr>
        <w:tc>
          <w:tcPr>
            <w:tcW w:w="840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Total current assets</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170,063</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202,504</w:t>
            </w:r>
          </w:p>
        </w:tc>
        <w:tc>
          <w:tcPr>
            <w:tcW w:w="0" w:type="dxa"/>
            <w:vAlign w:val="bottom"/>
          </w:tcPr>
          <w:p>
            <w:pPr>
              <w:spacing w:after="0"/>
              <w:rPr>
                <w:sz w:val="1"/>
                <w:szCs w:val="1"/>
                <w:color w:val="auto"/>
              </w:rPr>
            </w:pPr>
          </w:p>
        </w:tc>
      </w:tr>
      <w:tr>
        <w:trPr>
          <w:trHeight w:val="127"/>
        </w:trPr>
        <w:tc>
          <w:tcPr>
            <w:tcW w:w="8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assets:</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Furniture and equipment, net</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Goodwill</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Equity interest</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15,000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Right-of-use assets</w:t>
            </w: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171"/>
        </w:trPr>
        <w:tc>
          <w:tcPr>
            <w:tcW w:w="8400" w:type="dxa"/>
            <w:vAlign w:val="bottom"/>
            <w:tcBorders>
              <w:bottom w:val="single" w:sz="8" w:color="CCEEFF"/>
            </w:tcBorders>
          </w:tcPr>
          <w:p>
            <w:pPr>
              <w:ind w:left="280"/>
              <w:spacing w:after="0"/>
              <w:rPr>
                <w:sz w:val="20"/>
                <w:szCs w:val="20"/>
                <w:color w:val="auto"/>
              </w:rPr>
            </w:pPr>
            <w:r>
              <w:rPr>
                <w:rFonts w:ascii="Arial" w:cs="Arial" w:eastAsia="Arial" w:hAnsi="Arial"/>
                <w:sz w:val="14"/>
                <w:szCs w:val="14"/>
                <w:b w:val="1"/>
                <w:bCs w:val="1"/>
                <w:color w:val="auto"/>
              </w:rPr>
              <w:t>Total non-current assets:</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16,524</w:t>
            </w: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1,702</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assets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186,587</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204,206</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8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4100"/>
              <w:spacing w:after="0"/>
              <w:rPr>
                <w:sz w:val="20"/>
                <w:szCs w:val="20"/>
                <w:color w:val="auto"/>
              </w:rPr>
            </w:pPr>
            <w:r>
              <w:rPr>
                <w:rFonts w:ascii="Arial" w:cs="Arial" w:eastAsia="Arial" w:hAnsi="Arial"/>
                <w:sz w:val="14"/>
                <w:szCs w:val="14"/>
                <w:b w:val="1"/>
                <w:bCs w:val="1"/>
                <w:color w:val="auto"/>
              </w:rPr>
              <w:t>LIABILITIES AND SHAREHOLDERS’ EQUITY</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10,044</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Accrued expenses</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22,256</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10,863</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Operating lease liability</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w:t>
            </w: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Warrants</w:t>
            </w:r>
          </w:p>
        </w:tc>
        <w:tc>
          <w:tcPr>
            <w:tcW w:w="3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2,246</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Taxes payable</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current liabilities</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71"/>
        </w:trPr>
        <w:tc>
          <w:tcPr>
            <w:tcW w:w="840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Total current liabilities</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33,422</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14,203</w:t>
            </w:r>
          </w:p>
        </w:tc>
        <w:tc>
          <w:tcPr>
            <w:tcW w:w="0" w:type="dxa"/>
            <w:vAlign w:val="bottom"/>
          </w:tcPr>
          <w:p>
            <w:pPr>
              <w:spacing w:after="0"/>
              <w:rPr>
                <w:sz w:val="1"/>
                <w:szCs w:val="1"/>
                <w:color w:val="auto"/>
              </w:rPr>
            </w:pPr>
          </w:p>
        </w:tc>
      </w:tr>
      <w:tr>
        <w:trPr>
          <w:trHeight w:val="127"/>
        </w:trPr>
        <w:tc>
          <w:tcPr>
            <w:tcW w:w="8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Term loan</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4,874</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4,635</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Operating lease liability</w:t>
            </w: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71"/>
        </w:trPr>
        <w:tc>
          <w:tcPr>
            <w:tcW w:w="8400" w:type="dxa"/>
            <w:vAlign w:val="bottom"/>
            <w:tcBorders>
              <w:bottom w:val="single" w:sz="8" w:color="CCEEFF"/>
            </w:tcBorders>
          </w:tcPr>
          <w:p>
            <w:pPr>
              <w:ind w:left="280"/>
              <w:spacing w:after="0"/>
              <w:rPr>
                <w:sz w:val="20"/>
                <w:szCs w:val="20"/>
                <w:color w:val="auto"/>
              </w:rPr>
            </w:pPr>
            <w:r>
              <w:rPr>
                <w:rFonts w:ascii="Arial" w:cs="Arial" w:eastAsia="Arial" w:hAnsi="Arial"/>
                <w:sz w:val="14"/>
                <w:szCs w:val="14"/>
                <w:b w:val="1"/>
                <w:bCs w:val="1"/>
                <w:color w:val="auto"/>
              </w:rPr>
              <w:t>Total non-current liabilities</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5,160</w:t>
            </w: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5,149</w:t>
            </w:r>
          </w:p>
        </w:tc>
        <w:tc>
          <w:tcPr>
            <w:tcW w:w="0" w:type="dxa"/>
            <w:vAlign w:val="bottom"/>
          </w:tcPr>
          <w:p>
            <w:pPr>
              <w:spacing w:after="0"/>
              <w:rPr>
                <w:sz w:val="1"/>
                <w:szCs w:val="1"/>
                <w:color w:val="auto"/>
              </w:rPr>
            </w:pPr>
          </w:p>
        </w:tc>
      </w:tr>
      <w:tr>
        <w:trPr>
          <w:trHeight w:val="171"/>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Total liabilities</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38,582</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19,352</w:t>
            </w:r>
          </w:p>
        </w:tc>
        <w:tc>
          <w:tcPr>
            <w:tcW w:w="0" w:type="dxa"/>
            <w:vAlign w:val="bottom"/>
          </w:tcPr>
          <w:p>
            <w:pPr>
              <w:spacing w:after="0"/>
              <w:rPr>
                <w:sz w:val="1"/>
                <w:szCs w:val="1"/>
                <w:color w:val="auto"/>
              </w:rPr>
            </w:pPr>
          </w:p>
        </w:tc>
      </w:tr>
      <w:tr>
        <w:trPr>
          <w:trHeight w:val="127"/>
        </w:trPr>
        <w:tc>
          <w:tcPr>
            <w:tcW w:w="8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Commitments and contingencies</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8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Shareholders' equity</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400" w:type="dxa"/>
            <w:vAlign w:val="bottom"/>
          </w:tcPr>
          <w:p>
            <w:pPr>
              <w:ind w:left="180"/>
              <w:spacing w:after="0"/>
              <w:rPr>
                <w:sz w:val="20"/>
                <w:szCs w:val="20"/>
                <w:color w:val="auto"/>
              </w:rPr>
            </w:pPr>
            <w:r>
              <w:rPr>
                <w:rFonts w:ascii="Arial" w:cs="Arial" w:eastAsia="Arial" w:hAnsi="Arial"/>
                <w:sz w:val="14"/>
                <w:szCs w:val="14"/>
                <w:color w:val="auto"/>
                <w:w w:val="92"/>
              </w:rPr>
              <w:t>Ordinary £0.05 par value shares: 489,177,550 and 488,304,446 issued, and 480,082,966 and 463,304,446 outstanding, at December 31, 2021</w:t>
            </w:r>
          </w:p>
        </w:tc>
        <w:tc>
          <w:tcPr>
            <w:tcW w:w="34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31,855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31,794</w:t>
            </w:r>
          </w:p>
        </w:tc>
        <w:tc>
          <w:tcPr>
            <w:tcW w:w="0" w:type="dxa"/>
            <w:vAlign w:val="bottom"/>
          </w:tcPr>
          <w:p>
            <w:pPr>
              <w:spacing w:after="0"/>
              <w:rPr>
                <w:sz w:val="1"/>
                <w:szCs w:val="1"/>
                <w:color w:val="auto"/>
              </w:rPr>
            </w:pPr>
          </w:p>
        </w:tc>
      </w:tr>
      <w:tr>
        <w:trPr>
          <w:trHeight w:val="106"/>
        </w:trPr>
        <w:tc>
          <w:tcPr>
            <w:tcW w:w="8400" w:type="dxa"/>
            <w:vAlign w:val="bottom"/>
            <w:vMerge w:val="restart"/>
          </w:tcPr>
          <w:p>
            <w:pPr>
              <w:ind w:left="180"/>
              <w:spacing w:after="0"/>
              <w:rPr>
                <w:sz w:val="20"/>
                <w:szCs w:val="20"/>
                <w:color w:val="auto"/>
              </w:rPr>
            </w:pPr>
            <w:r>
              <w:rPr>
                <w:rFonts w:ascii="Arial" w:cs="Arial" w:eastAsia="Arial" w:hAnsi="Arial"/>
                <w:sz w:val="14"/>
                <w:szCs w:val="14"/>
                <w:color w:val="auto"/>
              </w:rPr>
              <w:t>and 2020, respectively</w:t>
            </w:r>
          </w:p>
        </w:tc>
        <w:tc>
          <w:tcPr>
            <w:tcW w:w="3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84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8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385,070</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366,411</w:t>
            </w: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Ordinary shares held in treasury</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(1,700)</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(4,601)</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(4,601)</w:t>
            </w: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Accumulated deficit</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(263,716)</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(207,050)</w:t>
            </w:r>
          </w:p>
        </w:tc>
        <w:tc>
          <w:tcPr>
            <w:tcW w:w="0" w:type="dxa"/>
            <w:vAlign w:val="bottom"/>
          </w:tcPr>
          <w:p>
            <w:pPr>
              <w:spacing w:after="0"/>
              <w:rPr>
                <w:sz w:val="1"/>
                <w:szCs w:val="1"/>
                <w:color w:val="auto"/>
              </w:rPr>
            </w:pPr>
          </w:p>
        </w:tc>
      </w:tr>
      <w:tr>
        <w:trPr>
          <w:trHeight w:val="171"/>
        </w:trPr>
        <w:tc>
          <w:tcPr>
            <w:tcW w:w="840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Total shareholders' equity</w:t>
            </w: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148,005</w:t>
            </w:r>
          </w:p>
        </w:tc>
        <w:tc>
          <w:tcPr>
            <w:tcW w:w="12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184,854</w:t>
            </w:r>
          </w:p>
        </w:tc>
        <w:tc>
          <w:tcPr>
            <w:tcW w:w="0" w:type="dxa"/>
            <w:vAlign w:val="bottom"/>
          </w:tcPr>
          <w:p>
            <w:pPr>
              <w:spacing w:after="0"/>
              <w:rPr>
                <w:sz w:val="1"/>
                <w:szCs w:val="1"/>
                <w:color w:val="auto"/>
              </w:rPr>
            </w:pPr>
          </w:p>
        </w:tc>
      </w:tr>
      <w:tr>
        <w:trPr>
          <w:trHeight w:val="171"/>
        </w:trPr>
        <w:tc>
          <w:tcPr>
            <w:tcW w:w="8400" w:type="dxa"/>
            <w:vAlign w:val="bottom"/>
          </w:tcPr>
          <w:p>
            <w:pPr>
              <w:ind w:left="360"/>
              <w:spacing w:after="0"/>
              <w:rPr>
                <w:sz w:val="20"/>
                <w:szCs w:val="20"/>
                <w:color w:val="auto"/>
              </w:rPr>
            </w:pPr>
            <w:r>
              <w:rPr>
                <w:rFonts w:ascii="Arial" w:cs="Arial" w:eastAsia="Arial" w:hAnsi="Arial"/>
                <w:sz w:val="14"/>
                <w:szCs w:val="14"/>
                <w:b w:val="1"/>
                <w:bCs w:val="1"/>
                <w:color w:val="auto"/>
              </w:rPr>
              <w:t>Total liabilities and shareholders' equity</w:t>
            </w: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186,587</w:t>
            </w:r>
          </w:p>
        </w:tc>
        <w:tc>
          <w:tcPr>
            <w:tcW w:w="12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204,206</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jc w:val="center"/>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4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w w:val="89"/>
              </w:rPr>
              <w:t>2020</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Revenue</w:t>
            </w:r>
          </w:p>
        </w:tc>
        <w:tc>
          <w:tcPr>
            <w:tcW w:w="820" w:type="dxa"/>
            <w:vAlign w:val="bottom"/>
            <w:shd w:val="clear" w:color="auto" w:fill="CCEEFF"/>
          </w:tcPr>
          <w:p>
            <w:pPr>
              <w:jc w:val="right"/>
              <w:ind w:right="673"/>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 and development</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79,406</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44,505</w:t>
            </w: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Selling, general and administrative</w:t>
            </w: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33,907</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29,772</w:t>
            </w:r>
          </w:p>
        </w:tc>
        <w:tc>
          <w:tcPr>
            <w:tcW w:w="0" w:type="dxa"/>
            <w:vAlign w:val="bottom"/>
          </w:tcPr>
          <w:p>
            <w:pPr>
              <w:spacing w:after="0"/>
              <w:rPr>
                <w:sz w:val="1"/>
                <w:szCs w:val="1"/>
                <w:color w:val="auto"/>
              </w:rPr>
            </w:pPr>
          </w:p>
        </w:tc>
      </w:tr>
      <w:tr>
        <w:trPr>
          <w:trHeight w:val="17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8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113,313</w:t>
            </w:r>
          </w:p>
        </w:tc>
        <w:tc>
          <w:tcPr>
            <w:tcW w:w="12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74,277</w:t>
            </w:r>
          </w:p>
        </w:tc>
        <w:tc>
          <w:tcPr>
            <w:tcW w:w="0" w:type="dxa"/>
            <w:vAlign w:val="bottom"/>
          </w:tcPr>
          <w:p>
            <w:pPr>
              <w:spacing w:after="0"/>
              <w:rPr>
                <w:sz w:val="1"/>
                <w:szCs w:val="1"/>
                <w:color w:val="auto"/>
              </w:rPr>
            </w:pPr>
          </w:p>
        </w:tc>
      </w:tr>
      <w:tr>
        <w:trPr>
          <w:trHeight w:val="171"/>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Operating loss</w:t>
            </w:r>
          </w:p>
        </w:tc>
        <w:tc>
          <w:tcPr>
            <w:tcW w:w="8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(73,313)</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(74,277)</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income/(expense):</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Research and development tax credit</w:t>
            </w: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15,630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8,267</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income</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Fair value movement on warrants</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2,246</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w:t>
            </w: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Foreign exchange gain</w:t>
            </w: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2,060</w:t>
            </w:r>
          </w:p>
        </w:tc>
        <w:tc>
          <w:tcPr>
            <w:tcW w:w="0" w:type="dxa"/>
            <w:vAlign w:val="bottom"/>
          </w:tcPr>
          <w:p>
            <w:pPr>
              <w:spacing w:after="0"/>
              <w:rPr>
                <w:sz w:val="1"/>
                <w:szCs w:val="1"/>
                <w:color w:val="auto"/>
              </w:rPr>
            </w:pPr>
          </w:p>
        </w:tc>
      </w:tr>
      <w:tr>
        <w:trPr>
          <w:trHeight w:val="17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income, net</w:t>
            </w:r>
          </w:p>
        </w:tc>
        <w:tc>
          <w:tcPr>
            <w:tcW w:w="8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17,726</w:t>
            </w:r>
          </w:p>
        </w:tc>
        <w:tc>
          <w:tcPr>
            <w:tcW w:w="12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9,277</w:t>
            </w:r>
          </w:p>
        </w:tc>
        <w:tc>
          <w:tcPr>
            <w:tcW w:w="0" w:type="dxa"/>
            <w:vAlign w:val="bottom"/>
          </w:tcPr>
          <w:p>
            <w:pPr>
              <w:spacing w:after="0"/>
              <w:rPr>
                <w:sz w:val="1"/>
                <w:szCs w:val="1"/>
                <w:color w:val="auto"/>
              </w:rPr>
            </w:pPr>
          </w:p>
        </w:tc>
      </w:tr>
      <w:tr>
        <w:trPr>
          <w:trHeight w:val="171"/>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8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(55,587)</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(65,000)</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 income/(expense)</w:t>
            </w:r>
          </w:p>
        </w:tc>
        <w:tc>
          <w:tcPr>
            <w:tcW w:w="8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71"/>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Net loss</w:t>
            </w:r>
          </w:p>
        </w:tc>
        <w:tc>
          <w:tcPr>
            <w:tcW w:w="8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(55,569)</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(65,146)</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comprehensive loss:</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8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(2,321)</w:t>
            </w:r>
          </w:p>
        </w:tc>
        <w:tc>
          <w:tcPr>
            <w:tcW w:w="0" w:type="dxa"/>
            <w:vAlign w:val="bottom"/>
          </w:tcPr>
          <w:p>
            <w:pPr>
              <w:spacing w:after="0"/>
              <w:rPr>
                <w:sz w:val="1"/>
                <w:szCs w:val="1"/>
                <w:color w:val="auto"/>
              </w:rPr>
            </w:pPr>
          </w:p>
        </w:tc>
      </w:tr>
      <w:tr>
        <w:trPr>
          <w:trHeight w:val="196"/>
        </w:trPr>
        <w:tc>
          <w:tcPr>
            <w:tcW w:w="8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comprehensive loss attributable to shareholders of the Company</w:t>
            </w:r>
          </w:p>
        </w:tc>
        <w:tc>
          <w:tcPr>
            <w:tcW w:w="82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(55,569)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(67,467)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rPr>
              <w:t>Loss per ordinary share — basic and diluted</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00" w:type="dxa"/>
            <w:vAlign w:val="bottom"/>
            <w:vMerge w:val="continue"/>
          </w:tcPr>
          <w:p>
            <w:pPr>
              <w:spacing w:after="0"/>
              <w:rPr>
                <w:sz w:val="12"/>
                <w:szCs w:val="12"/>
                <w:color w:val="auto"/>
              </w:rPr>
            </w:pPr>
          </w:p>
        </w:tc>
        <w:tc>
          <w:tcPr>
            <w:tcW w:w="820" w:type="dxa"/>
            <w:vAlign w:val="bottom"/>
            <w:tcBorders>
              <w:bottom w:val="single" w:sz="8" w:color="auto"/>
            </w:tcBorders>
          </w:tcPr>
          <w:p>
            <w:pPr>
              <w:jc w:val="right"/>
              <w:ind w:right="673"/>
              <w:spacing w:after="0" w:line="143"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(0.12)</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ind w:right="409"/>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jc w:val="center"/>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80" w:type="dxa"/>
            <w:vAlign w:val="bottom"/>
          </w:tcPr>
          <w:p>
            <w:pPr>
              <w:spacing w:after="0"/>
              <w:rPr>
                <w:sz w:val="13"/>
                <w:szCs w:val="13"/>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Ordinary shares</w:t>
            </w: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6"/>
              </w:rPr>
              <w:t>Additional paid-in</w:t>
            </w:r>
          </w:p>
        </w:tc>
        <w:tc>
          <w:tcPr>
            <w:tcW w:w="11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99"/>
              </w:rPr>
              <w:t>Ordinary shares held</w:t>
            </w:r>
          </w:p>
        </w:tc>
        <w:tc>
          <w:tcPr>
            <w:tcW w:w="12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Accumulated other</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ind w:right="111"/>
              <w:spacing w:after="0"/>
              <w:rPr>
                <w:sz w:val="20"/>
                <w:szCs w:val="20"/>
                <w:color w:val="auto"/>
              </w:rPr>
            </w:pPr>
            <w:r>
              <w:rPr>
                <w:rFonts w:ascii="Arial" w:cs="Arial" w:eastAsia="Arial" w:hAnsi="Arial"/>
                <w:sz w:val="11"/>
                <w:szCs w:val="11"/>
                <w:b w:val="1"/>
                <w:bCs w:val="1"/>
                <w:color w:val="auto"/>
                <w:w w:val="92"/>
              </w:rPr>
              <w:t>Total shareholders'</w:t>
            </w:r>
          </w:p>
        </w:tc>
        <w:tc>
          <w:tcPr>
            <w:tcW w:w="0" w:type="dxa"/>
            <w:vAlign w:val="bottom"/>
          </w:tcPr>
          <w:p>
            <w:pPr>
              <w:spacing w:after="0"/>
              <w:rPr>
                <w:sz w:val="1"/>
                <w:szCs w:val="1"/>
                <w:color w:val="auto"/>
              </w:rPr>
            </w:pPr>
          </w:p>
        </w:tc>
      </w:tr>
      <w:tr>
        <w:trPr>
          <w:trHeight w:val="68"/>
        </w:trPr>
        <w:tc>
          <w:tcPr>
            <w:tcW w:w="24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480" w:type="dxa"/>
            <w:vAlign w:val="bottom"/>
          </w:tcPr>
          <w:p>
            <w:pPr>
              <w:spacing w:after="0"/>
              <w:rPr>
                <w:sz w:val="13"/>
                <w:szCs w:val="13"/>
                <w:color w:val="auto"/>
              </w:rPr>
            </w:pPr>
          </w:p>
        </w:tc>
        <w:tc>
          <w:tcPr>
            <w:tcW w:w="1380" w:type="dxa"/>
            <w:vAlign w:val="bottom"/>
            <w:gridSpan w:val="2"/>
          </w:tcPr>
          <w:p>
            <w:pPr>
              <w:ind w:left="440"/>
              <w:spacing w:after="0"/>
              <w:rPr>
                <w:sz w:val="20"/>
                <w:szCs w:val="20"/>
                <w:color w:val="auto"/>
              </w:rPr>
            </w:pPr>
            <w:r>
              <w:rPr>
                <w:rFonts w:ascii="Arial" w:cs="Arial" w:eastAsia="Arial" w:hAnsi="Arial"/>
                <w:sz w:val="11"/>
                <w:szCs w:val="11"/>
                <w:b w:val="1"/>
                <w:bCs w:val="1"/>
                <w:color w:val="auto"/>
              </w:rPr>
              <w:t>Number</w:t>
            </w:r>
          </w:p>
        </w:tc>
        <w:tc>
          <w:tcPr>
            <w:tcW w:w="34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7"/>
              </w:rPr>
              <w:t>capital</w:t>
            </w:r>
          </w:p>
        </w:tc>
        <w:tc>
          <w:tcPr>
            <w:tcW w:w="160" w:type="dxa"/>
            <w:vAlign w:val="bottom"/>
          </w:tcPr>
          <w:p>
            <w:pPr>
              <w:spacing w:after="0"/>
              <w:rPr>
                <w:sz w:val="13"/>
                <w:szCs w:val="13"/>
                <w:color w:val="auto"/>
              </w:rPr>
            </w:pPr>
          </w:p>
        </w:tc>
        <w:tc>
          <w:tcPr>
            <w:tcW w:w="980" w:type="dxa"/>
            <w:vAlign w:val="bottom"/>
            <w:gridSpan w:val="2"/>
          </w:tcPr>
          <w:p>
            <w:pPr>
              <w:ind w:left="100"/>
              <w:spacing w:after="0"/>
              <w:rPr>
                <w:sz w:val="20"/>
                <w:szCs w:val="20"/>
                <w:color w:val="auto"/>
              </w:rPr>
            </w:pPr>
            <w:r>
              <w:rPr>
                <w:rFonts w:ascii="Arial" w:cs="Arial" w:eastAsia="Arial" w:hAnsi="Arial"/>
                <w:sz w:val="11"/>
                <w:szCs w:val="11"/>
                <w:b w:val="1"/>
                <w:bCs w:val="1"/>
                <w:color w:val="auto"/>
              </w:rPr>
              <w:t>in treasury</w:t>
            </w:r>
          </w:p>
        </w:tc>
        <w:tc>
          <w:tcPr>
            <w:tcW w:w="12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Arial" w:cs="Arial" w:eastAsia="Arial" w:hAnsi="Arial"/>
                <w:sz w:val="11"/>
                <w:szCs w:val="11"/>
                <w:b w:val="1"/>
                <w:bCs w:val="1"/>
                <w:color w:val="auto"/>
              </w:rPr>
              <w:t>comprehensive loss</w:t>
            </w:r>
          </w:p>
        </w:tc>
        <w:tc>
          <w:tcPr>
            <w:tcW w:w="120" w:type="dxa"/>
            <w:vAlign w:val="bottom"/>
          </w:tcPr>
          <w:p>
            <w:pPr>
              <w:spacing w:after="0"/>
              <w:rPr>
                <w:sz w:val="13"/>
                <w:szCs w:val="13"/>
                <w:color w:val="auto"/>
              </w:rPr>
            </w:pPr>
          </w:p>
        </w:tc>
        <w:tc>
          <w:tcPr>
            <w:tcW w:w="1200" w:type="dxa"/>
            <w:vAlign w:val="bottom"/>
            <w:gridSpan w:val="2"/>
          </w:tcPr>
          <w:p>
            <w:pPr>
              <w:ind w:left="20"/>
              <w:spacing w:after="0"/>
              <w:rPr>
                <w:sz w:val="20"/>
                <w:szCs w:val="20"/>
                <w:color w:val="auto"/>
              </w:rPr>
            </w:pPr>
            <w:r>
              <w:rPr>
                <w:rFonts w:ascii="Arial" w:cs="Arial" w:eastAsia="Arial" w:hAnsi="Arial"/>
                <w:sz w:val="11"/>
                <w:szCs w:val="11"/>
                <w:b w:val="1"/>
                <w:bCs w:val="1"/>
                <w:color w:val="auto"/>
              </w:rPr>
              <w:t>Accumulated deficit</w:t>
            </w:r>
          </w:p>
        </w:tc>
        <w:tc>
          <w:tcPr>
            <w:tcW w:w="140" w:type="dxa"/>
            <w:vAlign w:val="bottom"/>
          </w:tcPr>
          <w:p>
            <w:pPr>
              <w:spacing w:after="0"/>
              <w:rPr>
                <w:sz w:val="13"/>
                <w:szCs w:val="13"/>
                <w:color w:val="auto"/>
              </w:rPr>
            </w:pPr>
          </w:p>
        </w:tc>
        <w:tc>
          <w:tcPr>
            <w:tcW w:w="1140" w:type="dxa"/>
            <w:vAlign w:val="bottom"/>
          </w:tcPr>
          <w:p>
            <w:pPr>
              <w:jc w:val="right"/>
              <w:ind w:right="411"/>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05"/>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2020</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105,326,638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179,535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w w:val="94"/>
              </w:rPr>
              <w:t>(2,280)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(141,779)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42,741</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4"/>
                <w:szCs w:val="14"/>
                <w:color w:val="auto"/>
              </w:rPr>
              <w:t>Net loss</w:t>
            </w:r>
          </w:p>
        </w:tc>
        <w:tc>
          <w:tcPr>
            <w:tcW w:w="13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80" w:type="dxa"/>
            <w:vAlign w:val="bottom"/>
            <w:tcBorders>
              <w:top w:val="single" w:sz="8" w:color="CCEEFF"/>
            </w:tcBorders>
            <w:vMerge w:val="continue"/>
          </w:tcPr>
          <w:p>
            <w:pPr>
              <w:spacing w:after="0"/>
              <w:rPr>
                <w:sz w:val="12"/>
                <w:szCs w:val="12"/>
                <w:color w:val="auto"/>
              </w:rPr>
            </w:pPr>
          </w:p>
        </w:tc>
        <w:tc>
          <w:tcPr>
            <w:tcW w:w="13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ind w:left="92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(65,146)</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(65,146)</w:t>
            </w:r>
          </w:p>
        </w:tc>
        <w:tc>
          <w:tcPr>
            <w:tcW w:w="0" w:type="dxa"/>
            <w:vAlign w:val="bottom"/>
          </w:tcPr>
          <w:p>
            <w:pPr>
              <w:spacing w:after="0"/>
              <w:rPr>
                <w:sz w:val="1"/>
                <w:szCs w:val="1"/>
                <w:color w:val="auto"/>
              </w:rPr>
            </w:pPr>
          </w:p>
        </w:tc>
      </w:tr>
      <w:tr>
        <w:trPr>
          <w:trHeight w:val="181"/>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Retranslation of foreign operations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ind w:left="680"/>
              <w:spacing w:after="0"/>
              <w:rPr>
                <w:sz w:val="20"/>
                <w:szCs w:val="20"/>
                <w:color w:val="auto"/>
              </w:rPr>
            </w:pPr>
            <w:r>
              <w:rPr>
                <w:rFonts w:ascii="Arial" w:cs="Arial" w:eastAsia="Arial" w:hAnsi="Arial"/>
                <w:sz w:val="14"/>
                <w:szCs w:val="14"/>
                <w:color w:val="auto"/>
                <w:w w:val="94"/>
              </w:rPr>
              <w:t>(2,321)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(2,321)</w:t>
            </w:r>
          </w:p>
        </w:tc>
        <w:tc>
          <w:tcPr>
            <w:tcW w:w="0" w:type="dxa"/>
            <w:vAlign w:val="bottom"/>
          </w:tcPr>
          <w:p>
            <w:pPr>
              <w:spacing w:after="0"/>
              <w:rPr>
                <w:sz w:val="1"/>
                <w:szCs w:val="1"/>
                <w:color w:val="auto"/>
              </w:rPr>
            </w:pPr>
          </w:p>
        </w:tc>
      </w:tr>
      <w:tr>
        <w:trPr>
          <w:trHeight w:val="138"/>
        </w:trPr>
        <w:tc>
          <w:tcPr>
            <w:tcW w:w="2480" w:type="dxa"/>
            <w:vAlign w:val="bottom"/>
          </w:tcPr>
          <w:p>
            <w:pPr>
              <w:ind w:left="180"/>
              <w:spacing w:after="0" w:line="138" w:lineRule="exact"/>
              <w:rPr>
                <w:sz w:val="20"/>
                <w:szCs w:val="20"/>
                <w:color w:val="auto"/>
              </w:rPr>
            </w:pPr>
            <w:r>
              <w:rPr>
                <w:rFonts w:ascii="Arial" w:cs="Arial" w:eastAsia="Arial" w:hAnsi="Arial"/>
                <w:sz w:val="14"/>
                <w:szCs w:val="14"/>
                <w:color w:val="auto"/>
              </w:rPr>
              <w:t>Issuance of ordinary shares, net of</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355,831,184</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22,700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164,660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00" w:type="dxa"/>
            <w:vAlign w:val="bottom"/>
            <w:gridSpan w:val="2"/>
            <w:vMerge w:val="restart"/>
          </w:tcPr>
          <w:p>
            <w:pPr>
              <w:ind w:left="9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00" w:type="dxa"/>
            <w:vAlign w:val="bottom"/>
            <w:gridSpan w:val="2"/>
            <w:vMerge w:val="restart"/>
          </w:tcPr>
          <w:p>
            <w:pPr>
              <w:ind w:left="9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187,360</w:t>
            </w:r>
          </w:p>
        </w:tc>
        <w:tc>
          <w:tcPr>
            <w:tcW w:w="0" w:type="dxa"/>
            <w:vAlign w:val="bottom"/>
          </w:tcPr>
          <w:p>
            <w:pPr>
              <w:spacing w:after="0"/>
              <w:rPr>
                <w:sz w:val="1"/>
                <w:szCs w:val="1"/>
                <w:color w:val="auto"/>
              </w:rPr>
            </w:pPr>
          </w:p>
        </w:tc>
      </w:tr>
      <w:tr>
        <w:trPr>
          <w:trHeight w:val="180"/>
        </w:trPr>
        <w:tc>
          <w:tcPr>
            <w:tcW w:w="2480" w:type="dxa"/>
            <w:vAlign w:val="bottom"/>
          </w:tcPr>
          <w:p>
            <w:pPr>
              <w:ind w:left="180"/>
              <w:spacing w:after="0"/>
              <w:rPr>
                <w:sz w:val="20"/>
                <w:szCs w:val="20"/>
                <w:color w:val="auto"/>
              </w:rPr>
            </w:pPr>
            <w:r>
              <w:rPr>
                <w:rFonts w:ascii="Arial" w:cs="Arial" w:eastAsia="Arial" w:hAnsi="Arial"/>
                <w:sz w:val="14"/>
                <w:szCs w:val="14"/>
                <w:color w:val="auto"/>
              </w:rPr>
              <w:t>issuance costs</w:t>
            </w:r>
          </w:p>
        </w:tc>
        <w:tc>
          <w:tcPr>
            <w:tcW w:w="1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Issuance of ordinary shares to treasury</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25,000,000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480" w:type="dxa"/>
            <w:vAlign w:val="bottom"/>
          </w:tcPr>
          <w:p>
            <w:pPr>
              <w:ind w:left="180"/>
              <w:spacing w:after="0" w:line="138" w:lineRule="exact"/>
              <w:rPr>
                <w:sz w:val="20"/>
                <w:szCs w:val="20"/>
                <w:color w:val="auto"/>
              </w:rPr>
            </w:pPr>
            <w:r>
              <w:rPr>
                <w:rFonts w:ascii="Arial" w:cs="Arial" w:eastAsia="Arial" w:hAnsi="Arial"/>
                <w:sz w:val="14"/>
                <w:szCs w:val="14"/>
                <w:color w:val="auto"/>
              </w:rPr>
              <w:t>Issuance of ordinary shares from</w:t>
            </w: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480" w:type="dxa"/>
            <w:vAlign w:val="bottom"/>
          </w:tcPr>
          <w:p>
            <w:pPr>
              <w:ind w:left="180"/>
              <w:spacing w:after="0" w:line="138" w:lineRule="exact"/>
              <w:rPr>
                <w:sz w:val="20"/>
                <w:szCs w:val="20"/>
                <w:color w:val="auto"/>
              </w:rPr>
            </w:pPr>
            <w:r>
              <w:rPr>
                <w:rFonts w:ascii="Arial" w:cs="Arial" w:eastAsia="Arial" w:hAnsi="Arial"/>
                <w:sz w:val="14"/>
                <w:szCs w:val="14"/>
                <w:color w:val="auto"/>
              </w:rPr>
              <w:t>restricted share units and share</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2,146,624</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129</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00" w:type="dxa"/>
            <w:vAlign w:val="bottom"/>
            <w:gridSpan w:val="2"/>
            <w:vMerge w:val="restart"/>
          </w:tcPr>
          <w:p>
            <w:pPr>
              <w:ind w:left="9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0"/>
        </w:trPr>
        <w:tc>
          <w:tcPr>
            <w:tcW w:w="2480" w:type="dxa"/>
            <w:vAlign w:val="bottom"/>
          </w:tcPr>
          <w:p>
            <w:pPr>
              <w:ind w:left="180"/>
              <w:spacing w:after="0"/>
              <w:rPr>
                <w:sz w:val="20"/>
                <w:szCs w:val="20"/>
                <w:color w:val="auto"/>
              </w:rPr>
            </w:pPr>
            <w:r>
              <w:rPr>
                <w:rFonts w:ascii="Arial" w:cs="Arial" w:eastAsia="Arial" w:hAnsi="Arial"/>
                <w:sz w:val="14"/>
                <w:szCs w:val="14"/>
                <w:color w:val="auto"/>
              </w:rPr>
              <w:t>options</w:t>
            </w:r>
          </w:p>
        </w:tc>
        <w:tc>
          <w:tcPr>
            <w:tcW w:w="1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22,177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22,177</w:t>
            </w:r>
          </w:p>
        </w:tc>
        <w:tc>
          <w:tcPr>
            <w:tcW w:w="0" w:type="dxa"/>
            <w:vAlign w:val="bottom"/>
          </w:tcPr>
          <w:p>
            <w:pPr>
              <w:spacing w:after="0"/>
              <w:rPr>
                <w:sz w:val="1"/>
                <w:szCs w:val="1"/>
                <w:color w:val="auto"/>
              </w:rPr>
            </w:pPr>
          </w:p>
        </w:tc>
      </w:tr>
      <w:tr>
        <w:trPr>
          <w:trHeight w:val="171"/>
        </w:trPr>
        <w:tc>
          <w:tcPr>
            <w:tcW w:w="248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488,304,446</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31,794</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366,411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(1,700)</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4"/>
                <w:szCs w:val="14"/>
                <w:color w:val="auto"/>
                <w:w w:val="94"/>
              </w:rPr>
              <w:t>(4,601)</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(207,050)</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184,854</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(55,569)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(55,569)</w:t>
            </w:r>
          </w:p>
        </w:tc>
        <w:tc>
          <w:tcPr>
            <w:tcW w:w="0" w:type="dxa"/>
            <w:vAlign w:val="bottom"/>
          </w:tcPr>
          <w:p>
            <w:pPr>
              <w:spacing w:after="0"/>
              <w:rPr>
                <w:sz w:val="1"/>
                <w:szCs w:val="1"/>
                <w:color w:val="auto"/>
              </w:rPr>
            </w:pPr>
          </w:p>
        </w:tc>
      </w:tr>
      <w:tr>
        <w:trPr>
          <w:trHeight w:val="138"/>
        </w:trPr>
        <w:tc>
          <w:tcPr>
            <w:tcW w:w="2480" w:type="dxa"/>
            <w:vAlign w:val="bottom"/>
          </w:tcPr>
          <w:p>
            <w:pPr>
              <w:ind w:left="180"/>
              <w:spacing w:after="0" w:line="138" w:lineRule="exact"/>
              <w:rPr>
                <w:sz w:val="20"/>
                <w:szCs w:val="20"/>
                <w:color w:val="auto"/>
              </w:rPr>
            </w:pPr>
            <w:r>
              <w:rPr>
                <w:rFonts w:ascii="Arial" w:cs="Arial" w:eastAsia="Arial" w:hAnsi="Arial"/>
                <w:sz w:val="14"/>
                <w:szCs w:val="14"/>
                <w:color w:val="auto"/>
                <w:w w:val="97"/>
              </w:rPr>
              <w:t>Issuance of common shares under at-</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873,104</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00" w:type="dxa"/>
            <w:vAlign w:val="bottom"/>
            <w:gridSpan w:val="2"/>
            <w:vMerge w:val="restart"/>
          </w:tcPr>
          <w:p>
            <w:pPr>
              <w:ind w:left="9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00" w:type="dxa"/>
            <w:vAlign w:val="bottom"/>
            <w:gridSpan w:val="2"/>
            <w:vMerge w:val="restart"/>
          </w:tcPr>
          <w:p>
            <w:pPr>
              <w:ind w:left="9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180"/>
        </w:trPr>
        <w:tc>
          <w:tcPr>
            <w:tcW w:w="2480" w:type="dxa"/>
            <w:vAlign w:val="bottom"/>
          </w:tcPr>
          <w:p>
            <w:pPr>
              <w:ind w:left="180"/>
              <w:spacing w:after="0"/>
              <w:rPr>
                <w:sz w:val="20"/>
                <w:szCs w:val="20"/>
                <w:color w:val="auto"/>
              </w:rPr>
            </w:pPr>
            <w:r>
              <w:rPr>
                <w:rFonts w:ascii="Arial" w:cs="Arial" w:eastAsia="Arial" w:hAnsi="Arial"/>
                <w:sz w:val="14"/>
                <w:szCs w:val="14"/>
                <w:color w:val="auto"/>
              </w:rPr>
              <w:t>the-market sales agreement</w:t>
            </w:r>
          </w:p>
        </w:tc>
        <w:tc>
          <w:tcPr>
            <w:tcW w:w="1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share units vested</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480" w:type="dxa"/>
            <w:vAlign w:val="bottom"/>
          </w:tcPr>
          <w:p>
            <w:pPr>
              <w:ind w:left="180"/>
              <w:spacing w:after="0"/>
              <w:rPr>
                <w:sz w:val="20"/>
                <w:szCs w:val="20"/>
                <w:color w:val="auto"/>
              </w:rPr>
            </w:pPr>
            <w:r>
              <w:rPr>
                <w:rFonts w:ascii="Arial" w:cs="Arial" w:eastAsia="Arial" w:hAnsi="Arial"/>
                <w:sz w:val="14"/>
                <w:szCs w:val="14"/>
                <w:color w:val="auto"/>
              </w:rPr>
              <w:t>Share-based compensation</w:t>
            </w: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25,425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25,425</w:t>
            </w:r>
          </w:p>
        </w:tc>
        <w:tc>
          <w:tcPr>
            <w:tcW w:w="0" w:type="dxa"/>
            <w:vAlign w:val="bottom"/>
          </w:tcPr>
          <w:p>
            <w:pPr>
              <w:spacing w:after="0"/>
              <w:rPr>
                <w:sz w:val="1"/>
                <w:szCs w:val="1"/>
                <w:color w:val="auto"/>
              </w:rPr>
            </w:pPr>
          </w:p>
        </w:tc>
      </w:tr>
      <w:tr>
        <w:trPr>
          <w:trHeight w:val="138"/>
        </w:trPr>
        <w:tc>
          <w:tcPr>
            <w:tcW w:w="2480" w:type="dxa"/>
            <w:vAlign w:val="bottom"/>
            <w:shd w:val="clear" w:color="auto" w:fill="CCEEFF"/>
          </w:tcPr>
          <w:p>
            <w:pPr>
              <w:ind w:left="180"/>
              <w:spacing w:after="0" w:line="138" w:lineRule="exact"/>
              <w:rPr>
                <w:sz w:val="20"/>
                <w:szCs w:val="20"/>
                <w:color w:val="auto"/>
              </w:rPr>
            </w:pPr>
            <w:r>
              <w:rPr>
                <w:rFonts w:ascii="Arial" w:cs="Arial" w:eastAsia="Arial" w:hAnsi="Arial"/>
                <w:sz w:val="14"/>
                <w:szCs w:val="14"/>
                <w:color w:val="auto"/>
                <w:w w:val="97"/>
              </w:rPr>
              <w:t>Common shares withheld for taxes on</w:t>
            </w:r>
          </w:p>
        </w:tc>
        <w:tc>
          <w:tcPr>
            <w:tcW w:w="1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(6,850)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(6,850)</w:t>
            </w: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vested stock awards</w:t>
            </w:r>
          </w:p>
        </w:tc>
        <w:tc>
          <w:tcPr>
            <w:tcW w:w="1380" w:type="dxa"/>
            <w:vAlign w:val="bottom"/>
            <w:gridSpan w:val="2"/>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480" w:type="dxa"/>
            <w:vAlign w:val="bottom"/>
          </w:tcPr>
          <w:p>
            <w:pPr>
              <w:ind w:left="180"/>
              <w:spacing w:after="0" w:line="138" w:lineRule="exact"/>
              <w:rPr>
                <w:sz w:val="20"/>
                <w:szCs w:val="20"/>
                <w:color w:val="auto"/>
              </w:rPr>
            </w:pPr>
            <w:r>
              <w:rPr>
                <w:rFonts w:ascii="Arial" w:cs="Arial" w:eastAsia="Arial" w:hAnsi="Arial"/>
                <w:sz w:val="14"/>
                <w:szCs w:val="14"/>
                <w:color w:val="auto"/>
              </w:rPr>
              <w:t>Equity settled share-based</w:t>
            </w: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480" w:type="dxa"/>
            <w:vAlign w:val="bottom"/>
          </w:tcPr>
          <w:p>
            <w:pPr>
              <w:ind w:left="180"/>
              <w:spacing w:after="0" w:line="138" w:lineRule="exact"/>
              <w:rPr>
                <w:sz w:val="20"/>
                <w:szCs w:val="20"/>
                <w:color w:val="auto"/>
              </w:rPr>
            </w:pPr>
            <w:r>
              <w:rPr>
                <w:rFonts w:ascii="Arial" w:cs="Arial" w:eastAsia="Arial" w:hAnsi="Arial"/>
                <w:sz w:val="14"/>
                <w:szCs w:val="14"/>
                <w:color w:val="auto"/>
              </w:rPr>
              <w:t>compensation reclassified as cash-</w:t>
            </w:r>
          </w:p>
        </w:tc>
        <w:tc>
          <w:tcPr>
            <w:tcW w:w="1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(588)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00" w:type="dxa"/>
            <w:vAlign w:val="bottom"/>
            <w:gridSpan w:val="2"/>
            <w:vMerge w:val="restart"/>
          </w:tcPr>
          <w:p>
            <w:pPr>
              <w:ind w:left="9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00" w:type="dxa"/>
            <w:vAlign w:val="bottom"/>
            <w:gridSpan w:val="2"/>
            <w:vMerge w:val="restart"/>
          </w:tcPr>
          <w:p>
            <w:pPr>
              <w:ind w:left="9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180"/>
        </w:trPr>
        <w:tc>
          <w:tcPr>
            <w:tcW w:w="2480" w:type="dxa"/>
            <w:vAlign w:val="bottom"/>
          </w:tcPr>
          <w:p>
            <w:pPr>
              <w:ind w:left="180"/>
              <w:spacing w:after="0"/>
              <w:rPr>
                <w:sz w:val="20"/>
                <w:szCs w:val="20"/>
                <w:color w:val="auto"/>
              </w:rPr>
            </w:pPr>
            <w:r>
              <w:rPr>
                <w:rFonts w:ascii="Arial" w:cs="Arial" w:eastAsia="Arial" w:hAnsi="Arial"/>
                <w:sz w:val="14"/>
                <w:szCs w:val="14"/>
                <w:color w:val="auto"/>
              </w:rPr>
              <w:t>settled</w:t>
            </w:r>
          </w:p>
        </w:tc>
        <w:tc>
          <w:tcPr>
            <w:tcW w:w="13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489,177,550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31,855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385,070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w w:val="94"/>
              </w:rPr>
              <w:t>(4,601)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(263,716)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148,005</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jc w:val="center"/>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4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820" w:type="dxa"/>
            <w:vAlign w:val="bottom"/>
            <w:tcBorders>
              <w:bottom w:val="single" w:sz="8" w:color="auto"/>
            </w:tcBorders>
          </w:tcPr>
          <w:p>
            <w:pPr>
              <w:spacing w:after="0"/>
              <w:rPr>
                <w:sz w:val="13"/>
                <w:szCs w:val="13"/>
                <w:color w:val="auto"/>
              </w:rPr>
            </w:pPr>
          </w:p>
        </w:tc>
      </w:tr>
      <w:tr>
        <w:trPr>
          <w:trHeight w:val="160"/>
        </w:trPr>
        <w:tc>
          <w:tcPr>
            <w:tcW w:w="84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w w:val="89"/>
              </w:rPr>
              <w:t>2020</w:t>
            </w:r>
          </w:p>
        </w:tc>
      </w:tr>
      <w:tr>
        <w:trPr>
          <w:trHeight w:val="170"/>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8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Net loss:</w:t>
            </w:r>
          </w:p>
        </w:tc>
        <w:tc>
          <w:tcPr>
            <w:tcW w:w="820" w:type="dxa"/>
            <w:vAlign w:val="bottom"/>
          </w:tcPr>
          <w:p>
            <w:pPr>
              <w:jc w:val="right"/>
              <w:ind w:right="672"/>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9"/>
              </w:rPr>
              <w:t>(55,569)</w:t>
            </w:r>
          </w:p>
        </w:tc>
        <w:tc>
          <w:tcPr>
            <w:tcW w:w="12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(65,146)</w:t>
            </w: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i w:val="1"/>
                <w:iCs w:val="1"/>
                <w:color w:val="auto"/>
              </w:rPr>
              <w:t>Adjustments to reconcile net income to net cash used in operating activities:</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Foreign exchange gain</w:t>
            </w: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(2,060)</w:t>
            </w: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debt issue costs</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Accretion of redemption premium on debt</w:t>
            </w: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Fair value movement on warrants</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(2,246)</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w:t>
            </w: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Impairment of right-of-use asset</w:t>
            </w:r>
          </w:p>
        </w:tc>
        <w:tc>
          <w:tcPr>
            <w:tcW w:w="8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289</w:t>
            </w: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25,425</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22,177</w:t>
            </w: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629</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623</w:t>
            </w: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interest recognized as revenue</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(15,000)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400" w:type="dxa"/>
            <w:vAlign w:val="bottom"/>
          </w:tcPr>
          <w:p>
            <w:pPr>
              <w:ind w:left="280"/>
              <w:spacing w:after="0"/>
              <w:rPr>
                <w:sz w:val="20"/>
                <w:szCs w:val="20"/>
                <w:color w:val="auto"/>
              </w:rPr>
            </w:pPr>
            <w:r>
              <w:rPr>
                <w:rFonts w:ascii="Arial" w:cs="Arial" w:eastAsia="Arial" w:hAnsi="Arial"/>
                <w:sz w:val="14"/>
                <w:szCs w:val="14"/>
                <w:i w:val="1"/>
                <w:iCs w:val="1"/>
                <w:color w:val="auto"/>
              </w:rPr>
              <w:t>Changes in operating assets and liabilities:</w:t>
            </w: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1"/>
        </w:trPr>
        <w:tc>
          <w:tcPr>
            <w:tcW w:w="8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(3,065)</w:t>
            </w:r>
          </w:p>
        </w:tc>
      </w:tr>
      <w:tr>
        <w:trPr>
          <w:trHeight w:val="180"/>
        </w:trPr>
        <w:tc>
          <w:tcPr>
            <w:tcW w:w="8400" w:type="dxa"/>
            <w:vAlign w:val="bottom"/>
          </w:tcPr>
          <w:p>
            <w:pPr>
              <w:ind w:left="280"/>
              <w:spacing w:after="0"/>
              <w:rPr>
                <w:sz w:val="20"/>
                <w:szCs w:val="20"/>
                <w:color w:val="auto"/>
              </w:rPr>
            </w:pPr>
            <w:r>
              <w:rPr>
                <w:rFonts w:ascii="Arial" w:cs="Arial" w:eastAsia="Arial" w:hAnsi="Arial"/>
                <w:sz w:val="14"/>
                <w:szCs w:val="14"/>
                <w:color w:val="auto"/>
              </w:rPr>
              <w:t>Tax incentive receivables</w:t>
            </w: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(6,924)</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768</w:t>
            </w:r>
          </w:p>
        </w:tc>
      </w:tr>
      <w:tr>
        <w:trPr>
          <w:trHeight w:val="181"/>
        </w:trPr>
        <w:tc>
          <w:tcPr>
            <w:tcW w:w="8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current assets</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r>
      <w:tr>
        <w:trPr>
          <w:trHeight w:val="180"/>
        </w:trPr>
        <w:tc>
          <w:tcPr>
            <w:tcW w:w="8400" w:type="dxa"/>
            <w:vAlign w:val="bottom"/>
          </w:tcPr>
          <w:p>
            <w:pPr>
              <w:ind w:left="280"/>
              <w:spacing w:after="0"/>
              <w:rPr>
                <w:sz w:val="20"/>
                <w:szCs w:val="20"/>
                <w:color w:val="auto"/>
              </w:rPr>
            </w:pPr>
            <w:r>
              <w:rPr>
                <w:rFonts w:ascii="Arial" w:cs="Arial" w:eastAsia="Arial" w:hAnsi="Arial"/>
                <w:sz w:val="14"/>
                <w:szCs w:val="14"/>
                <w:color w:val="auto"/>
              </w:rPr>
              <w:t>Right-of-use assets</w:t>
            </w: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(703)</w:t>
            </w:r>
          </w:p>
        </w:tc>
      </w:tr>
      <w:tr>
        <w:trPr>
          <w:trHeight w:val="181"/>
        </w:trPr>
        <w:tc>
          <w:tcPr>
            <w:tcW w:w="8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9,866</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(1,398)</w:t>
            </w:r>
          </w:p>
        </w:tc>
      </w:tr>
      <w:tr>
        <w:trPr>
          <w:trHeight w:val="180"/>
        </w:trPr>
        <w:tc>
          <w:tcPr>
            <w:tcW w:w="8400" w:type="dxa"/>
            <w:vAlign w:val="bottom"/>
          </w:tcPr>
          <w:p>
            <w:pPr>
              <w:ind w:left="280"/>
              <w:spacing w:after="0"/>
              <w:rPr>
                <w:sz w:val="20"/>
                <w:szCs w:val="20"/>
                <w:color w:val="auto"/>
              </w:rPr>
            </w:pPr>
            <w:r>
              <w:rPr>
                <w:rFonts w:ascii="Arial" w:cs="Arial" w:eastAsia="Arial" w:hAnsi="Arial"/>
                <w:sz w:val="14"/>
                <w:szCs w:val="14"/>
                <w:color w:val="auto"/>
              </w:rPr>
              <w:t>Accrued expenses</w:t>
            </w: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11,389</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1,940</w:t>
            </w:r>
          </w:p>
        </w:tc>
      </w:tr>
      <w:tr>
        <w:trPr>
          <w:trHeight w:val="181"/>
        </w:trPr>
        <w:tc>
          <w:tcPr>
            <w:tcW w:w="8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Lease liabilities</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r>
      <w:tr>
        <w:trPr>
          <w:trHeight w:val="180"/>
        </w:trPr>
        <w:tc>
          <w:tcPr>
            <w:tcW w:w="8400" w:type="dxa"/>
            <w:vAlign w:val="bottom"/>
          </w:tcPr>
          <w:p>
            <w:pPr>
              <w:ind w:left="280"/>
              <w:spacing w:after="0"/>
              <w:rPr>
                <w:sz w:val="20"/>
                <w:szCs w:val="20"/>
                <w:color w:val="auto"/>
              </w:rPr>
            </w:pPr>
            <w:r>
              <w:rPr>
                <w:rFonts w:ascii="Arial" w:cs="Arial" w:eastAsia="Arial" w:hAnsi="Arial"/>
                <w:sz w:val="14"/>
                <w:szCs w:val="14"/>
                <w:color w:val="auto"/>
              </w:rPr>
              <w:t>Taxes payable</w:t>
            </w: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8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current liabilities</w:t>
            </w:r>
          </w:p>
        </w:tc>
        <w:tc>
          <w:tcPr>
            <w:tcW w:w="8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171"/>
        </w:trPr>
        <w:tc>
          <w:tcPr>
            <w:tcW w:w="8400" w:type="dxa"/>
            <w:vAlign w:val="bottom"/>
          </w:tcPr>
          <w:p>
            <w:pPr>
              <w:ind w:left="360"/>
              <w:spacing w:after="0"/>
              <w:rPr>
                <w:sz w:val="20"/>
                <w:szCs w:val="20"/>
                <w:color w:val="auto"/>
              </w:rPr>
            </w:pPr>
            <w:r>
              <w:rPr>
                <w:rFonts w:ascii="Arial" w:cs="Arial" w:eastAsia="Arial" w:hAnsi="Arial"/>
                <w:sz w:val="14"/>
                <w:szCs w:val="14"/>
                <w:color w:val="auto"/>
              </w:rPr>
              <w:t>Net cash used in operating activities</w:t>
            </w:r>
          </w:p>
        </w:tc>
        <w:tc>
          <w:tcPr>
            <w:tcW w:w="8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(33,254)</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(45,076)</w:t>
            </w:r>
          </w:p>
        </w:tc>
      </w:tr>
      <w:tr>
        <w:trPr>
          <w:trHeight w:val="18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Purchases of furniture and equipment</w:t>
            </w: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 of short-term investments</w:t>
            </w:r>
          </w:p>
        </w:tc>
        <w:tc>
          <w:tcPr>
            <w:tcW w:w="8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9,792</w:t>
            </w:r>
          </w:p>
        </w:tc>
      </w:tr>
      <w:tr>
        <w:trPr>
          <w:trHeight w:val="171"/>
        </w:trPr>
        <w:tc>
          <w:tcPr>
            <w:tcW w:w="8400" w:type="dxa"/>
            <w:vAlign w:val="bottom"/>
          </w:tcPr>
          <w:p>
            <w:pPr>
              <w:ind w:left="280"/>
              <w:spacing w:after="0"/>
              <w:rPr>
                <w:sz w:val="20"/>
                <w:szCs w:val="20"/>
                <w:color w:val="auto"/>
              </w:rPr>
            </w:pPr>
            <w:r>
              <w:rPr>
                <w:rFonts w:ascii="Arial" w:cs="Arial" w:eastAsia="Arial" w:hAnsi="Arial"/>
                <w:sz w:val="14"/>
                <w:szCs w:val="14"/>
                <w:color w:val="auto"/>
              </w:rPr>
              <w:t>Net cash (used in)/provided by investing activities</w:t>
            </w:r>
          </w:p>
        </w:tc>
        <w:tc>
          <w:tcPr>
            <w:tcW w:w="8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9,710</w:t>
            </w:r>
          </w:p>
        </w:tc>
      </w:tr>
      <w:tr>
        <w:trPr>
          <w:trHeight w:val="18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Proceeds from issuance of ordinary shares</w:t>
            </w: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733</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200,156</w:t>
            </w: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 of offering costs in connection with the issuance of ordinary shares</w:t>
            </w:r>
          </w:p>
        </w:tc>
        <w:tc>
          <w:tcPr>
            <w:tcW w:w="8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(12,748)</w:t>
            </w: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Proceeds from issuance of term loan</w:t>
            </w:r>
          </w:p>
        </w:tc>
        <w:tc>
          <w:tcPr>
            <w:tcW w:w="8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Term loan issuance costs</w:t>
            </w:r>
          </w:p>
        </w:tc>
        <w:tc>
          <w:tcPr>
            <w:tcW w:w="8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Payments of withholding taxes from share-based awards</w:t>
            </w: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(6,850)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exercise of share options</w:t>
            </w:r>
          </w:p>
        </w:tc>
        <w:tc>
          <w:tcPr>
            <w:tcW w:w="8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171"/>
        </w:trPr>
        <w:tc>
          <w:tcPr>
            <w:tcW w:w="84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cash (used in)/provided by financing activities</w:t>
            </w:r>
          </w:p>
        </w:tc>
        <w:tc>
          <w:tcPr>
            <w:tcW w:w="8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(6,117)</w:t>
            </w:r>
          </w:p>
        </w:tc>
        <w:tc>
          <w:tcPr>
            <w:tcW w:w="120" w:type="dxa"/>
            <w:vAlign w:val="bottom"/>
            <w:tcBorders>
              <w:bottom w:val="single" w:sz="8" w:color="CCEEFF"/>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192,343</w:t>
            </w:r>
          </w:p>
        </w:tc>
      </w:tr>
      <w:tr>
        <w:trPr>
          <w:trHeight w:val="17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Effect of exchange rate changes on cash and cash equivalents</w:t>
            </w:r>
          </w:p>
        </w:tc>
        <w:tc>
          <w:tcPr>
            <w:tcW w:w="8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2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w:t>
            </w:r>
          </w:p>
        </w:tc>
      </w:tr>
      <w:tr>
        <w:trPr>
          <w:trHeight w:val="171"/>
        </w:trPr>
        <w:tc>
          <w:tcPr>
            <w:tcW w:w="8400" w:type="dxa"/>
            <w:vAlign w:val="bottom"/>
          </w:tcPr>
          <w:p>
            <w:pPr>
              <w:ind w:left="280"/>
              <w:spacing w:after="0"/>
              <w:rPr>
                <w:sz w:val="20"/>
                <w:szCs w:val="20"/>
                <w:color w:val="auto"/>
              </w:rPr>
            </w:pPr>
            <w:r>
              <w:rPr>
                <w:rFonts w:ascii="Arial" w:cs="Arial" w:eastAsia="Arial" w:hAnsi="Arial"/>
                <w:sz w:val="14"/>
                <w:szCs w:val="14"/>
                <w:color w:val="auto"/>
              </w:rPr>
              <w:t>Net change in cash and cash equivalents</w:t>
            </w:r>
          </w:p>
        </w:tc>
        <w:tc>
          <w:tcPr>
            <w:tcW w:w="8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(39,606)</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157,558</w:t>
            </w: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Cash and cash equivalents at beginning of the year</w:t>
            </w:r>
          </w:p>
        </w:tc>
        <w:tc>
          <w:tcPr>
            <w:tcW w:w="8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187,986</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30,428</w:t>
            </w:r>
          </w:p>
        </w:tc>
      </w:tr>
      <w:tr>
        <w:trPr>
          <w:trHeight w:val="171"/>
        </w:trPr>
        <w:tc>
          <w:tcPr>
            <w:tcW w:w="8400" w:type="dxa"/>
            <w:vAlign w:val="bottom"/>
          </w:tcPr>
          <w:p>
            <w:pPr>
              <w:ind w:left="180"/>
              <w:spacing w:after="0"/>
              <w:rPr>
                <w:sz w:val="20"/>
                <w:szCs w:val="20"/>
                <w:color w:val="auto"/>
              </w:rPr>
            </w:pPr>
            <w:r>
              <w:rPr>
                <w:rFonts w:ascii="Arial" w:cs="Arial" w:eastAsia="Arial" w:hAnsi="Arial"/>
                <w:sz w:val="14"/>
                <w:szCs w:val="14"/>
                <w:b w:val="1"/>
                <w:bCs w:val="1"/>
                <w:color w:val="auto"/>
              </w:rPr>
              <w:t>Cash and cash equivalents at end of the year</w:t>
            </w:r>
          </w:p>
        </w:tc>
        <w:tc>
          <w:tcPr>
            <w:tcW w:w="82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148,380</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187,986</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2"/>
        </w:trPr>
        <w:tc>
          <w:tcPr>
            <w:tcW w:w="84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8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Income taxes paid</w:t>
            </w:r>
          </w:p>
        </w:tc>
        <w:tc>
          <w:tcPr>
            <w:tcW w:w="820" w:type="dxa"/>
            <w:vAlign w:val="bottom"/>
          </w:tcPr>
          <w:p>
            <w:pPr>
              <w:jc w:val="right"/>
              <w:ind w:right="672"/>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5"/>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Interest paid</w:t>
            </w:r>
          </w:p>
        </w:tc>
        <w:tc>
          <w:tcPr>
            <w:tcW w:w="82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Organization and description of business operations</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Verona Pharma plc (the "Company") is incorporated and domiciled in the United Kingdom. Verona Pharma plc has one wholly-owned subsidiary, Verona Pharma, Inc., a Delaware corporation. Rhinopharma Limited (“Rhinopharma”), a Canadian company that was previously a non-operating, wholly-owned subsidiary, was dissolved in June 2021. The address of the registered office is 1 Central Square, Cardiff, CF10 1FS, United Kingdom.</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Company is a clinical-stage biopharmaceutical group focused on developing and commercializing innovative therapeutics for the treatment of respiratory diseases with significant unmet medical needs. The Company’s American Depositary Shares (“ADSs”) are listed on the Nasdaq Global Market (“Nasdaq”) and trade under the symbol “VRNA”. The Company’s ordinary shares were also listed on the Alternative Investment Market of the London Stock Exchange (“AIM”) until October 30, 2020, when the shares were delisted from AIM in an effort to enhance liquidity of trading by combining all transactions on Nasdaq and to reduce costs through removing duplicative listing and compliance fees.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Liquidity</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Company has incurred recurring losses and negative cashflows from operations since inception, and has an accumulated deficit of $263.7 million as of December 31, 2021. The Company expects to incur additional losses and negative cash flows from operations until its products potentially gain regulatory approval and reach commercial profitability, if at all.</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Company expects that its cash and cash equivalents as of December 31, 2021, will be sufficient to fund its operating expenses and capital expenditure requirements for at least the next 12 months from the date of issuance.</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March, 2021, the Company entered into an open market sale agreement with respect to an at-the-market offering program (the “ATM Program”) under which the Company may issue and sell its ordinary shares in the form of ADSs, with an aggregate offering price of up to $100.0 million.</w:t>
      </w:r>
    </w:p>
    <w:p>
      <w:pPr>
        <w:spacing w:after="0" w:line="48"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During the year ended December 31, 2021, the Company sold 873,104 ordinary shares (equivalent to 109,138 ADSs) under the ATM Program, at an average price of approximately $0.86 per share (equivalent to $6.91 per ADS), raising aggregate net proceeds of approximately $0.7 million after deducting issuance costs. As of December 31, 2021, there remained $99.3 million of ordinary shares, in the form of ADSs, available for sale under the ATM Program.</w:t>
      </w:r>
    </w:p>
    <w:p>
      <w:pPr>
        <w:spacing w:after="0" w:line="54"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The Company’s commercial revenue, if any, will be derived from sales of products that we do not expect to be commercially available for many years, if ever. Additionally we may enter into out-licensing transactions from time to time but there can be no assurance that the company can secure such transactions in the future. Accordingly, we will need to obtain substantial additional funds to achieve our business objectives including to further advance clinical and regulatory activities, to fund prelaunch and launch related costs and to create an effective sales and marketing organization to commercialize ensifentrine. We will need to seek additional funding through public or private financings, debt financing, collaboration or licensing agreements and other arrangements. However, there is no guarantee that we will be successful in securing additional capital on acceptable terms, or at all.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Basis of Presentation and Summary of Significant Accounting policies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Basis of presentation and consolidation</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consolidated financial statements include the accounts of Verona Pharma plc and its wholly-owned subsidiaries Verona Pharma, Inc. and Rhinopharma through to its dissolution in June 2021. All inter-company balances and transactions have been eliminated.</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consolidated financial statements have been prepared in accordance with accounting principles generally accepted in the U.S. ("US GAAP") and the following accounting policies have been consistently applied.</w:t>
      </w:r>
    </w:p>
    <w:p>
      <w:pPr>
        <w:spacing w:after="0" w:line="48"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At the end of the second quarter of 2020, the Company determined that it no longer qualified as a Foreign Private Issuer under SEC rules. As a result, beginning January 1, 2021, the Company is required to report with the SEC on domestic forms and comply with domestic company rules in the United States. The transition to US GAAP was made retrospectively for all periods from the Company’s inception.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Use of estimates</w:t>
      </w:r>
    </w:p>
    <w:p>
      <w:pPr>
        <w:spacing w:after="0" w:line="7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preparation of consolidated financial statements in conformity with US GAAP requires management to make estimates and assumptions that affect the reported amounts of assets, liabilities, the disclosure of contingent assets and liabilities at the date of the financial statements and the reported amounts of expenses during the reporting periods. Significant estimates and assumptions reflected in these consolidated financial statements include, but are not limited to, the accrual and prepayment of research and development expenses, the fair value of share-based compensation, the fair value of warrants and the fair value of the equity interest received under the Nuance Agreement (as defined below). Estimates are periodically reviewed in light of changes in circumstances, facts and experience. Changes in estimates are recorded in the period in which they become known. Actual results could differ from the Company’s estimates.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Business combinations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 Company applies the acquisition method to account for business combinations. The consideration transferred for the acquisition of a subsidiary is the fair value of the assets transferred, the liabilities incurred to the former owners of the acquiree and the equity interests issued by the Company. The consideration transferred includes the fair value of any asset or liability resulting from a contingent consideration arrangement. The excess of the cost of acquisition over the fair value of the Company's share of the identifiable net assets acquired is recorded as goodwill.</w:t>
      </w:r>
    </w:p>
    <w:p>
      <w:pPr>
        <w:spacing w:after="0" w:line="4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Identifiable assets acquired and liabilities and contingent liabilities assumed in a business combination are measured initially at their fair values at the acquisition date. Acquisition-related costs are expensed as incurred and included in administrative expenses.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and cash equivalents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Company considers all highly liquid investments purchased with original maturities of ninety days or less at acquisition to be cash equivalents. Cash and cash equivalents includes deposits held at call with banks, term deposits with maturities of less than three months at inception, and in money market funds investing in U.S. and U.K. government debt and liquid securities from highly rated institutions.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Short-term investments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Short-term investments include fixed term deposits held at banks with original maturities between three months and a year. They are classified as loans and receivables and are measured at amortized cost using the effective interest method.</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Equity interest</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As part of the Nuance Agreement, the Company received an equity interest in Nuance Biotech, the parent company of Nuance Pharma (see note 9). As Nuance Biotech’s securities are not publicly traded the equity interest’s fair value is not readily determinable. The Company therefore follows guidance from ASC 321-10-35-2 and uses the fair value measurement alternative and measures the securities at cost, which is deemed to be the value indicated by the last observable transaction in Nuance Biotech's stock, subject to impairment. The valuation will be adjusted for any observable price changes in orderly transactions for an identical or similar investment in Nuance Biotech, or if there is an indicator of impairment.</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Furniture and equipment, net</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Furniture and equipment comprise office furniture and computer equipment and are stated at cost less accumulated depreciation, which is calculated on a straight-line basis over the expected useful economic lives, generally two to five years.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Goodwill consists of goodwill related to the acquisition of Rhinopharma. Goodwill is not amortized but periodically tested for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Impairment of long-lived assets</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Company reviews long-lived assets for impairment annually or whenever events or changes in circumstances indicate that the carrying amount of assets may not be fully recoverable. The Company initially compares the market capitalization of the Company to the book value of its assets. If the value of the market capitalization does not support the valuation of the assets, the Company reviews estimates of the cash flows over the remaining lives of its other intangible assets, or related group of assets where applicable, in measuring whether the assets to be held and used will be realizable. In the event of impairment, the Company would discount the future cash flows using its then estimated incremental borrowing rate to estimate the amount of the impairment.</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Ligand agreement</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2006 the Company acquired Rhinopharma and assumed contingent liabilities owed to Ligand UK Development Limited (“Ligand”) (formerly Vernalis Development Limited). The Company refers to the assignment and license agreement as the Ligand Agreement.</w:t>
      </w:r>
    </w:p>
    <w:p>
      <w:pPr>
        <w:spacing w:after="0" w:line="48"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Ligand assigned to the Company all of its rights to certain patents and patent applications relating to ensifentrine and related compounds (the "Ligand Patents") and an exclusive, worldwide, royalty-bearing license under certain Ligand know-how to develop, manufacture and commercialize products (the "Ligand Licensed Products") developed using Ligand Patents, Ligand know-how and the physical stock of certain compounds.</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Company is obligated to pay a milestone payment on obtaining the first approval of any regulatory authority for the commercialization of a Ligand Licensed Product, low single digit royalties based on the future sales performance of all Ligand Licensed Products and a portion equal to a mid-twenty percent of any consideration received from any sub-licensees for the Ligand Patents and for Ligand know-how. Royalties payable are based on the future sales performance so the amount payable is unlimited.</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At the time each contingency is resolved, the Company will record the contingent consideration payment (or payable) in connection with the Ligand Agreement as an expense and will classify it within R&amp;D expenses.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recognition</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Company’s revenue arises from the Company’s agreement for the development and commercialization of ensifentrine in Greater China (the “Nuance Agreement”). The terms of the Nuance Agreement include non-refundable upfront fees, payments based upon achievement of developmental and regulatory milestones, commercial milestones, royalties payable on sales, and manufacturing and supply. These payments are viewed as both fixed and variable consideration. Non-refundable upfront fees are considered fixed, while milestone payments and revenue from the commercialized product are identified as variable consideration. The Company follows the five-step model in ASC 606 “Revenue from Contracts with Customers”: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Step 1: Identify the contract(s) with a customer.</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Step 2: Identify the performance obligations in the contract.</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Step 3: Determine the transaction price.</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Step 4: Allocate the transaction price to the performance obligations in the contract.</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Step 5: Recognize revenue when (or as) the entity satisfies a performance obligation.</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All of the Company’s revenue is derived from contracts with customers.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A performance obligation is a promise in a contract to transfer a distinct good or service to the customer and is the unit of account in ASC Topic 606. The Company’s performance obligations include intellectual property rights, (which include the license, patents and developmental and regulatory data) and manufacturing and supply. Management are required to judge when performance obligations are satisfied and consequently when revenue is recognized.</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If the right to the Company’s intellectual property is determined to be distinct from the other performance obligations identified in the arrangement, the Company recognizes revenue from non-refundable, upfront fees allocated to the right when the right is transferred to the customer, and the customer can use and benefit from the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1" w:name="page102"/>
    <w:bookmarkEnd w:id="101"/>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If an arrangement includes development and regulatory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licensee’s control, such as regulatory approvals, are generally not considered probable of being achieved until those approvals are received.</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costs</w:t>
      </w:r>
    </w:p>
    <w:p>
      <w:pPr>
        <w:spacing w:after="0" w:line="72"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Research and development (“R&amp;D”) costs are expensed as incurred. Research and development expenses include salaries, share-based compensation and benefits of employees, and other costs related to the Company’s R&amp;D activities, including contracts with clinical research organizations and contract manufacturers. As part of the process of preparing financial statements the Company is required to estimate its expenses resulting from its obligations under contracts with vendors and consultants and clinical site agreements in connection with its R&amp;D efforts. The financial terms of these contracts are subject to negotiations which vary contract to contract and may result in payment flows that do not match the periods over which materials or services are provided to the Company under such contracts. The Company’s objective is to reflect the appropriate clinical trial expenses in its financial statements by matching those expenses with the period in which services and efforts are expended. The Company accounts for these expenses according to the progress of the trials and other development activities measured by patient progression and the timing of various aspects of the trial. The Company determines prepaid and accrual estimates through discussions with applicable personnel and outside service providers as to the progress of clinical trials, or other services completed. During the course of a clinical trial, the Company adjusts its rate of clinical trial expense recognition if actual results differ from its estimates. The Company makes estimates of its prepaid and accrued expenses as of each balance sheet date in its financial statements based on facts and circumstances known at that time. Although the Company does not expect its estimates to be materially different from amounts actually incurred, its understanding of the status and timing of services performed relative to the actual status and timing of services performed may vary and may result in the Company reporting amounts that are too high or too low for any particular period. The Company’s clinical trial prepaid and accrual expense is dependent upon the timely and accurate reporting of study recruitment from contract research organizations and activities carried out by other third-party vendors as well as the timely processing of any change orders from the contract research organizations.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Share-based compensation</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Company has a share-based compensation plan under which various types of equity-based awards may be granted, including stock options and restricted stock units (RSUs). The fair value of share options and RSUs, which are subject to milestone or service conditions with graded vesting, are recognized as compensation expense using the cliff vesting method; forfeitures are recognized as they occur.</w:t>
      </w:r>
    </w:p>
    <w:p>
      <w:pPr>
        <w:spacing w:after="0" w:line="54"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The Company uses the fair-value based method to determine compensation for all arrangements under which employees receive shares. The fair value of each option and RSU is estimated on the date of grant using the Black-Scholes valuation model that uses assumptions for expected volatility, expected dividends, expected term, and the risk-free interest rate. Expected volatility is based on the historical volatility of the Company’s ordinary shares over the expected term of the options. The expected term of options granted is derived using the simplified method, which computes the expected term as the average of the sum of the vesting term plus the contract term. Historically the risk-free rate has been based on the appropriate U.K. government debt yield. After delisting its Ordinary shares from AIM on October 30, 2020, the Company used U.S. government debt yields.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Details of the assumptions used are set out in note 12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2" w:name="page103"/>
    <w:bookmarkEnd w:id="102"/>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income - United Kingdom R&amp;D tax credits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Other operating income relates to R&amp;D tax credits receivable in the UK. As a company that carries out extensive research and development activities, Verona is subject to the UK R&amp;D Small and Medium Enterprise (“SME”) Program. Qualifying expenditures largely comprise employment costs for research staff, consumables, a proportion of relevant, permitted sub-contract costs and certain internal overhead costs incurred as part of research projects for which it does not receive income.</w:t>
      </w:r>
    </w:p>
    <w:p>
      <w:pPr>
        <w:spacing w:after="0" w:line="54" w:lineRule="exact"/>
        <w:rPr>
          <w:sz w:val="20"/>
          <w:szCs w:val="20"/>
          <w:color w:val="auto"/>
        </w:rPr>
      </w:pPr>
    </w:p>
    <w:p>
      <w:pPr>
        <w:ind w:right="120"/>
        <w:spacing w:after="0" w:line="347" w:lineRule="auto"/>
        <w:rPr>
          <w:sz w:val="20"/>
          <w:szCs w:val="20"/>
          <w:color w:val="auto"/>
        </w:rPr>
      </w:pPr>
      <w:r>
        <w:rPr>
          <w:rFonts w:ascii="Arial" w:cs="Arial" w:eastAsia="Arial" w:hAnsi="Arial"/>
          <w:sz w:val="14"/>
          <w:szCs w:val="14"/>
          <w:color w:val="auto"/>
        </w:rPr>
        <w:t xml:space="preserve">Tax credits related to the SME Program are received as cash and are recorded as other income, as they are akin to grant income, in the consolidated statements of operations and comprehensive loss. </w:t>
      </w:r>
      <w:r>
        <w:rPr>
          <w:rFonts w:ascii="Arial" w:cs="Arial" w:eastAsia="Arial" w:hAnsi="Arial"/>
          <w:sz w:val="14"/>
          <w:szCs w:val="14"/>
          <w:i w:val="1"/>
          <w:iCs w:val="1"/>
          <w:color w:val="auto"/>
        </w:rPr>
        <w:t>Income taxes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Company accounts for income taxes in accordance with ASC 740, “Income Taxes” (“ASC 740”). This Topic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Company provides a valuation allowance, if necessary, to reduce deferred tax assets to their estimated realizable value. ASC 740 establishes a single model to address accounting for uncertain tax positions. ASC 740 clarified the accounting for income taxes by prescribing the minimum recognition threshold a tax position is required to meet before being recognized in the financial statements. The Company has no uncertain tax positions.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Comprehensive loss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Company accounts for comprehensive loss in accordance with ASC 220, “Income Statement - Reporting Comprehensive Income”. Comprehensive income represents all changes in stockholders’ equity during the period except those resulting from investments by, or distributions to, stockholders.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Segment Reporting</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one operating and reportable segment, pharmaceutical development. The Company’s long-lived assets are held in the United Kingdom.</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Foreign Currencies</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Reporting currency</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Company’s reporting currency is U.S. dollars. Prior to July 1, 2020, Verona Pharma plc’s functional currency was pounds sterling and its financial statements were translated to U.S. dollars. The statement of comprehensive income was translated at average rates for the period, assets and liabilities at the balance sheet date exchange rate and equity balances at historical rates. Translation differences were recorded in accumulated other comprehensive income / (loss).</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Functional currency</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Company's consolidated financial statements are measured using the currency of the primary economic environment in which the entity operates, which was pounds sterling for Verona Pharma plc until June 30, 2020.</w:t>
      </w:r>
    </w:p>
    <w:p>
      <w:pPr>
        <w:spacing w:after="0" w:line="48"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In the six months to June 30, 2020, management changes resulted in lower people costs being paid in pounds sterling. Following the Company’s private placement in July 2020 (the “Private Placement”) the Company entered into contracts to commence Phase 3 trials for ensifentrine and the majority of the costs are incurred in U.S. dollars. Management reviewed budgeted activities over the next five years and identified that the majority of costs from the second half of 2020 onwards will be incurred in U.S. dollars. Furthermore, the Private Placement raised funds in U.S. dollars and having delisted from AIM any future fundraises will be in U.S. dollars. Also, the commercial focus of Company is the U.S. market.</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As a consequence, management determined the Company's functional currency changed from pounds sterling to U.S. dollars and was accounted for prospectively from July 1, 2020. To convert Verona Pharma plc’s books and records into U.S. dollars, income and expenses were translated at average rates, assets and liabilities at the June 30, 2020, exchange rate, and equity balances at historical rates. Translation differences were recorded in accumulated other comprehensive income/(loss).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3" w:name="page104"/>
    <w:bookmarkEnd w:id="103"/>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Treasury shares</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In the year ended December 31, 2020, the Company incorporated a trust to facilitate the acquisition of shares, by or for the benefit of employees and former employees. In the year ended December 31, 2020, the Company issued 25 million ordinary shares (equivalent to 3.125 million ADSs) to cover expected shares issued upon the vesting of share awards to employees.</w:t>
      </w:r>
    </w:p>
    <w:p>
      <w:pPr>
        <w:spacing w:after="0" w:line="2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Company has the indirect ability to control the trust as trustees are required to act in accordance with the trust deed and because the Company controls the issuance of shares to cover awards. As a consequence, the trust is consolidated into the Company’s consolidated financial statements. The shares that were issued to the trust that have not been issued to employees to satisfy vesting of share awards are included in the Consolidated Balance Sheet as treasury shares.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Fair value of financial instruments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US GAAP defines fair value and requires companies to establish a framework for measuring fair value and disclosure about fair value measurements using a three-tier approach.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Our financial instruments include cash equivalents, an equity interest, other assets, accounts payable and accrued expenses and other liabilities. Fair value estimates of these instruments are made at a specific point in time, based on relevant market information. These estimates may be subjective in nature and involve uncertainties and matters of significant judgement and therefore cannot be determined with precision. The equity interest is held at cost subject to impairment, following guidance from ASC 321-10-35-2. The carrying amounts of the other instruments are considered to be representative of their fair values because of their short-term nature.</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Concentration of credit risk</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Financial instruments that potentially subject the Company to concentration of credit risk consist of principally cash and cash equivalents, bank deposits and certain receivables.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Company holds cash and cash equivalents with highly rated financial institutions and in highly rated money market funds and the Company has not experienced any significant credit losses in these accounts and does not believe the Company is exposed to any significant credit risk on these instruments.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 accounting</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company accounts for leases in accordance with ASU No. 2016-02, “Leases” (Topic 842) (“ASC 842”). The standard requires lessees to recognize almost all leases on the balance sheet as right-of-use (“ROU”) assets and lease liabilities, and requires leases to be classified as either operating or finance type leases.</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Under ASC 842, the Company determines if an arrangement is a lease at inception. ROU assets and liabilities are recognized at the commencement date based on the present value of remaining lease payments. For this purpose, the Company considers only payments that are fixed and determinable at the time of commencement.</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As the Company's leases do not provide an implicit rate, the Company determines the incremental borrowing rate in calculating the present value of lease payments. The ROU assets also include any lease payments made prior to commencement and are recorded net of any lease incentives received.</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Company’s lease terms may include options to extend or terminate the lease. When it is reasonably certain the Company will exercise such options the lease will be recognized as a liability and a corresponding ROU asset also recognized.</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Operating leases are included in operating lease ROU assets in current and non-current operating lease liabilities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4" w:name="page105"/>
    <w:bookmarkEnd w:id="104"/>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Recently issued accounting pronouncements, not yet adopted</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June 2016, the FASB issued ASU 2016-13, Financial Instruments-Credit Losses (Topic 326)-Measurement of Credit Losses on Financial Instruments. This guidance replaces the current incurred loss impairment methodology.</w:t>
      </w:r>
    </w:p>
    <w:p>
      <w:pPr>
        <w:spacing w:after="0" w:line="48"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Under the new guidance, on initial recognition and at each reporting period, an entity is required to recognize an allowance that reflects its current estimate of credit losses expected to be incurred over the life of the financial instrument based on historical experience, current conditions and reasonable and supportable forecasts. In November 2019, the FASB issued ASU No. 2019-10, Financial Instruments - Credit Losses (Topic 326), Derivatives and Hedging (Topic 815), and Leases (Topic 842): Effective Dates (“ASU 2019-10”). The purpose of this amendment is to create a two tier rollout of major updates, staggering the effective dates between larger public companies and all other entities. This granted certain classes of companies, including Smaller Reporting Companies (“SRCs”), additional time to implement major FASB standards, including ASU 2016-13. Larger public companies will have an effective date for fiscal years beginning after December 15, 2019, including interim periods within those fiscal years. All other entities are permitted to defer adoption of ASU 2016-13, and its related amendments, until the earlier of fiscal periods beginning after December 15, 2022. Under the current SEC definitions, we meet the definition of an SRC as of the ASU 2019-10 issuance date and are deferring adoption for ASU 2016-13. The guidance requires a modified retrospective transition approach through a cumulative-effect adjustment to retained earnings as of the beginning of the period of adoption. We are currently evaluating the impact of the adoption of ASU 2016-13 on our consolidated financial statements, but do not believe the adoption of this standard will have a material impact on our consolidated financial statements.</w:t>
      </w:r>
    </w:p>
    <w:p>
      <w:pPr>
        <w:spacing w:after="0" w:line="40"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Other accounting standards that have been issued by the FASB or other standards-setting bodies that do not require adoption until a future date are not expected to have a material impact on the Company’s financial statements upon adoption.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Prepaid expenses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Prepaid expenses consisted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4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Clinical trial and other development costs</w:t>
            </w:r>
          </w:p>
        </w:tc>
        <w:tc>
          <w:tcPr>
            <w:tcW w:w="880" w:type="dxa"/>
            <w:vAlign w:val="bottom"/>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2,551</w:t>
            </w: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color w:val="auto"/>
              </w:rPr>
              <w:t>Insurance</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1,555</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1,701</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71"/>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Total prepaid expenses</w:t>
            </w:r>
          </w:p>
        </w:tc>
        <w:tc>
          <w:tcPr>
            <w:tcW w:w="8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4,037</w:t>
            </w:r>
          </w:p>
        </w:tc>
        <w:tc>
          <w:tcPr>
            <w:tcW w:w="12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4,538</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4"/>
                <w:szCs w:val="14"/>
                <w:b w:val="1"/>
                <w:bCs w:val="1"/>
                <w:color w:val="auto"/>
              </w:rPr>
              <w:t>Note 4 - Tax incentive receivables</w:t>
            </w: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4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400" w:type="dxa"/>
            <w:vAlign w:val="bottom"/>
          </w:tcPr>
          <w:p>
            <w:pPr>
              <w:spacing w:after="0"/>
              <w:rPr>
                <w:sz w:val="20"/>
                <w:szCs w:val="20"/>
                <w:color w:val="auto"/>
              </w:rPr>
            </w:pPr>
            <w:r>
              <w:rPr>
                <w:rFonts w:ascii="Arial" w:cs="Arial" w:eastAsia="Arial" w:hAnsi="Arial"/>
                <w:sz w:val="14"/>
                <w:szCs w:val="14"/>
                <w:color w:val="auto"/>
              </w:rPr>
              <w:t>Taxes receivable consisted of the following (in thousands):</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400" w:type="dxa"/>
            <w:vAlign w:val="bottom"/>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84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R&amp;D tax credit receivable - U.K.</w:t>
            </w:r>
          </w:p>
        </w:tc>
        <w:tc>
          <w:tcPr>
            <w:tcW w:w="880" w:type="dxa"/>
            <w:vAlign w:val="bottom"/>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15,583</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8,202</w:t>
            </w: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color w:val="auto"/>
              </w:rPr>
              <w:t>Tax receivable - U.S.</w:t>
            </w:r>
          </w:p>
        </w:tc>
        <w:tc>
          <w:tcPr>
            <w:tcW w:w="8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96"/>
        </w:trPr>
        <w:tc>
          <w:tcPr>
            <w:tcW w:w="8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tax receivable</w:t>
            </w:r>
          </w:p>
        </w:tc>
        <w:tc>
          <w:tcPr>
            <w:tcW w:w="88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15,583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8,260</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5" w:name="page106"/>
    <w:bookmarkEnd w:id="105"/>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Property leases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right-of-use assets (“ROU”) relate to rented office space in London and North Carolina, with leases ending in 2023 and 2024, respectively.</w:t>
      </w:r>
    </w:p>
    <w:p>
      <w:pPr>
        <w:spacing w:after="0" w:line="72"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In the year ended December 31, 2021, the Company extended its existing London lease. As a consequence it modified its accounting for the lease and recorded $0.6 million lease liability and corresponding ROU asset.</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In the year ended December 31, 2020, the Company entered into a lease arrangement in North Carolina for office space and recognized lease liability and corresponding ROU asset of $0.7 million.</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To calculate lease liabilities the Company used a weighted average discount rate of 8%. The weighted average remaining lease term is 1.8 years.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Minimum annual payments over the remaining lease periods as of December 31, 2021 are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color w:val="auto"/>
              </w:rPr>
              <w:t>2023</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71"/>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minimum future lease payments</w:t>
            </w: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w w:val="76"/>
              </w:rPr>
              <w:t>$</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r>
        <w:trPr>
          <w:trHeight w:val="17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imputed interest</w:t>
            </w: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1"/>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Total operating lease liabilities</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w w:val="76"/>
              </w:rPr>
              <w:t>$</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934</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4"/>
                <w:szCs w:val="14"/>
                <w:color w:val="auto"/>
              </w:rPr>
              <w:t>The total operating lease expense included in selling, general and administrative costs was $651,000.</w:t>
            </w: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84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400" w:type="dxa"/>
            <w:vAlign w:val="bottom"/>
          </w:tcPr>
          <w:p>
            <w:pPr>
              <w:spacing w:after="0"/>
              <w:rPr>
                <w:sz w:val="20"/>
                <w:szCs w:val="20"/>
                <w:color w:val="auto"/>
              </w:rPr>
            </w:pPr>
            <w:r>
              <w:rPr>
                <w:rFonts w:ascii="Arial" w:cs="Arial" w:eastAsia="Arial" w:hAnsi="Arial"/>
                <w:sz w:val="14"/>
                <w:szCs w:val="14"/>
                <w:b w:val="1"/>
                <w:bCs w:val="1"/>
                <w:color w:val="auto"/>
              </w:rPr>
              <w:t>Note 6 - Accrued expenses</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400" w:type="dxa"/>
            <w:vAlign w:val="bottom"/>
          </w:tcPr>
          <w:p>
            <w:pPr>
              <w:spacing w:after="0"/>
              <w:rPr>
                <w:sz w:val="20"/>
                <w:szCs w:val="20"/>
                <w:color w:val="auto"/>
              </w:rPr>
            </w:pPr>
            <w:r>
              <w:rPr>
                <w:rFonts w:ascii="Arial" w:cs="Arial" w:eastAsia="Arial" w:hAnsi="Arial"/>
                <w:sz w:val="14"/>
                <w:szCs w:val="14"/>
                <w:color w:val="auto"/>
              </w:rPr>
              <w:t>Accrued expenses consisted of the following (in thousands):</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400" w:type="dxa"/>
            <w:vAlign w:val="bottom"/>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w w:val="92"/>
              </w:rPr>
              <w:t>December 31,</w:t>
            </w: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84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2021</w:t>
            </w: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Clinical trial and other development costs</w:t>
            </w:r>
          </w:p>
        </w:tc>
        <w:tc>
          <w:tcPr>
            <w:tcW w:w="880" w:type="dxa"/>
            <w:vAlign w:val="bottom"/>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21,336</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8,607</w:t>
            </w: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color w:val="auto"/>
              </w:rPr>
              <w:t>Professional fees, listing and general corporate costs</w:t>
            </w:r>
          </w:p>
        </w:tc>
        <w:tc>
          <w:tcPr>
            <w:tcW w:w="88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919</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2,149</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People related costs</w:t>
            </w:r>
          </w:p>
        </w:tc>
        <w:tc>
          <w:tcPr>
            <w:tcW w:w="8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71"/>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Total accrued expenses</w:t>
            </w:r>
          </w:p>
        </w:tc>
        <w:tc>
          <w:tcPr>
            <w:tcW w:w="8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22,256</w:t>
            </w:r>
          </w:p>
        </w:tc>
        <w:tc>
          <w:tcPr>
            <w:tcW w:w="12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10,863</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6" w:name="page107"/>
    <w:bookmarkEnd w:id="106"/>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 Warrants</w:t>
      </w:r>
    </w:p>
    <w:p>
      <w:pPr>
        <w:spacing w:after="0" w:line="161"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In 2016, the Company issued 31,115,926 units to new and existing investors at the placing price of £1.4365 per unit. Each unit comprised one ordinary share and one warrant. The warrant holders can subscribe for 0.4 of an ordinary share at a per share exercise price of £1.7238 until May 2, 2022. The warrant holders can opt for a cashless exercise of their warrants, whereby the warrant holders can choose to exchange the warrants held for a reduced number of warrants exercisable at nil consideration. The reduced number of warrants is calculated based on a formula considering the share price and the exercise price of the warrants.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At December 31, 2021, 31,003,155 warrants remain outstanding and entitle the investors to subscribe for, in aggregate, a maximum of 12,401,262 ordinary shares.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If, after a transaction, should the warrants be exercisable for unlisted securities, the warrant holders may demand a cash payment instead of the delivery of the underlying securities. Accordingly, the warrants are accounted for as a liability under ASC 480 “Distinguishing Liabilities from Equity”.The warrants are measured at fair value, classified as Level 3 in the fair value hierarchy, with movements recorded in finance income/(expense) in the Consolidated Statements of Operations and Comprehensive Loss.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In the years ended December 31, 2021, and 2020, no warrants were exercised or forfeited.</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The warrants had no intrinsic value as at December 31, 2021.</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color w:val="auto"/>
        </w:rPr>
        <w:t>There have been no changes in valuation techniques or transfers between fair value measurement levels during the years ended December 31, 2021 and 2020. The warrants are valued using the Black-</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Scholes model and the table below presents the assumptions used: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9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1"/>
                <w:szCs w:val="11"/>
                <w:b w:val="1"/>
                <w:bCs w:val="1"/>
                <w:color w:val="auto"/>
              </w:rPr>
              <w:t>December 31,</w:t>
            </w: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9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3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31"/>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potentially issued under warrants</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12,401,262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12,401,262</w:t>
            </w:r>
          </w:p>
        </w:tc>
        <w:tc>
          <w:tcPr>
            <w:tcW w:w="0" w:type="dxa"/>
            <w:vAlign w:val="bottom"/>
          </w:tcPr>
          <w:p>
            <w:pPr>
              <w:spacing w:after="0"/>
              <w:rPr>
                <w:sz w:val="1"/>
                <w:szCs w:val="1"/>
                <w:color w:val="auto"/>
              </w:rPr>
            </w:pPr>
          </w:p>
        </w:tc>
      </w:tr>
      <w:tr>
        <w:trPr>
          <w:trHeight w:val="180"/>
        </w:trPr>
        <w:tc>
          <w:tcPr>
            <w:tcW w:w="7900" w:type="dxa"/>
            <w:vAlign w:val="bottom"/>
          </w:tcPr>
          <w:p>
            <w:pPr>
              <w:ind w:left="20"/>
              <w:spacing w:after="0"/>
              <w:rPr>
                <w:sz w:val="20"/>
                <w:szCs w:val="20"/>
                <w:color w:val="auto"/>
              </w:rPr>
            </w:pPr>
            <w:r>
              <w:rPr>
                <w:rFonts w:ascii="Arial" w:cs="Arial" w:eastAsia="Arial" w:hAnsi="Arial"/>
                <w:sz w:val="14"/>
                <w:szCs w:val="14"/>
                <w:color w:val="auto"/>
              </w:rPr>
              <w:t>Exercise price in pounds sterling</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40" w:type="dxa"/>
            <w:vAlign w:val="bottom"/>
          </w:tcPr>
          <w:p>
            <w:pPr>
              <w:jc w:val="right"/>
              <w:ind w:right="113"/>
              <w:spacing w:after="0"/>
              <w:rPr>
                <w:sz w:val="20"/>
                <w:szCs w:val="20"/>
                <w:color w:val="auto"/>
              </w:rPr>
            </w:pPr>
            <w:r>
              <w:rPr>
                <w:rFonts w:ascii="Arial" w:cs="Arial" w:eastAsia="Arial" w:hAnsi="Arial"/>
                <w:sz w:val="14"/>
                <w:szCs w:val="14"/>
                <w:color w:val="auto"/>
              </w:rPr>
              <w:t>1.7238</w:t>
            </w:r>
          </w:p>
        </w:tc>
        <w:tc>
          <w:tcPr>
            <w:tcW w:w="100" w:type="dxa"/>
            <w:vAlign w:val="bottom"/>
          </w:tcPr>
          <w:p>
            <w:pPr>
              <w:spacing w:after="0"/>
              <w:rPr>
                <w:sz w:val="15"/>
                <w:szCs w:val="15"/>
                <w:color w:val="auto"/>
              </w:rPr>
            </w:pPr>
          </w:p>
        </w:tc>
        <w:tc>
          <w:tcPr>
            <w:tcW w:w="100" w:type="dxa"/>
            <w:vAlign w:val="bottom"/>
          </w:tcPr>
          <w:p>
            <w:pPr>
              <w:jc w:val="center"/>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color w:val="auto"/>
              </w:rPr>
              <w:t>1.7238</w:t>
            </w:r>
          </w:p>
        </w:tc>
        <w:tc>
          <w:tcPr>
            <w:tcW w:w="0" w:type="dxa"/>
            <w:vAlign w:val="bottom"/>
          </w:tcPr>
          <w:p>
            <w:pPr>
              <w:spacing w:after="0"/>
              <w:rPr>
                <w:sz w:val="1"/>
                <w:szCs w:val="1"/>
                <w:color w:val="auto"/>
              </w:rPr>
            </w:pPr>
          </w:p>
        </w:tc>
      </w:tr>
      <w:tr>
        <w:trPr>
          <w:trHeight w:val="181"/>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0"/>
        </w:trPr>
        <w:tc>
          <w:tcPr>
            <w:tcW w:w="7900" w:type="dxa"/>
            <w:vAlign w:val="bottom"/>
          </w:tcPr>
          <w:p>
            <w:pPr>
              <w:ind w:left="20"/>
              <w:spacing w:after="0"/>
              <w:rPr>
                <w:sz w:val="20"/>
                <w:szCs w:val="20"/>
                <w:color w:val="auto"/>
              </w:rPr>
            </w:pPr>
            <w:r>
              <w:rPr>
                <w:rFonts w:ascii="Arial" w:cs="Arial" w:eastAsia="Arial" w:hAnsi="Arial"/>
                <w:sz w:val="14"/>
                <w:szCs w:val="14"/>
                <w:color w:val="auto"/>
              </w:rPr>
              <w:t>Expected term to exercise</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81"/>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Annualized volatility</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105.4 %</w:t>
            </w:r>
          </w:p>
        </w:tc>
        <w:tc>
          <w:tcPr>
            <w:tcW w:w="0" w:type="dxa"/>
            <w:vAlign w:val="bottom"/>
          </w:tcPr>
          <w:p>
            <w:pPr>
              <w:spacing w:after="0"/>
              <w:rPr>
                <w:sz w:val="1"/>
                <w:szCs w:val="1"/>
                <w:color w:val="auto"/>
              </w:rPr>
            </w:pPr>
          </w:p>
        </w:tc>
      </w:tr>
      <w:tr>
        <w:trPr>
          <w:trHeight w:val="180"/>
        </w:trPr>
        <w:tc>
          <w:tcPr>
            <w:tcW w:w="7900" w:type="dxa"/>
            <w:vAlign w:val="bottom"/>
          </w:tcPr>
          <w:p>
            <w:pPr>
              <w:ind w:left="20"/>
              <w:spacing w:after="0"/>
              <w:rPr>
                <w:sz w:val="20"/>
                <w:szCs w:val="20"/>
                <w:color w:val="auto"/>
              </w:rPr>
            </w:pPr>
            <w:r>
              <w:rPr>
                <w:rFonts w:ascii="Arial" w:cs="Arial" w:eastAsia="Arial" w:hAnsi="Arial"/>
                <w:sz w:val="14"/>
                <w:szCs w:val="14"/>
                <w:color w:val="auto"/>
              </w:rPr>
              <w:t>Dividend rate</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1"/>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Calculated value of the warrants, in thousands of U.S. dollars</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2,246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The following table shows the movement of the value of the warrants (in thousands):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7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4"/>
          </w:tcPr>
          <w:p>
            <w:pPr>
              <w:jc w:val="center"/>
              <w:ind w:left="733"/>
              <w:spacing w:after="0"/>
              <w:rPr>
                <w:sz w:val="20"/>
                <w:szCs w:val="20"/>
                <w:color w:val="auto"/>
              </w:rPr>
            </w:pPr>
            <w:r>
              <w:rPr>
                <w:rFonts w:ascii="Arial" w:cs="Arial" w:eastAsia="Arial" w:hAnsi="Arial"/>
                <w:sz w:val="11"/>
                <w:szCs w:val="11"/>
                <w:b w:val="1"/>
                <w:bCs w:val="1"/>
                <w:color w:val="auto"/>
                <w:w w:val="92"/>
              </w:rPr>
              <w:t>December 31,</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79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At January 1</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2,246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w:t>
            </w:r>
          </w:p>
        </w:tc>
        <w:tc>
          <w:tcPr>
            <w:tcW w:w="0" w:type="dxa"/>
            <w:vAlign w:val="bottom"/>
          </w:tcPr>
          <w:p>
            <w:pPr>
              <w:spacing w:after="0"/>
              <w:rPr>
                <w:sz w:val="1"/>
                <w:szCs w:val="1"/>
                <w:color w:val="auto"/>
              </w:rPr>
            </w:pPr>
          </w:p>
        </w:tc>
      </w:tr>
      <w:tr>
        <w:trPr>
          <w:trHeight w:val="180"/>
        </w:trPr>
        <w:tc>
          <w:tcPr>
            <w:tcW w:w="7900" w:type="dxa"/>
            <w:vAlign w:val="bottom"/>
          </w:tcPr>
          <w:p>
            <w:pPr>
              <w:ind w:left="20"/>
              <w:spacing w:after="0"/>
              <w:rPr>
                <w:sz w:val="20"/>
                <w:szCs w:val="20"/>
                <w:color w:val="auto"/>
              </w:rPr>
            </w:pPr>
            <w:r>
              <w:rPr>
                <w:rFonts w:ascii="Arial" w:cs="Arial" w:eastAsia="Arial" w:hAnsi="Arial"/>
                <w:sz w:val="14"/>
                <w:szCs w:val="14"/>
                <w:color w:val="auto"/>
              </w:rPr>
              <w:t>Fair value adjustment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(2,246)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181"/>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exchange differences recognized in loss for the period</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Translation differences recognized in other comprehensive loss</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96"/>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 December 31</w:t>
            </w:r>
          </w:p>
        </w:tc>
        <w:tc>
          <w:tcPr>
            <w:tcW w:w="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gridSpan w:val="2"/>
          </w:tcPr>
          <w:p>
            <w:pPr>
              <w:spacing w:after="0" w:line="20" w:lineRule="exact"/>
              <w:rPr>
                <w:sz w:val="1"/>
                <w:szCs w:val="1"/>
                <w:color w:val="auto"/>
              </w:rPr>
            </w:pPr>
          </w:p>
        </w:tc>
        <w:tc>
          <w:tcPr>
            <w:tcW w:w="15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9640" w:type="dxa"/>
            <w:vAlign w:val="bottom"/>
            <w:gridSpan w:val="5"/>
          </w:tcPr>
          <w:p>
            <w:pPr>
              <w:spacing w:after="0"/>
              <w:rPr>
                <w:sz w:val="20"/>
                <w:szCs w:val="20"/>
                <w:color w:val="auto"/>
              </w:rPr>
            </w:pPr>
            <w:r>
              <w:rPr>
                <w:rFonts w:ascii="Arial" w:cs="Arial" w:eastAsia="Arial" w:hAnsi="Arial"/>
                <w:sz w:val="14"/>
                <w:szCs w:val="14"/>
                <w:color w:val="auto"/>
                <w:w w:val="98"/>
              </w:rPr>
              <w:t>For the amount recognized at December 31, 2021, the effect when the following parameter deviates up or down is presented in the below table (in thousands):</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6"/>
        </w:trPr>
        <w:tc>
          <w:tcPr>
            <w:tcW w:w="7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 volatility increase</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0"/>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Base case, reported fair value</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 volatility decrease</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7" w:name="page108"/>
    <w:bookmarkEnd w:id="107"/>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 Term loan</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In November 2020, the Company and its wholly owned subsidiary, Verona Pharma, Inc. (“Verona U.S.” and, together with the company, the “Borrowers”) entered into a term loan facility of up to $30.0 million (the “Term Loan”), consisting of term loan advances in an aggregate amount of $5.0 million funded at closing, a term loan advance available subject to certain terms and conditions in an aggregate amount of $10.0 million (the “Term B Loan”) and a term loan advance available subject to certain terms and conditions in an aggregate amount of $15.0 million (the “Term C Loan”), with Silicon Valley Bank, a California corporation (“SVB”), the proceeds of which will be used for general corporate and working capital purposes.</w:t>
      </w:r>
    </w:p>
    <w:p>
      <w:pPr>
        <w:spacing w:after="0" w:line="46"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Term Loan is governed by a loan and security agreement, dated as of November 19, 2020, between the Borrowers and SVB, as amended (the “Loan Agreement”). The Term B Loan will be available, subject to and customary terms and conditions, only during the period commencing upon the achievement of a specific clinical milestone relating to ensifentrine through and including September 30, 2022. The Term C Loan will be available, subject to customary terms and conditions, only during the period commencing upon the achievement of an additional specific clinical milestone relating to ensifentrine through and including June 30, 2023.</w:t>
      </w:r>
    </w:p>
    <w:p>
      <w:pPr>
        <w:spacing w:after="0" w:line="54"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The Term Loan will mature on November 1, 2024. Each advance under the Term Loan accrues interest at a floating per annum rate equal to the greater of (a) the sum of the prime rate reported in The Wall Street Journal plus 1.00% and (b) four and one-quarter of one percent (4.25%). The Term Loan provides for interest-only payments on a monthly basis until the payment date immediately preceding December 1, 2023. Thereafter, amortization payments will be payable monthly in equal installments of principal plus monthly payments of accrued interest. Upon repayment (whether at maturity, upon acceleration or by prepayment or otherwise), the Borrowers shall make a final payment to SVB in the amount of 10% of the aggregate Term Loans advanced (the "Final Payment"). The Borrowers may prepay the Term Loan in full but not in part provided that the Borrowers (i) provide ten days’ prior written notice to SVB, (ii) pays on the date of such prepayment (A) all outstanding principal plus accrued and unpaid interest, (B) a prepayment fee of $450,000 plus 3.0% of the Term C Loans advanced if paid on or before the first anniversary of the closing date; $300,000 plus 2.00% of the Term C Loans advanced if paid after the first anniversary of the closing date and on or before the second anniversary of the closing date; and $150,000 plus 1.00% of the Term C Loans advanced if paid thereafter and prior to maturity, (C) the Final Payment and (D) all other sums, if any, that shall become due and payable with respect to the Term Loan Advances, including interest at the Default Rate with respect to any past due amounts. Amounts outstanding during an event of default are payable upon SVB's demand and shall accrue interest at an additional rate of 3.0% per annum.</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Term Loan is secured by a lien on substantially all of the assets of the Borrowers, other than the equity interests of Verona U.S. and other than intellectual property, provided that such lien on substantially all assets includes any rights to payments and proceeds from the sale, licensing or disposition of intellectual property. The Borrowers have also granted SVB a negative pledge with respect to its intellectual property.</w:t>
      </w:r>
    </w:p>
    <w:p>
      <w:pPr>
        <w:spacing w:after="0" w:line="54"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The Loan Agreement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Loan Agreement also contains other customary provisions, such as expense reimbursement, non-disclosure obligations as well as indemnification rights for the benefit of SVB. The Loan Agreement includes a minimum cash covenant triggered when Borrowers' consolidated cash and cash equivalents drop below $45.0 million at any time after the earliest to occur of any of the following: (i) the release of negative data from ENHANCE-2 and/or ENHANCE-1, which in the reasonable business discretion Borrowers’ senior management, would be considered insufficient to support submission of an NDA to the FDA, (ii) the FDA issues a complete response letter with respect to an NDA submitted for ensifentrine, or (iii) failure to achieve a specific regulatory milestone relating to ensifentrine by June 30, 2023 (extendable to March 31, 2024 upon the Borrowers receiving a specified amount of new cash proceeds after September 8, 2020 from the sale of equity securities in one or more public financings or other bona fide equity financings, subordinated debt and/or upfront/milestone payments from one or more collaboration agreements not prohibited in the Loan Agreement). Upon such trigger, Borrowers must cash collateralize an amount equal to the outstanding obligations to SVB plus the amount of any prepayment penalty and Final Payment which would be due in the event the Loan Agreement were prepaid in full with respect to the Term Loans advanced as of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8" w:name="page109"/>
    <w:bookmarkEnd w:id="108"/>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The events of default under the Loan Agreement include, but are not limited to, the Borrowers’ failure to make any payments of principal or interest under the Loan Agreement or other transaction documents, the Borrowers’ breach or default in the performance of any covenant under the Loan Agreement or other transaction documents, the occurrence of a material adverse change, any Borrower making a false or misleading representation or warranty in any material respect under the Loan Agreement, any Borrower’s insolvency or bankruptcy, any attachment or judgment on any Borrower’s assets of at least $500,000, or the occurrence of any default under any agreement or obligation of any Borrower involving indebtedness in excess of $500,000. If an event of default occurs, SVB is entitled to take enforcement action, including acceleration of amounts due under the Loan Agreement.</w:t>
      </w:r>
    </w:p>
    <w:p>
      <w:pPr>
        <w:spacing w:after="0" w:line="56"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connection with the Term Loan the Company incurred debt issuance costs totaling approximately $400 thousand which were deducted from the carrying amount of the debt and are being amortized over the estimated term of the debt using the effective interest method.</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As of December 31, 2021, the carrying value of the Term Loan was approximately $4.9 million, of which all was due in greater than 12 months. The debt balance has been categorized within Level 3 of the fair value hierarchy. The carrying amount of the debt approximates its fair value based on prevailing interest rates as of the balance sheet date.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 Significant agreements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Ligand agreement</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See note 2 for Ligand agreement details.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Nuance agreement</w:t>
      </w:r>
    </w:p>
    <w:p>
      <w:pPr>
        <w:spacing w:after="0" w:line="72"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The Company entered into a collaboration and license agreement (the “Nuance Agreement”) with Nuance Pharma Limited (“Nuance Pharma”) effective June 9, 2021 (the “Effective Date”), under which the Company granted Nuance Pharma the exclusive rights to develop and commercialize ensifentrine in Greater China (China, Taiwan, Hong Kong and Macau). In return, the Company received an unconditional right to consideration aggregating $40.0 million consisting of $25.0 million in cash and an equity interest, valued at $15.0 million as of the Effective Date, in Nuance Biotech, the parent company of Nuance Pharma. The Company is eligible to receive future milestone payments of up to $179.0 million triggered upon achievement of certain clinical, regulatory, and commercial milestones, as well as tiered double-digit royalties as a percentage of net sales of the products in Greater China. The Company will recognize these milestones when it is probable that a significant revenue reversal would not occur.</w:t>
      </w:r>
    </w:p>
    <w:p>
      <w:pPr>
        <w:spacing w:after="0" w:line="54"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As of December 31, 2021, the $25.0 million cash payment and $15.0 million equity interest had been received and the holding in Nuance Biotech was recorded as Equity Interest on the Condensed Consolidated Balance Sheet. The Equity Interest is recorded cost subject to impairment. As of December 31, 2021, there had been no transactions to indicate any change in the value of Nuance Biotech’s stock, nor had there been any indications of impairment. The Equity Interest is therefore recorded at a value of $15.0 million as of December 31, 2021.</w:t>
      </w:r>
    </w:p>
    <w:p>
      <w:pPr>
        <w:spacing w:after="0" w:line="41"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Under the terms of the Nuance Agreement, at any time until three months prior to the expected submission of the first New Drug Application in Greater China, if (i) a third party is interested in partnering with the Company, either globally or in territory covering at least the United States or Europe, for the development and/or commercialization of ensifentrine or (ii) the Company undergoes a change of control, the Company will have an exclusive option right to buy back the license granted to Nuance Pharma and all related assets. The price is agreed to be equal to the aggregate of (i) all prior amounts paid by Nuance Pharma to the Company in cash under the agreement and (ii) all development and regulatory costs incurred and paid by Nuance Pharma in connection with the development and commercialization of ensifentrine under the Nuance Agreement multiplied by a single-digit factor range dependent upon achievement of certain milestones, subject to a specified maximum amount.</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Company reviewed the buy-back option and determined that because it is conditional on a third party the Company does not have the practical ability to exercise it and, accordingly, the contract is accounted for under ASC 606.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9" w:name="page110"/>
    <w:bookmarkEnd w:id="109"/>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transaction price at the Effective Date of the Nuance Agreement was $40.0 million consisting of the $25.0 million upfront cash payment and $15.0 million equity interest. Developmental and regulatory milestones, and the manufacture and supply of ensifentrine drug product, were not included in the transaction price as management determined that it is not probable that a significant reversal in the amount of cumulative revenue recognized will not occur. Commercial milestones and sales royalties were also excluded and will be recognized when the milestones are achieved or the sales occur in Greater China.</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performance obligations in the Nuance Agreement include the grant of the license (including the right to commercialize ensifentrine until the end of the term, the sharing of certain know how, and the sharing of certain clinical and regulatory data), and manufacture and supply of ensifentrine drug product. The company have determined that the manufacturing and supply was not at a discount.</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Company has determined that the license and the know how shared with Nuance Pharma constitutes functional intellectual property and that revenue relating to this should be recognized at a point in time. Consequently, the Company determined that it fulfilled its obligations to Nuance Pharma after it delivered the know how that will allow Nuance Pharma to file an investigational new drug application in Greater China. This know how was delivered in the year ended December 31, 2021, and the $40.0 million revenue was therefore recognized as revenue in this period. Revenue relating to the manufacture and supply obligations will be recognized when the drug product is delivered.</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On the Effective Date, $4.0 million of costs of obtaining the contract were recorded as a contract asset. As of December 31, 2021, the entire cost had been recognized in the Consolidated Statements of Operations.</w:t>
      </w:r>
    </w:p>
    <w:p>
      <w:pPr>
        <w:spacing w:after="0" w:line="48"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Subsequent to the Effective Date, Ligand notified the Company that it believes that Nuance Pharma is a sub-licensee under the Ligand Agreement and that the Company is therefore under an obligation to make a sublicense payment to Ligand equal to 25% of the $40.0 million upfront transaction price. The Company does not believe it has granted a sublicense of or otherwise transferred to Nuance any Ligand intellectual property or know how and therefore the Company believes that it is not under any obligation to pay the requested sum to Ligand.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 Benefit plans</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Company maintains a 401(k) defined contribution retirement plan in the U.S. and a defined contribution plan in the U.K. for its employees and executive director. The assets of the plans are held separately from those of the Company in independently administered funds.</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retirement plan cost charge represents the contributions payable by the Company to the plans during the year. Defined contribution costs during the years ended December 31, 2021 and 2020 amounted to $274 thousand and $315 thousand,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0" w:name="page111"/>
    <w:bookmarkEnd w:id="110"/>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 Taxation</w:t>
      </w:r>
    </w:p>
    <w:p>
      <w:pPr>
        <w:spacing w:after="0" w:line="161"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Verona Pharma plc operates in the United Kingdom and Verona Pharma, Inc. in the United States and they are subject to income taxes in those countries. U.K. corporation tax is charged at 19% and the U.S. Federal Income tax rate is 21%.</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(profit)/loss before income taxes are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5"/>
          </w:tcPr>
          <w:p>
            <w:pPr>
              <w:jc w:val="right"/>
              <w:ind w:right="69"/>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2021</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jc w:val="right"/>
              <w:ind w:right="511"/>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90"/>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800" w:type="dxa"/>
            <w:vAlign w:val="bottom"/>
            <w:shd w:val="clear" w:color="auto" w:fill="CCEEFF"/>
          </w:tcPr>
          <w:p>
            <w:pPr>
              <w:jc w:val="right"/>
              <w:ind w:right="655"/>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(4,850)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(3,191)</w:t>
            </w: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United Kingdom</w:t>
            </w:r>
          </w:p>
        </w:tc>
        <w:tc>
          <w:tcPr>
            <w:tcW w:w="8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60,437</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68,191</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80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55,587</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65,000</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The components of income tax expense are as follows (in thousands):</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5"/>
          </w:tcPr>
          <w:p>
            <w:pPr>
              <w:jc w:val="right"/>
              <w:ind w:right="69"/>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82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80"/>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800" w:type="dxa"/>
            <w:vAlign w:val="bottom"/>
            <w:shd w:val="clear" w:color="auto" w:fill="CCEEFF"/>
          </w:tcPr>
          <w:p>
            <w:pPr>
              <w:jc w:val="right"/>
              <w:ind w:right="655"/>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80"/>
        </w:trPr>
        <w:tc>
          <w:tcPr>
            <w:tcW w:w="8400" w:type="dxa"/>
            <w:vAlign w:val="bottom"/>
            <w:gridSpan w:val="2"/>
          </w:tcPr>
          <w:p>
            <w:pPr>
              <w:ind w:left="20"/>
              <w:spacing w:after="0"/>
              <w:rPr>
                <w:sz w:val="20"/>
                <w:szCs w:val="20"/>
                <w:color w:val="auto"/>
              </w:rPr>
            </w:pPr>
            <w:r>
              <w:rPr>
                <w:rFonts w:ascii="Arial" w:cs="Arial" w:eastAsia="Arial" w:hAnsi="Arial"/>
                <w:sz w:val="14"/>
                <w:szCs w:val="14"/>
                <w:color w:val="auto"/>
              </w:rPr>
              <w:t>United Kingdom</w:t>
            </w:r>
          </w:p>
        </w:tc>
        <w:tc>
          <w:tcPr>
            <w:tcW w:w="800" w:type="dxa"/>
            <w:vAlign w:val="bottom"/>
          </w:tcPr>
          <w:p>
            <w:pPr>
              <w:spacing w:after="0"/>
              <w:rPr>
                <w:sz w:val="15"/>
                <w:szCs w:val="15"/>
                <w:color w:val="auto"/>
              </w:rPr>
            </w:pPr>
          </w:p>
        </w:tc>
        <w:tc>
          <w:tcPr>
            <w:tcW w:w="70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current tax (credit)/expense</w:t>
            </w:r>
          </w:p>
        </w:tc>
        <w:tc>
          <w:tcPr>
            <w:tcW w:w="800" w:type="dxa"/>
            <w:vAlign w:val="bottom"/>
            <w:tcBorders>
              <w:top w:val="single" w:sz="8" w:color="auto"/>
              <w:bottom w:val="single" w:sz="8" w:color="auto"/>
            </w:tcBorders>
            <w:shd w:val="clear" w:color="auto" w:fill="CCEEFF"/>
          </w:tcPr>
          <w:p>
            <w:pPr>
              <w:jc w:val="right"/>
              <w:ind w:right="655"/>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80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400" w:type="dxa"/>
            <w:vAlign w:val="bottom"/>
            <w:gridSpan w:val="2"/>
          </w:tcPr>
          <w:p>
            <w:pPr>
              <w:ind w:left="20"/>
              <w:spacing w:after="0"/>
              <w:rPr>
                <w:sz w:val="20"/>
                <w:szCs w:val="20"/>
                <w:color w:val="auto"/>
              </w:rPr>
            </w:pPr>
            <w:r>
              <w:rPr>
                <w:rFonts w:ascii="Arial" w:cs="Arial" w:eastAsia="Arial" w:hAnsi="Arial"/>
                <w:sz w:val="14"/>
                <w:szCs w:val="14"/>
                <w:color w:val="auto"/>
              </w:rPr>
              <w:t>United Kingdom</w:t>
            </w:r>
          </w:p>
        </w:tc>
        <w:tc>
          <w:tcPr>
            <w:tcW w:w="800" w:type="dxa"/>
            <w:vAlign w:val="bottom"/>
          </w:tcPr>
          <w:p>
            <w:pPr>
              <w:spacing w:after="0"/>
              <w:rPr>
                <w:sz w:val="15"/>
                <w:szCs w:val="15"/>
                <w:color w:val="auto"/>
              </w:rPr>
            </w:pPr>
          </w:p>
        </w:tc>
        <w:tc>
          <w:tcPr>
            <w:tcW w:w="70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deferred tax expense</w:t>
            </w:r>
          </w:p>
        </w:tc>
        <w:tc>
          <w:tcPr>
            <w:tcW w:w="80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4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income tax (credit)/expense</w:t>
            </w:r>
          </w:p>
        </w:tc>
        <w:tc>
          <w:tcPr>
            <w:tcW w:w="8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4"/>
                <w:szCs w:val="14"/>
                <w:color w:val="auto"/>
              </w:rPr>
              <w:t>A reconciliation of the U.K. statutory income tax rate to our effective income tax rate is as follows (in percentages):</w:t>
            </w: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40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5"/>
          </w:tcPr>
          <w:p>
            <w:pPr>
              <w:jc w:val="right"/>
              <w:ind w:right="149"/>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8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80"/>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U.K. tax rate</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19.0 %</w:t>
            </w:r>
          </w:p>
        </w:tc>
        <w:tc>
          <w:tcPr>
            <w:tcW w:w="0" w:type="dxa"/>
            <w:vAlign w:val="bottom"/>
          </w:tcPr>
          <w:p>
            <w:pPr>
              <w:spacing w:after="0"/>
              <w:rPr>
                <w:sz w:val="1"/>
                <w:szCs w:val="1"/>
                <w:color w:val="auto"/>
              </w:rPr>
            </w:pPr>
          </w:p>
        </w:tc>
      </w:tr>
      <w:tr>
        <w:trPr>
          <w:trHeight w:val="180"/>
        </w:trPr>
        <w:tc>
          <w:tcPr>
            <w:tcW w:w="8400" w:type="dxa"/>
            <w:vAlign w:val="bottom"/>
            <w:gridSpan w:val="2"/>
          </w:tcPr>
          <w:p>
            <w:pPr>
              <w:ind w:left="20"/>
              <w:spacing w:after="0"/>
              <w:rPr>
                <w:sz w:val="20"/>
                <w:szCs w:val="20"/>
                <w:color w:val="auto"/>
              </w:rPr>
            </w:pPr>
            <w:r>
              <w:rPr>
                <w:rFonts w:ascii="Arial" w:cs="Arial" w:eastAsia="Arial" w:hAnsi="Arial"/>
                <w:sz w:val="14"/>
                <w:szCs w:val="14"/>
                <w:color w:val="auto"/>
              </w:rPr>
              <w:t>Non-deductible expenses</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81"/>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Research and development incentive</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(10.9)%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0"/>
        </w:trPr>
        <w:tc>
          <w:tcPr>
            <w:tcW w:w="8400" w:type="dxa"/>
            <w:vAlign w:val="bottom"/>
            <w:gridSpan w:val="2"/>
          </w:tcPr>
          <w:p>
            <w:pPr>
              <w:ind w:left="20"/>
              <w:spacing w:after="0"/>
              <w:rPr>
                <w:sz w:val="20"/>
                <w:szCs w:val="20"/>
                <w:color w:val="auto"/>
              </w:rPr>
            </w:pPr>
            <w:r>
              <w:rPr>
                <w:rFonts w:ascii="Arial" w:cs="Arial" w:eastAsia="Arial" w:hAnsi="Arial"/>
                <w:sz w:val="14"/>
                <w:szCs w:val="14"/>
                <w:color w:val="auto"/>
              </w:rPr>
              <w:t>Share options exercised</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2.6 %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0.4 %</w:t>
            </w:r>
          </w:p>
        </w:tc>
        <w:tc>
          <w:tcPr>
            <w:tcW w:w="0" w:type="dxa"/>
            <w:vAlign w:val="bottom"/>
          </w:tcPr>
          <w:p>
            <w:pPr>
              <w:spacing w:after="0"/>
              <w:rPr>
                <w:sz w:val="1"/>
                <w:szCs w:val="1"/>
                <w:color w:val="auto"/>
              </w:rPr>
            </w:pPr>
          </w:p>
        </w:tc>
      </w:tr>
      <w:tr>
        <w:trPr>
          <w:trHeight w:val="181"/>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Change in deferred tax valuation allowance</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0"/>
        </w:trPr>
        <w:tc>
          <w:tcPr>
            <w:tcW w:w="8400" w:type="dxa"/>
            <w:vAlign w:val="bottom"/>
            <w:gridSpan w:val="2"/>
          </w:tcPr>
          <w:p>
            <w:pPr>
              <w:ind w:left="20"/>
              <w:spacing w:after="0"/>
              <w:rPr>
                <w:sz w:val="20"/>
                <w:szCs w:val="20"/>
                <w:color w:val="auto"/>
              </w:rPr>
            </w:pPr>
            <w:r>
              <w:rPr>
                <w:rFonts w:ascii="Arial" w:cs="Arial" w:eastAsia="Arial" w:hAnsi="Arial"/>
                <w:sz w:val="14"/>
                <w:szCs w:val="14"/>
                <w:color w:val="auto"/>
              </w:rPr>
              <w:t>Other differences</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8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Effective income tax rate</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1" w:name="page112"/>
    <w:bookmarkEnd w:id="111"/>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Components of the Company’s deferred tax assets and liabilities are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4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2021</w:t>
            </w:r>
          </w:p>
        </w:tc>
        <w:tc>
          <w:tcPr>
            <w:tcW w:w="1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70"/>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liabilities:</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8400" w:type="dxa"/>
            <w:vAlign w:val="bottom"/>
          </w:tcPr>
          <w:p>
            <w:pPr>
              <w:ind w:left="20"/>
              <w:spacing w:after="0"/>
              <w:rPr>
                <w:sz w:val="20"/>
                <w:szCs w:val="20"/>
                <w:color w:val="auto"/>
              </w:rPr>
            </w:pPr>
            <w:r>
              <w:rPr>
                <w:rFonts w:ascii="Arial" w:cs="Arial" w:eastAsia="Arial" w:hAnsi="Arial"/>
                <w:sz w:val="14"/>
                <w:szCs w:val="14"/>
                <w:color w:val="auto"/>
              </w:rPr>
              <w:t xml:space="preserve">Contingent liability </w:t>
            </w:r>
            <w:r>
              <w:rPr>
                <w:rFonts w:ascii="Arial" w:cs="Arial" w:eastAsia="Arial" w:hAnsi="Arial"/>
                <w:sz w:val="18"/>
                <w:szCs w:val="18"/>
                <w:color w:val="auto"/>
                <w:vertAlign w:val="superscript"/>
              </w:rPr>
              <w:t>(1)</w:t>
            </w:r>
          </w:p>
        </w:tc>
        <w:tc>
          <w:tcPr>
            <w:tcW w:w="340" w:type="dxa"/>
            <w:vAlign w:val="bottom"/>
            <w:vMerge w:val="restart"/>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(8,903)</w:t>
            </w:r>
          </w:p>
        </w:tc>
        <w:tc>
          <w:tcPr>
            <w:tcW w:w="120" w:type="dxa"/>
            <w:vAlign w:val="bottom"/>
          </w:tcPr>
          <w:p>
            <w:pPr>
              <w:spacing w:after="0"/>
              <w:rPr>
                <w:sz w:val="24"/>
                <w:szCs w:val="24"/>
                <w:color w:val="auto"/>
              </w:rPr>
            </w:pPr>
          </w:p>
        </w:tc>
        <w:tc>
          <w:tcPr>
            <w:tcW w:w="420" w:type="dxa"/>
            <w:vAlign w:val="bottom"/>
            <w:vMerge w:val="restart"/>
          </w:tcPr>
          <w:p>
            <w:pPr>
              <w:jc w:val="right"/>
              <w:ind w:right="269"/>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(5,860)</w:t>
            </w:r>
          </w:p>
        </w:tc>
        <w:tc>
          <w:tcPr>
            <w:tcW w:w="0" w:type="dxa"/>
            <w:vAlign w:val="bottom"/>
          </w:tcPr>
          <w:p>
            <w:pPr>
              <w:spacing w:after="0"/>
              <w:rPr>
                <w:sz w:val="1"/>
                <w:szCs w:val="1"/>
                <w:color w:val="auto"/>
              </w:rPr>
            </w:pPr>
          </w:p>
        </w:tc>
      </w:tr>
      <w:tr>
        <w:trPr>
          <w:trHeight w:val="42"/>
        </w:trPr>
        <w:tc>
          <w:tcPr>
            <w:tcW w:w="84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vMerge w:val="continue"/>
          </w:tcPr>
          <w:p>
            <w:pPr>
              <w:spacing w:after="0"/>
              <w:rPr>
                <w:sz w:val="3"/>
                <w:szCs w:val="3"/>
                <w:color w:val="auto"/>
              </w:rPr>
            </w:pPr>
          </w:p>
        </w:tc>
        <w:tc>
          <w:tcPr>
            <w:tcW w:w="104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vMerge w:val="continue"/>
          </w:tcPr>
          <w:p>
            <w:pPr>
              <w:spacing w:after="0"/>
              <w:rPr>
                <w:sz w:val="3"/>
                <w:szCs w:val="3"/>
                <w:color w:val="auto"/>
              </w:rPr>
            </w:pPr>
          </w:p>
        </w:tc>
        <w:tc>
          <w:tcPr>
            <w:tcW w:w="96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deferred tax liabilities</w:t>
            </w: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(8,903)</w:t>
            </w:r>
          </w:p>
        </w:tc>
        <w:tc>
          <w:tcPr>
            <w:tcW w:w="12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(5,860)</w:t>
            </w:r>
          </w:p>
        </w:tc>
        <w:tc>
          <w:tcPr>
            <w:tcW w:w="0" w:type="dxa"/>
            <w:vAlign w:val="bottom"/>
          </w:tcPr>
          <w:p>
            <w:pPr>
              <w:spacing w:after="0"/>
              <w:rPr>
                <w:sz w:val="1"/>
                <w:szCs w:val="1"/>
                <w:color w:val="auto"/>
              </w:rPr>
            </w:pPr>
          </w:p>
        </w:tc>
      </w:tr>
      <w:tr>
        <w:trPr>
          <w:trHeight w:val="150"/>
        </w:trPr>
        <w:tc>
          <w:tcPr>
            <w:tcW w:w="8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assets:</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color w:val="auto"/>
              </w:rPr>
              <w:t>Net operating losses</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26,931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19,855</w:t>
            </w:r>
          </w:p>
        </w:tc>
        <w:tc>
          <w:tcPr>
            <w:tcW w:w="0" w:type="dxa"/>
            <w:vAlign w:val="bottom"/>
          </w:tcPr>
          <w:p>
            <w:pPr>
              <w:spacing w:after="0"/>
              <w:rPr>
                <w:sz w:val="1"/>
                <w:szCs w:val="1"/>
                <w:color w:val="auto"/>
              </w:rPr>
            </w:pPr>
          </w:p>
        </w:tc>
      </w:tr>
      <w:tr>
        <w:trPr>
          <w:trHeight w:val="33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IPR&amp;D asset </w:t>
            </w:r>
            <w:r>
              <w:rPr>
                <w:rFonts w:ascii="Arial" w:cs="Arial" w:eastAsia="Arial" w:hAnsi="Arial"/>
                <w:sz w:val="18"/>
                <w:szCs w:val="18"/>
                <w:color w:val="auto"/>
                <w:vertAlign w:val="superscript"/>
              </w:rPr>
              <w:t>(1)</w:t>
            </w: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7,992</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5,631</w:t>
            </w: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color w:val="auto"/>
              </w:rPr>
              <w:t>Future exercisable shares</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4,228</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10,480</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71"/>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Total deferred tax assets</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39,155</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36,181</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valuation allowance</w:t>
            </w: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(30,252)</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(30,321)</w:t>
            </w:r>
          </w:p>
        </w:tc>
        <w:tc>
          <w:tcPr>
            <w:tcW w:w="0" w:type="dxa"/>
            <w:vAlign w:val="bottom"/>
          </w:tcPr>
          <w:p>
            <w:pPr>
              <w:spacing w:after="0"/>
              <w:rPr>
                <w:sz w:val="1"/>
                <w:szCs w:val="1"/>
                <w:color w:val="auto"/>
              </w:rPr>
            </w:pPr>
          </w:p>
        </w:tc>
      </w:tr>
      <w:tr>
        <w:trPr>
          <w:trHeight w:val="171"/>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Deferred tax assets, net of valuation allowance</w:t>
            </w: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color w:val="auto"/>
              </w:rPr>
              <w:t>Movements in the deferred tax valuation allowance</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Valuation allowance at January 1</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30,321</w:t>
            </w:r>
          </w:p>
        </w:tc>
        <w:tc>
          <w:tcPr>
            <w:tcW w:w="12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13,504</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tax rates</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7,353</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w:t>
            </w: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color w:val="auto"/>
              </w:rPr>
              <w:t>(Decrease)/increase in valuation allowance</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(7,422)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14,815</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71"/>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Valuation allowance at December 31</w:t>
            </w: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30,252</w:t>
            </w:r>
          </w:p>
        </w:tc>
        <w:tc>
          <w:tcPr>
            <w:tcW w:w="12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30,321</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40" w:hanging="135"/>
        <w:spacing w:after="0"/>
        <w:tabs>
          <w:tab w:leader="none" w:pos="140" w:val="left"/>
        </w:tabs>
        <w:numPr>
          <w:ilvl w:val="0"/>
          <w:numId w:val="42"/>
        </w:numPr>
        <w:rPr>
          <w:rFonts w:ascii="Arial" w:cs="Arial" w:eastAsia="Arial" w:hAnsi="Arial"/>
          <w:sz w:val="16"/>
          <w:szCs w:val="16"/>
          <w:color w:val="auto"/>
          <w:vertAlign w:val="superscript"/>
        </w:rPr>
      </w:pPr>
      <w:r>
        <w:rPr>
          <w:rFonts w:ascii="Arial" w:cs="Arial" w:eastAsia="Arial" w:hAnsi="Arial"/>
          <w:sz w:val="13"/>
          <w:szCs w:val="13"/>
          <w:color w:val="auto"/>
        </w:rPr>
        <w:t>These relate to the difference in the tax base of the IP R&amp;D asset and assumed contingent liability and the financial reporting base, which is nil under US GAAP.</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Management has reviewed cumulative tax losses and projections of future taxable losses and determined that it is not more likely than not that they will be realized. Accordingly, valuation allowances have been provided over deferred tax assets</w:t>
      </w:r>
    </w:p>
    <w:p>
      <w:pPr>
        <w:spacing w:after="0" w:line="48"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At December 31, 2021 and December 31, 2020, the Company had U.K. net operating losses (“NOLs”) of $104.3 million and $95.7 million, respectively. The NOLs can be carried forward indefinitely to be offset against future taxable profits, but this is restricted to an annual £5 million allowance after which there will be a 50% restriction in the profits that can be covered by losses brought forward.</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Company files separate income tax returns in the U.K. and the U.S. All necessary income tax filings have been completed for all years up to and including December 31, 2020, and there are no ongoing tax examinations in any jurisdiction. No interest or penalties were recognized in the consolidated statements of operations or consolidated balance sheets. As of December 31, 2021, the Company has no uncertain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2" w:name="page113"/>
    <w:bookmarkEnd w:id="112"/>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 Share-based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Company operates various share based incentive plans for its staff and issues ordinary shares or ADSs when share-based awards are exercised.</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Company records share-based compensation expense related to share options and RSUs granted to employees and directors. The expense is included in R&amp;D and general and administrative costs, based on the nature of individual employees’ functions, and represents the relevant year's allocation of the expense. The costs of share-based compensation to employees are recognized in the consolidated statements of operations and comprehensive loss, together with a corresponding increase in equity over the vesting period.</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Options are issued with an exercise price of the market price on the day of grant and generally vest over a period of one to four years and the contractual life of all options is ten years.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the allocation of share-based compensation between R&amp;D and selling, general and administrative costs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4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5"/>
              <w:spacing w:after="0"/>
              <w:rPr>
                <w:sz w:val="20"/>
                <w:szCs w:val="20"/>
                <w:color w:val="auto"/>
              </w:rPr>
            </w:pPr>
            <w:r>
              <w:rPr>
                <w:rFonts w:ascii="Arial" w:cs="Arial" w:eastAsia="Arial" w:hAnsi="Arial"/>
                <w:sz w:val="11"/>
                <w:szCs w:val="11"/>
                <w:b w:val="1"/>
                <w:bCs w:val="1"/>
                <w:color w:val="auto"/>
              </w:rPr>
              <w:t>2021</w:t>
            </w:r>
          </w:p>
        </w:tc>
        <w:tc>
          <w:tcPr>
            <w:tcW w:w="1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9,654</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9,319</w:t>
            </w:r>
          </w:p>
        </w:tc>
        <w:tc>
          <w:tcPr>
            <w:tcW w:w="0" w:type="dxa"/>
            <w:vAlign w:val="bottom"/>
          </w:tcPr>
          <w:p>
            <w:pPr>
              <w:spacing w:after="0"/>
              <w:rPr>
                <w:sz w:val="1"/>
                <w:szCs w:val="1"/>
                <w:color w:val="auto"/>
              </w:rPr>
            </w:pPr>
          </w:p>
        </w:tc>
      </w:tr>
      <w:tr>
        <w:trPr>
          <w:trHeight w:val="265"/>
        </w:trPr>
        <w:tc>
          <w:tcPr>
            <w:tcW w:w="840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340" w:type="dxa"/>
            <w:vAlign w:val="bottom"/>
          </w:tcPr>
          <w:p>
            <w:pPr>
              <w:spacing w:after="0"/>
              <w:rPr>
                <w:sz w:val="23"/>
                <w:szCs w:val="2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15,771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12,858</w:t>
            </w:r>
          </w:p>
        </w:tc>
        <w:tc>
          <w:tcPr>
            <w:tcW w:w="0" w:type="dxa"/>
            <w:vAlign w:val="bottom"/>
          </w:tcPr>
          <w:p>
            <w:pPr>
              <w:spacing w:after="0"/>
              <w:rPr>
                <w:sz w:val="1"/>
                <w:szCs w:val="1"/>
                <w:color w:val="auto"/>
              </w:rPr>
            </w:pPr>
          </w:p>
        </w:tc>
      </w:tr>
      <w:tr>
        <w:trPr>
          <w:trHeight w:val="85"/>
        </w:trPr>
        <w:tc>
          <w:tcPr>
            <w:tcW w:w="840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share-based compensation</w:t>
            </w:r>
          </w:p>
        </w:tc>
        <w:tc>
          <w:tcPr>
            <w:tcW w:w="340" w:type="dxa"/>
            <w:vAlign w:val="bottom"/>
            <w:vMerge w:val="restart"/>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25,425</w:t>
            </w:r>
          </w:p>
        </w:tc>
        <w:tc>
          <w:tcPr>
            <w:tcW w:w="120" w:type="dxa"/>
            <w:vAlign w:val="bottom"/>
            <w:shd w:val="clear" w:color="auto" w:fill="CCEEFF"/>
          </w:tcPr>
          <w:p>
            <w:pPr>
              <w:spacing w:after="0"/>
              <w:rPr>
                <w:sz w:val="21"/>
                <w:szCs w:val="21"/>
                <w:color w:val="auto"/>
              </w:rPr>
            </w:pPr>
          </w:p>
        </w:tc>
        <w:tc>
          <w:tcPr>
            <w:tcW w:w="420" w:type="dxa"/>
            <w:vAlign w:val="bottom"/>
            <w:vMerge w:val="restart"/>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22,177</w:t>
            </w:r>
          </w:p>
        </w:tc>
        <w:tc>
          <w:tcPr>
            <w:tcW w:w="0" w:type="dxa"/>
            <w:vAlign w:val="bottom"/>
          </w:tcPr>
          <w:p>
            <w:pPr>
              <w:spacing w:after="0"/>
              <w:rPr>
                <w:sz w:val="1"/>
                <w:szCs w:val="1"/>
                <w:color w:val="auto"/>
              </w:rPr>
            </w:pPr>
          </w:p>
        </w:tc>
      </w:tr>
      <w:tr>
        <w:trPr>
          <w:trHeight w:val="84"/>
        </w:trPr>
        <w:tc>
          <w:tcPr>
            <w:tcW w:w="840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auto"/>
            </w:tcBorders>
            <w:vMerge w:val="continue"/>
            <w:shd w:val="clear" w:color="auto" w:fill="CCEEFF"/>
          </w:tcPr>
          <w:p>
            <w:pPr>
              <w:spacing w:after="0"/>
              <w:rPr>
                <w:sz w:val="7"/>
                <w:szCs w:val="7"/>
                <w:color w:val="auto"/>
              </w:rPr>
            </w:pPr>
          </w:p>
        </w:tc>
        <w:tc>
          <w:tcPr>
            <w:tcW w:w="104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420" w:type="dxa"/>
            <w:vAlign w:val="bottom"/>
            <w:tcBorders>
              <w:bottom w:val="single" w:sz="8" w:color="auto"/>
            </w:tcBorders>
            <w:vMerge w:val="continue"/>
            <w:shd w:val="clear" w:color="auto" w:fill="CCEEFF"/>
          </w:tcPr>
          <w:p>
            <w:pPr>
              <w:spacing w:after="0"/>
              <w:rPr>
                <w:sz w:val="7"/>
                <w:szCs w:val="7"/>
                <w:color w:val="auto"/>
              </w:rPr>
            </w:pPr>
          </w:p>
        </w:tc>
        <w:tc>
          <w:tcPr>
            <w:tcW w:w="96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EMI Option Plan and Pre-IPO Option Plan</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EMI Option Plan and the Pre-IPO Option Plan were adopted by our board of directors on September 18, 2006, and July 24, 2012, respectively. The total number of shares that may be issued under these plans is the current number of outstanding options over 114,000 ordinary shares, or 14,250 ADSs, for the EMI Option Plan and 1,860,000 ordinary shares, or 232,500 ADSs, for the Pre-IPO Option Plan.</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No further awards have been granted since the 2017 Incentive Plan was adopted, and no further awards will be granted under them.</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2017 Incentive Plan</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2017 Incentive Plan was adopted by our board of directors and became effective on April 26, 2017, in order to grant share based compensation to certain of the Company’s directors and employees. It provides for the grant of stock options, RSUs, and other share-based awards to Company’s directors, officers, employees and non-employee directors.</w:t>
      </w:r>
    </w:p>
    <w:p>
      <w:pPr>
        <w:spacing w:after="0" w:line="48"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In the year ended December 31, 2019, the Company modified the terms of all RSUs issued prior to January 1, 2019 to include a market based condition, which was also included in the terms of RSUs issued during 2019. The Company's stock price must be maintained above the equivalent of £2 per ordinary share for thirty days for the RSUs to vest, in addition to the existing service condition. The RSUs vest five years after the date of grant irrespective of whether the £2 market condition was met. This modification did not result in an increase in the fair value of the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3" w:name="page114"/>
    <w:bookmarkEnd w:id="113"/>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option activity</w:t>
      </w:r>
    </w:p>
    <w:p>
      <w:pPr>
        <w:spacing w:after="0" w:line="72"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The number of options, the weighted average grant date fair value per stock option, and the weighted average exercise price are all shown below on a per ordinary shares basis. The Company’s ADSs that are listed on the Nasdaq Global Market each represent eight ordinary shares.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share option activity and includes the options outstanding from all three plans :</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4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Weighted average</w:t>
            </w: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5400" w:type="dxa"/>
            <w:vAlign w:val="bottom"/>
          </w:tcPr>
          <w:p>
            <w:pPr>
              <w:spacing w:after="0"/>
              <w:rPr>
                <w:sz w:val="10"/>
                <w:szCs w:val="10"/>
                <w:color w:val="auto"/>
              </w:rPr>
            </w:pPr>
          </w:p>
        </w:tc>
        <w:tc>
          <w:tcPr>
            <w:tcW w:w="1500" w:type="dxa"/>
            <w:vAlign w:val="bottom"/>
            <w:gridSpan w:val="2"/>
          </w:tcPr>
          <w:p>
            <w:pPr>
              <w:jc w:val="center"/>
              <w:ind w:right="100"/>
              <w:spacing w:after="0" w:line="124" w:lineRule="exact"/>
              <w:rPr>
                <w:sz w:val="20"/>
                <w:szCs w:val="20"/>
                <w:color w:val="auto"/>
              </w:rPr>
            </w:pPr>
            <w:r>
              <w:rPr>
                <w:rFonts w:ascii="Arial" w:cs="Arial" w:eastAsia="Arial" w:hAnsi="Arial"/>
                <w:sz w:val="11"/>
                <w:szCs w:val="11"/>
                <w:b w:val="1"/>
                <w:bCs w:val="1"/>
                <w:color w:val="auto"/>
                <w:w w:val="92"/>
              </w:rPr>
              <w:t>Number of share options</w:t>
            </w:r>
          </w:p>
        </w:tc>
        <w:tc>
          <w:tcPr>
            <w:tcW w:w="1500" w:type="dxa"/>
            <w:vAlign w:val="bottom"/>
            <w:gridSpan w:val="3"/>
          </w:tcPr>
          <w:p>
            <w:pPr>
              <w:jc w:val="right"/>
              <w:ind w:right="160"/>
              <w:spacing w:after="0" w:line="124" w:lineRule="exact"/>
              <w:rPr>
                <w:sz w:val="20"/>
                <w:szCs w:val="20"/>
                <w:color w:val="auto"/>
              </w:rPr>
            </w:pPr>
            <w:r>
              <w:rPr>
                <w:rFonts w:ascii="Arial" w:cs="Arial" w:eastAsia="Arial" w:hAnsi="Arial"/>
                <w:sz w:val="11"/>
                <w:szCs w:val="11"/>
                <w:b w:val="1"/>
                <w:bCs w:val="1"/>
                <w:color w:val="auto"/>
                <w:w w:val="93"/>
              </w:rPr>
              <w:t>Weighted average exercise</w:t>
            </w:r>
          </w:p>
        </w:tc>
        <w:tc>
          <w:tcPr>
            <w:tcW w:w="1500" w:type="dxa"/>
            <w:vAlign w:val="bottom"/>
            <w:gridSpan w:val="2"/>
          </w:tcPr>
          <w:p>
            <w:pPr>
              <w:jc w:val="center"/>
              <w:ind w:right="120"/>
              <w:spacing w:after="0" w:line="124" w:lineRule="exact"/>
              <w:rPr>
                <w:sz w:val="20"/>
                <w:szCs w:val="20"/>
                <w:color w:val="auto"/>
              </w:rPr>
            </w:pPr>
            <w:r>
              <w:rPr>
                <w:rFonts w:ascii="Arial" w:cs="Arial" w:eastAsia="Arial" w:hAnsi="Arial"/>
                <w:sz w:val="11"/>
                <w:szCs w:val="11"/>
                <w:b w:val="1"/>
                <w:bCs w:val="1"/>
                <w:color w:val="auto"/>
                <w:w w:val="94"/>
              </w:rPr>
              <w:t>remaining contractual term</w:t>
            </w: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outstanding</w:t>
            </w:r>
          </w:p>
        </w:tc>
        <w:tc>
          <w:tcPr>
            <w:tcW w:w="300" w:type="dxa"/>
            <w:vAlign w:val="bottom"/>
          </w:tcPr>
          <w:p>
            <w:pPr>
              <w:spacing w:after="0"/>
              <w:rPr>
                <w:sz w:val="14"/>
                <w:szCs w:val="14"/>
                <w:color w:val="auto"/>
              </w:rPr>
            </w:pPr>
          </w:p>
        </w:tc>
        <w:tc>
          <w:tcPr>
            <w:tcW w:w="1200" w:type="dxa"/>
            <w:vAlign w:val="bottom"/>
            <w:gridSpan w:val="2"/>
          </w:tcPr>
          <w:p>
            <w:pPr>
              <w:ind w:left="220"/>
              <w:spacing w:after="0"/>
              <w:rPr>
                <w:sz w:val="20"/>
                <w:szCs w:val="20"/>
                <w:color w:val="auto"/>
              </w:rPr>
            </w:pPr>
            <w:r>
              <w:rPr>
                <w:rFonts w:ascii="Arial" w:cs="Arial" w:eastAsia="Arial" w:hAnsi="Arial"/>
                <w:sz w:val="11"/>
                <w:szCs w:val="11"/>
                <w:b w:val="1"/>
                <w:bCs w:val="1"/>
                <w:color w:val="auto"/>
              </w:rPr>
              <w:t xml:space="preserve">price </w:t>
            </w:r>
            <w:r>
              <w:rPr>
                <w:rFonts w:ascii="Arial" w:cs="Arial" w:eastAsia="Arial" w:hAnsi="Arial"/>
                <w:sz w:val="14"/>
                <w:szCs w:val="14"/>
                <w:b w:val="1"/>
                <w:bCs w:val="1"/>
                <w:color w:val="auto"/>
                <w:vertAlign w:val="superscript"/>
              </w:rPr>
              <w:t>(1)</w:t>
            </w:r>
          </w:p>
        </w:tc>
        <w:tc>
          <w:tcPr>
            <w:tcW w:w="15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(years)</w:t>
            </w:r>
          </w:p>
        </w:tc>
        <w:tc>
          <w:tcPr>
            <w:tcW w:w="80" w:type="dxa"/>
            <w:vAlign w:val="bottom"/>
          </w:tcPr>
          <w:p>
            <w:pPr>
              <w:spacing w:after="0"/>
              <w:rPr>
                <w:sz w:val="14"/>
                <w:szCs w:val="14"/>
                <w:color w:val="auto"/>
              </w:rPr>
            </w:pPr>
          </w:p>
        </w:tc>
        <w:tc>
          <w:tcPr>
            <w:tcW w:w="1300" w:type="dxa"/>
            <w:vAlign w:val="bottom"/>
          </w:tcPr>
          <w:p>
            <w:pPr>
              <w:jc w:val="right"/>
              <w:ind w:right="13"/>
              <w:spacing w:after="0"/>
              <w:rPr>
                <w:sz w:val="20"/>
                <w:szCs w:val="20"/>
                <w:color w:val="auto"/>
              </w:rPr>
            </w:pPr>
            <w:r>
              <w:rPr>
                <w:rFonts w:ascii="Arial" w:cs="Arial" w:eastAsia="Arial" w:hAnsi="Arial"/>
                <w:sz w:val="11"/>
                <w:szCs w:val="11"/>
                <w:b w:val="1"/>
                <w:bCs w:val="1"/>
                <w:color w:val="auto"/>
                <w:w w:val="91"/>
              </w:rPr>
              <w:t>Aggregate intrinsic value</w:t>
            </w:r>
          </w:p>
        </w:tc>
        <w:tc>
          <w:tcPr>
            <w:tcW w:w="0" w:type="dxa"/>
            <w:vAlign w:val="bottom"/>
          </w:tcPr>
          <w:p>
            <w:pPr>
              <w:spacing w:after="0"/>
              <w:rPr>
                <w:sz w:val="1"/>
                <w:szCs w:val="1"/>
                <w:color w:val="auto"/>
              </w:rPr>
            </w:pPr>
          </w:p>
        </w:tc>
      </w:tr>
      <w:tr>
        <w:trPr>
          <w:trHeight w:val="171"/>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Outstanding at January 1, 2020</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14,179,196</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400" w:type="dxa"/>
            <w:vAlign w:val="bottom"/>
          </w:tcPr>
          <w:p>
            <w:pPr>
              <w:ind w:left="20"/>
              <w:spacing w:after="0"/>
              <w:rPr>
                <w:sz w:val="20"/>
                <w:szCs w:val="20"/>
                <w:color w:val="auto"/>
              </w:rPr>
            </w:pPr>
            <w:r>
              <w:rPr>
                <w:rFonts w:ascii="Arial" w:cs="Arial" w:eastAsia="Arial" w:hAnsi="Arial"/>
                <w:sz w:val="14"/>
                <w:szCs w:val="14"/>
                <w:color w:val="auto"/>
              </w:rPr>
              <w:t>Granted</w:t>
            </w:r>
          </w:p>
        </w:tc>
        <w:tc>
          <w:tcPr>
            <w:tcW w:w="1400" w:type="dxa"/>
            <w:vAlign w:val="bottom"/>
          </w:tcPr>
          <w:p>
            <w:pPr>
              <w:jc w:val="right"/>
              <w:spacing w:after="0"/>
              <w:rPr>
                <w:sz w:val="20"/>
                <w:szCs w:val="20"/>
                <w:color w:val="auto"/>
              </w:rPr>
            </w:pPr>
            <w:r>
              <w:rPr>
                <w:rFonts w:ascii="Arial" w:cs="Arial" w:eastAsia="Arial" w:hAnsi="Arial"/>
                <w:sz w:val="14"/>
                <w:szCs w:val="14"/>
                <w:color w:val="auto"/>
              </w:rPr>
              <w:t>2,096,285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0.73</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(2,506,017)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0" w:type="dxa"/>
            <w:vAlign w:val="bottom"/>
          </w:tcPr>
          <w:p>
            <w:pPr>
              <w:ind w:left="20"/>
              <w:spacing w:after="0"/>
              <w:rPr>
                <w:sz w:val="20"/>
                <w:szCs w:val="20"/>
                <w:color w:val="auto"/>
              </w:rPr>
            </w:pPr>
            <w:r>
              <w:rPr>
                <w:rFonts w:ascii="Arial" w:cs="Arial" w:eastAsia="Arial" w:hAnsi="Arial"/>
                <w:sz w:val="14"/>
                <w:szCs w:val="14"/>
                <w:color w:val="auto"/>
              </w:rPr>
              <w:t>Expired</w:t>
            </w:r>
          </w:p>
        </w:tc>
        <w:tc>
          <w:tcPr>
            <w:tcW w:w="1400" w:type="dxa"/>
            <w:vAlign w:val="bottom"/>
          </w:tcPr>
          <w:p>
            <w:pPr>
              <w:jc w:val="right"/>
              <w:spacing w:after="0"/>
              <w:rPr>
                <w:sz w:val="20"/>
                <w:szCs w:val="20"/>
                <w:color w:val="auto"/>
              </w:rPr>
            </w:pPr>
            <w:r>
              <w:rPr>
                <w:rFonts w:ascii="Arial" w:cs="Arial" w:eastAsia="Arial" w:hAnsi="Arial"/>
                <w:sz w:val="14"/>
                <w:szCs w:val="14"/>
                <w:color w:val="auto"/>
              </w:rPr>
              <w:t>(589,128)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(54,664)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0.75</w:t>
            </w:r>
          </w:p>
        </w:tc>
        <w:tc>
          <w:tcPr>
            <w:tcW w:w="100" w:type="dxa"/>
            <w:vAlign w:val="bottom"/>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Outstanding at December 31, 2020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13,125,672</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1,696,000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0.72</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(2,126,472)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Outstanding at December 31, 2021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12,695,200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Exercisable at December 31, 2021</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00" w:type="dxa"/>
            <w:vAlign w:val="bottom"/>
            <w:vMerge w:val="continue"/>
          </w:tcPr>
          <w:p>
            <w:pPr>
              <w:spacing w:after="0"/>
              <w:rPr>
                <w:sz w:val="12"/>
                <w:szCs w:val="12"/>
                <w:color w:val="auto"/>
              </w:rPr>
            </w:pPr>
          </w:p>
        </w:tc>
        <w:tc>
          <w:tcPr>
            <w:tcW w:w="14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10,177,240</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52"/>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1.53</w:t>
            </w:r>
          </w:p>
        </w:tc>
        <w:tc>
          <w:tcPr>
            <w:tcW w:w="100" w:type="dxa"/>
            <w:vAlign w:val="bottom"/>
          </w:tcPr>
          <w:p>
            <w:pPr>
              <w:spacing w:after="0"/>
              <w:rPr>
                <w:sz w:val="12"/>
                <w:szCs w:val="12"/>
                <w:color w:val="auto"/>
              </w:rPr>
            </w:pPr>
          </w:p>
        </w:tc>
        <w:tc>
          <w:tcPr>
            <w:tcW w:w="13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6.1</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left="260" w:right="4740" w:hanging="255"/>
        <w:spacing w:after="0" w:line="335" w:lineRule="auto"/>
        <w:tabs>
          <w:tab w:leader="none" w:pos="135" w:val="left"/>
        </w:tabs>
        <w:numPr>
          <w:ilvl w:val="0"/>
          <w:numId w:val="43"/>
        </w:numPr>
        <w:rPr>
          <w:rFonts w:ascii="Arial" w:cs="Arial" w:eastAsia="Arial" w:hAnsi="Arial"/>
          <w:sz w:val="16"/>
          <w:szCs w:val="16"/>
          <w:color w:val="auto"/>
          <w:vertAlign w:val="superscript"/>
        </w:rPr>
      </w:pPr>
      <w:r>
        <w:rPr>
          <w:rFonts w:ascii="Arial" w:cs="Arial" w:eastAsia="Arial" w:hAnsi="Arial"/>
          <w:sz w:val="13"/>
          <w:szCs w:val="13"/>
          <w:color w:val="auto"/>
        </w:rPr>
        <w:t xml:space="preserve">The exercise prices relate to the equivalent price for an ordinary share, calculated as one eighth of the ADS price. </w:t>
      </w:r>
      <w:r>
        <w:rPr>
          <w:rFonts w:ascii="Arial" w:cs="Arial" w:eastAsia="Arial" w:hAnsi="Arial"/>
          <w:sz w:val="13"/>
          <w:szCs w:val="13"/>
          <w:i w:val="1"/>
          <w:iCs w:val="1"/>
          <w:color w:val="auto"/>
        </w:rPr>
        <w:t>Determining the fair value of share options and RSUs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total fair values of the options and RSUs were estimated using the Black-Scholes option-pricing model for equity-settled compensation, amounted to $3.1 million for instruments granted in the year ended December 31, 2021 (2020: $62.1 million). The cost is amortized over the vesting period of the options and RSUs on a straight-line basis using the cliff-vesting method.The following assumptions were used for the Black-Scholes valuation of share options granted in 2021 and 2020.</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Expected volatility</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Volatility is calculated using historical weekly averages of the Company's share price over a period that is in line with the expected life of the options and RSUs.</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Fair value of ordinary shares.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fair value of ordinary shares has been based on the share price of the Company’s shares on AIM on the evening before the date of grant up until October 20, 2020 when the company delisted from AIM. Post this the fair value has been based on the ADS’s traded on NASDAQ on the evening before the date of grant.</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Risk-free interest rate</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risk-free interest rate has been based on U.K. Government debt yield for the relevant term at the time of grant up until October 20, 2020 when the company delisted from AIM. After this appropriate U.S Treasury yield rates were used.</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Expected term.</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The expected term is determined using the simplified method.</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Expected dividend</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There are no expected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4" w:name="page115"/>
    <w:bookmarkEnd w:id="114"/>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weighted-average assumptions applicable to the share options granted in the applicable years is as follows:</w:t>
      </w:r>
    </w:p>
    <w:p>
      <w:pPr>
        <w:spacing w:after="0" w:line="119" w:lineRule="exact"/>
        <w:rPr>
          <w:sz w:val="20"/>
          <w:szCs w:val="20"/>
          <w:color w:val="auto"/>
        </w:rPr>
      </w:pPr>
    </w:p>
    <w:p>
      <w:pPr>
        <w:jc w:val="center"/>
        <w:ind w:left="8200"/>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24765</wp:posOffset>
            </wp:positionV>
            <wp:extent cx="195389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1953895" cy="6985"/>
                    </a:xfrm>
                    <a:prstGeom prst="rect">
                      <a:avLst/>
                    </a:prstGeom>
                    <a:noFill/>
                  </pic:spPr>
                </pic:pic>
              </a:graphicData>
            </a:graphic>
          </wp:anchor>
        </w:drawing>
      </w:r>
    </w:p>
    <w:p>
      <w:pPr>
        <w:spacing w:after="0" w:line="34" w:lineRule="exact"/>
        <w:rPr>
          <w:sz w:val="20"/>
          <w:szCs w:val="20"/>
          <w:color w:val="auto"/>
        </w:rPr>
      </w:pPr>
    </w:p>
    <w:p>
      <w:pPr>
        <w:jc w:val="both"/>
        <w:ind w:left="8840"/>
        <w:spacing w:after="0"/>
        <w:tabs>
          <w:tab w:leader="none" w:pos="10400" w:val="left"/>
        </w:tabs>
        <w:rPr>
          <w:sz w:val="20"/>
          <w:szCs w:val="20"/>
          <w:color w:val="auto"/>
        </w:rPr>
      </w:pPr>
      <w:r>
        <w:rPr>
          <w:rFonts w:ascii="Arial" w:cs="Arial" w:eastAsia="Arial" w:hAnsi="Arial"/>
          <w:sz w:val="11"/>
          <w:szCs w:val="11"/>
          <w:b w:val="1"/>
          <w:bCs w:val="1"/>
          <w:color w:val="auto"/>
        </w:rPr>
        <w:t>2021</w:t>
      </w:r>
      <w:r>
        <w:rPr>
          <w:sz w:val="20"/>
          <w:szCs w:val="20"/>
          <w:color w:val="auto"/>
        </w:rPr>
        <w:tab/>
      </w:r>
      <w:r>
        <w:rPr>
          <w:rFonts w:ascii="Arial" w:cs="Arial" w:eastAsia="Arial" w:hAnsi="Arial"/>
          <w:sz w:val="11"/>
          <w:szCs w:val="11"/>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61530" cy="2292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7161530" cy="2292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Risk-free interest rate</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Expected lives, years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Expected volatility</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Expected dividend yield</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Grant date fair value (per share)</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stock units activity</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RSU activity:</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0.79% - 1.32%</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-5507990</wp:posOffset>
            </wp:positionH>
            <wp:positionV relativeFrom="paragraph">
              <wp:posOffset>73660</wp:posOffset>
            </wp:positionV>
            <wp:extent cx="7161530" cy="2222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7161530" cy="22225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85.35% - 87.68%</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-5507990</wp:posOffset>
            </wp:positionH>
            <wp:positionV relativeFrom="paragraph">
              <wp:posOffset>12065</wp:posOffset>
            </wp:positionV>
            <wp:extent cx="7161530" cy="2222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7161530" cy="222250"/>
                    </a:xfrm>
                    <a:prstGeom prst="rect">
                      <a:avLst/>
                    </a:prstGeom>
                    <a:noFill/>
                  </pic:spPr>
                </pic:pic>
              </a:graphicData>
            </a:graphic>
          </wp:anchor>
        </w:drawing>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$0.62 - $0.78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80"/>
        <w:spacing w:after="0"/>
        <w:rPr>
          <w:sz w:val="20"/>
          <w:szCs w:val="20"/>
          <w:color w:val="auto"/>
        </w:rPr>
      </w:pPr>
      <w:r>
        <w:rPr>
          <w:rFonts w:ascii="Arial" w:cs="Arial" w:eastAsia="Arial" w:hAnsi="Arial"/>
          <w:sz w:val="10"/>
          <w:szCs w:val="10"/>
          <w:b w:val="1"/>
          <w:bCs w:val="1"/>
          <w:color w:val="auto"/>
        </w:rPr>
        <w:t>Number of RSUs</w:t>
      </w:r>
    </w:p>
    <w:p>
      <w:pPr>
        <w:spacing w:after="0" w:line="24" w:lineRule="exact"/>
        <w:rPr>
          <w:sz w:val="20"/>
          <w:szCs w:val="20"/>
          <w:color w:val="auto"/>
        </w:rPr>
      </w:pPr>
    </w:p>
    <w:p>
      <w:pPr>
        <w:jc w:val="center"/>
        <w:ind w:right="180"/>
        <w:spacing w:after="0"/>
        <w:rPr>
          <w:sz w:val="20"/>
          <w:szCs w:val="20"/>
          <w:color w:val="auto"/>
        </w:rPr>
      </w:pPr>
      <w:r>
        <w:rPr>
          <w:rFonts w:ascii="Arial" w:cs="Arial" w:eastAsia="Arial" w:hAnsi="Arial"/>
          <w:sz w:val="11"/>
          <w:szCs w:val="11"/>
          <w:b w:val="1"/>
          <w:bCs w:val="1"/>
          <w:color w:val="auto"/>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-5507990</wp:posOffset>
            </wp:positionH>
            <wp:positionV relativeFrom="paragraph">
              <wp:posOffset>17145</wp:posOffset>
            </wp:positionV>
            <wp:extent cx="7161530" cy="1212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 -0.21%</w:t>
      </w:r>
    </w:p>
    <w:p>
      <w:pPr>
        <w:spacing w:after="0" w:line="189" w:lineRule="exact"/>
        <w:rPr>
          <w:sz w:val="20"/>
          <w:szCs w:val="20"/>
          <w:color w:val="auto"/>
        </w:rPr>
      </w:pPr>
    </w:p>
    <w:p>
      <w:pPr>
        <w:ind w:left="1160"/>
        <w:spacing w:after="0"/>
        <w:rPr>
          <w:sz w:val="20"/>
          <w:szCs w:val="20"/>
          <w:color w:val="auto"/>
        </w:rPr>
      </w:pPr>
      <w:r>
        <w:rPr>
          <w:rFonts w:ascii="Arial" w:cs="Arial" w:eastAsia="Arial" w:hAnsi="Arial"/>
          <w:sz w:val="12"/>
          <w:szCs w:val="12"/>
          <w:color w:val="auto"/>
        </w:rPr>
        <w:t>5-7</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2"/>
          <w:szCs w:val="12"/>
          <w:color w:val="auto"/>
        </w:rPr>
        <w:t>65.83% - 75.40%</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$0.40 - $0.62</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line="260" w:lineRule="auto"/>
        <w:rPr>
          <w:sz w:val="20"/>
          <w:szCs w:val="20"/>
          <w:color w:val="auto"/>
        </w:rPr>
      </w:pPr>
      <w:r>
        <w:rPr>
          <w:rFonts w:ascii="Arial" w:cs="Arial" w:eastAsia="Arial" w:hAnsi="Arial"/>
          <w:sz w:val="11"/>
          <w:szCs w:val="11"/>
          <w:b w:val="1"/>
          <w:bCs w:val="1"/>
          <w:color w:val="auto"/>
        </w:rPr>
        <w:t>Weighted average remaining contractual term (years)</w:t>
      </w:r>
    </w:p>
    <w:p>
      <w:pPr>
        <w:spacing w:after="0" w:line="1" w:lineRule="exact"/>
        <w:rPr>
          <w:sz w:val="20"/>
          <w:szCs w:val="20"/>
          <w:color w:val="auto"/>
        </w:rPr>
      </w:pPr>
    </w:p>
    <w:p>
      <w:pPr>
        <w:sectPr>
          <w:pgSz w:w="11900" w:h="16838" w:orient="portrait"/>
          <w:cols w:equalWidth="0" w:num="3">
            <w:col w:w="7960" w:space="720"/>
            <w:col w:w="1000" w:space="240"/>
            <w:col w:w="1340"/>
          </w:cols>
          <w:pgMar w:left="300" w:top="125" w:right="339" w:bottom="1440" w:gutter="0" w:footer="0" w:header="0"/>
          <w:type w:val="continuous"/>
        </w:sectPr>
      </w:pPr>
    </w:p>
    <w:tbl>
      <w:tblPr>
        <w:tblLayout w:type="fixed"/>
        <w:tblInd w:w="20" w:type="dxa"/>
        <w:tblCellMar>
          <w:top w:w="0" w:type="dxa"/>
          <w:left w:w="0" w:type="dxa"/>
          <w:bottom w:w="0" w:type="dxa"/>
          <w:right w:w="0" w:type="dxa"/>
        </w:tblCellMar>
      </w:tblPr>
      <w:tr>
        <w:trPr>
          <w:trHeight w:val="180"/>
        </w:trPr>
        <w:tc>
          <w:tcPr>
            <w:tcW w:w="6880" w:type="dxa"/>
            <w:vAlign w:val="bottom"/>
          </w:tcPr>
          <w:p>
            <w:pPr>
              <w:spacing w:after="0"/>
              <w:rPr>
                <w:sz w:val="20"/>
                <w:szCs w:val="20"/>
                <w:color w:val="auto"/>
              </w:rPr>
            </w:pPr>
            <w:r>
              <w:rPr>
                <w:rFonts w:ascii="Arial" w:cs="Arial" w:eastAsia="Arial" w:hAnsi="Arial"/>
                <w:sz w:val="14"/>
                <w:szCs w:val="14"/>
                <w:b w:val="1"/>
                <w:bCs w:val="1"/>
                <w:color w:val="auto"/>
              </w:rPr>
              <w:t>Outstanding at January 1, 2020</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1,602,969</w:t>
            </w:r>
          </w:p>
        </w:tc>
        <w:tc>
          <w:tcPr>
            <w:tcW w:w="0" w:type="dxa"/>
            <w:vAlign w:val="bottom"/>
          </w:tcPr>
          <w:p>
            <w:pPr>
              <w:spacing w:after="0"/>
              <w:rPr>
                <w:sz w:val="1"/>
                <w:szCs w:val="1"/>
                <w:color w:val="auto"/>
              </w:rPr>
            </w:pPr>
          </w:p>
        </w:tc>
      </w:tr>
      <w:tr>
        <w:trPr>
          <w:trHeight w:val="180"/>
        </w:trPr>
        <w:tc>
          <w:tcPr>
            <w:tcW w:w="6880" w:type="dxa"/>
            <w:vAlign w:val="bottom"/>
          </w:tcPr>
          <w:p>
            <w:pPr>
              <w:spacing w:after="0"/>
              <w:rPr>
                <w:sz w:val="20"/>
                <w:szCs w:val="20"/>
                <w:color w:val="auto"/>
              </w:rPr>
            </w:pPr>
            <w:r>
              <w:rPr>
                <w:rFonts w:ascii="Arial" w:cs="Arial" w:eastAsia="Arial" w:hAnsi="Arial"/>
                <w:sz w:val="14"/>
                <w:szCs w:val="14"/>
                <w:color w:val="auto"/>
              </w:rPr>
              <w:t>Granted</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62,566,271</w:t>
            </w:r>
          </w:p>
        </w:tc>
        <w:tc>
          <w:tcPr>
            <w:tcW w:w="0" w:type="dxa"/>
            <w:vAlign w:val="bottom"/>
          </w:tcPr>
          <w:p>
            <w:pPr>
              <w:spacing w:after="0"/>
              <w:rPr>
                <w:sz w:val="1"/>
                <w:szCs w:val="1"/>
                <w:color w:val="auto"/>
              </w:rPr>
            </w:pPr>
          </w:p>
        </w:tc>
      </w:tr>
      <w:tr>
        <w:trPr>
          <w:trHeight w:val="180"/>
        </w:trPr>
        <w:tc>
          <w:tcPr>
            <w:tcW w:w="6880" w:type="dxa"/>
            <w:vAlign w:val="bottom"/>
          </w:tcPr>
          <w:p>
            <w:pPr>
              <w:spacing w:after="0"/>
              <w:rPr>
                <w:sz w:val="20"/>
                <w:szCs w:val="20"/>
                <w:color w:val="auto"/>
              </w:rPr>
            </w:pPr>
            <w:r>
              <w:rPr>
                <w:rFonts w:ascii="Arial" w:cs="Arial" w:eastAsia="Arial" w:hAnsi="Arial"/>
                <w:sz w:val="14"/>
                <w:szCs w:val="14"/>
                <w:color w:val="auto"/>
              </w:rPr>
              <w:t>Forfeited</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(84,920)</w:t>
            </w:r>
          </w:p>
        </w:tc>
        <w:tc>
          <w:tcPr>
            <w:tcW w:w="0" w:type="dxa"/>
            <w:vAlign w:val="bottom"/>
          </w:tcPr>
          <w:p>
            <w:pPr>
              <w:spacing w:after="0"/>
              <w:rPr>
                <w:sz w:val="1"/>
                <w:szCs w:val="1"/>
                <w:color w:val="auto"/>
              </w:rPr>
            </w:pPr>
          </w:p>
        </w:tc>
      </w:tr>
      <w:tr>
        <w:trPr>
          <w:trHeight w:val="180"/>
        </w:trPr>
        <w:tc>
          <w:tcPr>
            <w:tcW w:w="6880" w:type="dxa"/>
            <w:vAlign w:val="bottom"/>
          </w:tcPr>
          <w:p>
            <w:pPr>
              <w:spacing w:after="0"/>
              <w:rPr>
                <w:sz w:val="20"/>
                <w:szCs w:val="20"/>
                <w:color w:val="auto"/>
              </w:rPr>
            </w:pPr>
            <w:r>
              <w:rPr>
                <w:rFonts w:ascii="Arial" w:cs="Arial" w:eastAsia="Arial" w:hAnsi="Arial"/>
                <w:sz w:val="14"/>
                <w:szCs w:val="14"/>
                <w:color w:val="auto"/>
              </w:rPr>
              <w:t>Vested</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(2,091,960)</w:t>
            </w:r>
          </w:p>
        </w:tc>
        <w:tc>
          <w:tcPr>
            <w:tcW w:w="0" w:type="dxa"/>
            <w:vAlign w:val="bottom"/>
          </w:tcPr>
          <w:p>
            <w:pPr>
              <w:spacing w:after="0"/>
              <w:rPr>
                <w:sz w:val="1"/>
                <w:szCs w:val="1"/>
                <w:color w:val="auto"/>
              </w:rPr>
            </w:pPr>
          </w:p>
        </w:tc>
      </w:tr>
      <w:tr>
        <w:trPr>
          <w:trHeight w:val="171"/>
        </w:trPr>
        <w:tc>
          <w:tcPr>
            <w:tcW w:w="6880" w:type="dxa"/>
            <w:vAlign w:val="bottom"/>
          </w:tcPr>
          <w:p>
            <w:pPr>
              <w:spacing w:after="0"/>
              <w:rPr>
                <w:sz w:val="20"/>
                <w:szCs w:val="20"/>
                <w:color w:val="auto"/>
              </w:rPr>
            </w:pPr>
            <w:r>
              <w:rPr>
                <w:rFonts w:ascii="Arial" w:cs="Arial" w:eastAsia="Arial" w:hAnsi="Arial"/>
                <w:sz w:val="14"/>
                <w:szCs w:val="14"/>
                <w:b w:val="1"/>
                <w:bCs w:val="1"/>
                <w:color w:val="auto"/>
              </w:rPr>
              <w:t>Outstanding at December 31, 2020</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61,992,360</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4"/>
                <w:szCs w:val="14"/>
                <w:color w:val="auto"/>
              </w:rPr>
              <w:t>Granted</w:t>
            </w: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880" w:type="dxa"/>
            <w:vAlign w:val="bottom"/>
            <w:vMerge w:val="continue"/>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3,030,928</w:t>
            </w:r>
          </w:p>
        </w:tc>
        <w:tc>
          <w:tcPr>
            <w:tcW w:w="0" w:type="dxa"/>
            <w:vAlign w:val="bottom"/>
          </w:tcPr>
          <w:p>
            <w:pPr>
              <w:spacing w:after="0"/>
              <w:rPr>
                <w:sz w:val="1"/>
                <w:szCs w:val="1"/>
                <w:color w:val="auto"/>
              </w:rPr>
            </w:pPr>
          </w:p>
        </w:tc>
      </w:tr>
      <w:tr>
        <w:trPr>
          <w:trHeight w:val="180"/>
        </w:trPr>
        <w:tc>
          <w:tcPr>
            <w:tcW w:w="6880" w:type="dxa"/>
            <w:vAlign w:val="bottom"/>
          </w:tcPr>
          <w:p>
            <w:pPr>
              <w:spacing w:after="0"/>
              <w:rPr>
                <w:sz w:val="20"/>
                <w:szCs w:val="20"/>
                <w:color w:val="auto"/>
              </w:rPr>
            </w:pPr>
            <w:r>
              <w:rPr>
                <w:rFonts w:ascii="Arial" w:cs="Arial" w:eastAsia="Arial" w:hAnsi="Arial"/>
                <w:sz w:val="14"/>
                <w:szCs w:val="14"/>
                <w:color w:val="auto"/>
              </w:rPr>
              <w:t>Forfeited</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(2,002,584)</w:t>
            </w:r>
          </w:p>
        </w:tc>
        <w:tc>
          <w:tcPr>
            <w:tcW w:w="0" w:type="dxa"/>
            <w:vAlign w:val="bottom"/>
          </w:tcPr>
          <w:p>
            <w:pPr>
              <w:spacing w:after="0"/>
              <w:rPr>
                <w:sz w:val="1"/>
                <w:szCs w:val="1"/>
                <w:color w:val="auto"/>
              </w:rPr>
            </w:pPr>
          </w:p>
        </w:tc>
      </w:tr>
      <w:tr>
        <w:trPr>
          <w:trHeight w:val="180"/>
        </w:trPr>
        <w:tc>
          <w:tcPr>
            <w:tcW w:w="6880" w:type="dxa"/>
            <w:vAlign w:val="bottom"/>
          </w:tcPr>
          <w:p>
            <w:pPr>
              <w:spacing w:after="0"/>
              <w:rPr>
                <w:sz w:val="20"/>
                <w:szCs w:val="20"/>
                <w:color w:val="auto"/>
              </w:rPr>
            </w:pPr>
            <w:r>
              <w:rPr>
                <w:rFonts w:ascii="Arial" w:cs="Arial" w:eastAsia="Arial" w:hAnsi="Arial"/>
                <w:sz w:val="14"/>
                <w:szCs w:val="14"/>
                <w:color w:val="auto"/>
              </w:rPr>
              <w:t>Vested</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(24,673,352)</w:t>
            </w:r>
          </w:p>
        </w:tc>
        <w:tc>
          <w:tcPr>
            <w:tcW w:w="0" w:type="dxa"/>
            <w:vAlign w:val="bottom"/>
          </w:tcPr>
          <w:p>
            <w:pPr>
              <w:spacing w:after="0"/>
              <w:rPr>
                <w:sz w:val="1"/>
                <w:szCs w:val="1"/>
                <w:color w:val="auto"/>
              </w:rPr>
            </w:pPr>
          </w:p>
        </w:tc>
      </w:tr>
      <w:tr>
        <w:trPr>
          <w:trHeight w:val="171"/>
        </w:trPr>
        <w:tc>
          <w:tcPr>
            <w:tcW w:w="6880" w:type="dxa"/>
            <w:vAlign w:val="bottom"/>
          </w:tcPr>
          <w:p>
            <w:pPr>
              <w:spacing w:after="0"/>
              <w:rPr>
                <w:sz w:val="20"/>
                <w:szCs w:val="20"/>
                <w:color w:val="auto"/>
              </w:rPr>
            </w:pPr>
            <w:r>
              <w:rPr>
                <w:rFonts w:ascii="Arial" w:cs="Arial" w:eastAsia="Arial" w:hAnsi="Arial"/>
                <w:sz w:val="14"/>
                <w:szCs w:val="14"/>
                <w:b w:val="1"/>
                <w:bCs w:val="1"/>
                <w:color w:val="auto"/>
              </w:rPr>
              <w:t>Outstanding at December 31, 2021</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38,347,352</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6880" w:type="dxa"/>
            <w:vAlign w:val="bottom"/>
          </w:tcPr>
          <w:p>
            <w:pPr>
              <w:spacing w:after="0"/>
              <w:rPr>
                <w:sz w:val="24"/>
                <w:szCs w:val="2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Number of RSUs</w:t>
            </w:r>
          </w:p>
        </w:tc>
        <w:tc>
          <w:tcPr>
            <w:tcW w:w="1380" w:type="dxa"/>
            <w:vAlign w:val="bottom"/>
          </w:tcPr>
          <w:p>
            <w:pPr>
              <w:jc w:val="right"/>
              <w:ind w:right="191"/>
              <w:spacing w:after="0"/>
              <w:rPr>
                <w:sz w:val="20"/>
                <w:szCs w:val="20"/>
                <w:color w:val="auto"/>
              </w:rPr>
            </w:pPr>
            <w:r>
              <w:rPr>
                <w:rFonts w:ascii="Arial" w:cs="Arial" w:eastAsia="Arial" w:hAnsi="Arial"/>
                <w:sz w:val="11"/>
                <w:szCs w:val="11"/>
                <w:b w:val="1"/>
                <w:bCs w:val="1"/>
                <w:color w:val="auto"/>
              </w:rPr>
              <w:t>Weighted average</w:t>
            </w:r>
          </w:p>
        </w:tc>
        <w:tc>
          <w:tcPr>
            <w:tcW w:w="0" w:type="dxa"/>
            <w:vAlign w:val="bottom"/>
          </w:tcPr>
          <w:p>
            <w:pPr>
              <w:spacing w:after="0"/>
              <w:rPr>
                <w:sz w:val="1"/>
                <w:szCs w:val="1"/>
                <w:color w:val="auto"/>
              </w:rPr>
            </w:pPr>
          </w:p>
        </w:tc>
      </w:tr>
      <w:tr>
        <w:trPr>
          <w:trHeight w:val="156"/>
        </w:trPr>
        <w:tc>
          <w:tcPr>
            <w:tcW w:w="6880" w:type="dxa"/>
            <w:vAlign w:val="bottom"/>
          </w:tcPr>
          <w:p>
            <w:pPr>
              <w:spacing w:after="0"/>
              <w:rPr>
                <w:sz w:val="13"/>
                <w:szCs w:val="13"/>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outstanding</w:t>
            </w:r>
          </w:p>
        </w:tc>
        <w:tc>
          <w:tcPr>
            <w:tcW w:w="1380" w:type="dxa"/>
            <w:vAlign w:val="bottom"/>
          </w:tcPr>
          <w:p>
            <w:pPr>
              <w:jc w:val="right"/>
              <w:ind w:right="11"/>
              <w:spacing w:after="0"/>
              <w:rPr>
                <w:sz w:val="20"/>
                <w:szCs w:val="20"/>
                <w:color w:val="auto"/>
              </w:rPr>
            </w:pPr>
            <w:r>
              <w:rPr>
                <w:rFonts w:ascii="Arial" w:cs="Arial" w:eastAsia="Arial" w:hAnsi="Arial"/>
                <w:sz w:val="11"/>
                <w:szCs w:val="11"/>
                <w:b w:val="1"/>
                <w:bCs w:val="1"/>
                <w:color w:val="auto"/>
                <w:w w:val="97"/>
              </w:rPr>
              <w:t>remaining vesting Period</w:t>
            </w:r>
          </w:p>
        </w:tc>
        <w:tc>
          <w:tcPr>
            <w:tcW w:w="0" w:type="dxa"/>
            <w:vAlign w:val="bottom"/>
          </w:tcPr>
          <w:p>
            <w:pPr>
              <w:spacing w:after="0"/>
              <w:rPr>
                <w:sz w:val="1"/>
                <w:szCs w:val="1"/>
                <w:color w:val="auto"/>
              </w:rPr>
            </w:pPr>
          </w:p>
        </w:tc>
      </w:tr>
      <w:tr>
        <w:trPr>
          <w:trHeight w:val="180"/>
        </w:trPr>
        <w:tc>
          <w:tcPr>
            <w:tcW w:w="6880" w:type="dxa"/>
            <w:vAlign w:val="bottom"/>
          </w:tcPr>
          <w:p>
            <w:pPr>
              <w:spacing w:after="0"/>
              <w:rPr>
                <w:sz w:val="20"/>
                <w:szCs w:val="20"/>
                <w:color w:val="auto"/>
              </w:rPr>
            </w:pPr>
            <w:r>
              <w:rPr>
                <w:rFonts w:ascii="Arial" w:cs="Arial" w:eastAsia="Arial" w:hAnsi="Arial"/>
                <w:sz w:val="14"/>
                <w:szCs w:val="14"/>
                <w:color w:val="auto"/>
              </w:rPr>
              <w:t>RSUs subject to time based vesting</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37,833,688</w:t>
            </w:r>
          </w:p>
        </w:tc>
        <w:tc>
          <w:tcPr>
            <w:tcW w:w="100" w:type="dxa"/>
            <w:vAlign w:val="bottom"/>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0"/>
        </w:trPr>
        <w:tc>
          <w:tcPr>
            <w:tcW w:w="6880" w:type="dxa"/>
            <w:vAlign w:val="bottom"/>
          </w:tcPr>
          <w:p>
            <w:pPr>
              <w:spacing w:after="0"/>
              <w:rPr>
                <w:sz w:val="20"/>
                <w:szCs w:val="20"/>
                <w:color w:val="auto"/>
              </w:rPr>
            </w:pPr>
            <w:r>
              <w:rPr>
                <w:rFonts w:ascii="Arial" w:cs="Arial" w:eastAsia="Arial" w:hAnsi="Arial"/>
                <w:sz w:val="14"/>
                <w:szCs w:val="14"/>
                <w:color w:val="auto"/>
              </w:rPr>
              <w:t>RSUs subject to milestone based vesting</w:t>
            </w:r>
          </w:p>
        </w:tc>
        <w:tc>
          <w:tcPr>
            <w:tcW w:w="1400" w:type="dxa"/>
            <w:vAlign w:val="bottom"/>
          </w:tcPr>
          <w:p>
            <w:pPr>
              <w:jc w:val="right"/>
              <w:spacing w:after="0"/>
              <w:rPr>
                <w:sz w:val="20"/>
                <w:szCs w:val="20"/>
                <w:color w:val="auto"/>
              </w:rPr>
            </w:pPr>
            <w:r>
              <w:rPr>
                <w:rFonts w:ascii="Arial" w:cs="Arial" w:eastAsia="Arial" w:hAnsi="Arial"/>
                <w:sz w:val="14"/>
                <w:szCs w:val="14"/>
                <w:color w:val="auto"/>
              </w:rPr>
              <w:t>513,664</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-1575435</wp:posOffset>
            </wp:positionV>
            <wp:extent cx="7161530" cy="1143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-1083945</wp:posOffset>
            </wp:positionV>
            <wp:extent cx="7161530" cy="1143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7161530" cy="134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-1346835</wp:posOffset>
            </wp:positionV>
            <wp:extent cx="7161530" cy="134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-234950</wp:posOffset>
            </wp:positionV>
            <wp:extent cx="7161530" cy="1212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color w:val="auto"/>
        </w:rPr>
        <w:t>The intrinsic and fair value of RSUs that vested in the year ended December 31, 2021, was $20.2 million (2020: $1.5 million).</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2021, total compensation cost related to share options and RSUs granted but not yet recognized</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was $16.2 million. This cost will be amortized to expense over a weighted average remaining period of 1.5 years and will be adjusted for subsequent forfeitures.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140"/>
        <w:spacing w:after="0"/>
        <w:rPr>
          <w:sz w:val="20"/>
          <w:szCs w:val="20"/>
          <w:color w:val="auto"/>
        </w:rPr>
      </w:pPr>
      <w:r>
        <w:rPr>
          <w:rFonts w:ascii="Arial" w:cs="Arial" w:eastAsia="Arial" w:hAnsi="Arial"/>
          <w:sz w:val="11"/>
          <w:szCs w:val="1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54610</wp:posOffset>
            </wp:positionV>
            <wp:extent cx="88265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8826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40"/>
        <w:spacing w:after="0"/>
        <w:rPr>
          <w:sz w:val="20"/>
          <w:szCs w:val="20"/>
          <w:color w:val="auto"/>
        </w:rPr>
      </w:pPr>
      <w:r>
        <w:rPr>
          <w:rFonts w:ascii="Arial" w:cs="Arial" w:eastAsia="Arial" w:hAnsi="Arial"/>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60960</wp:posOffset>
            </wp:positionV>
            <wp:extent cx="88265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882650" cy="698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40"/>
        <w:spacing w:after="0" w:line="280" w:lineRule="auto"/>
        <w:rPr>
          <w:sz w:val="20"/>
          <w:szCs w:val="20"/>
          <w:color w:val="auto"/>
        </w:rPr>
      </w:pPr>
      <w:r>
        <w:rPr>
          <w:rFonts w:ascii="Arial" w:cs="Arial" w:eastAsia="Arial" w:hAnsi="Arial"/>
          <w:sz w:val="11"/>
          <w:szCs w:val="11"/>
          <w:b w:val="1"/>
          <w:bCs w:val="1"/>
          <w:color w:val="auto"/>
        </w:rPr>
        <w:t>Period in which the target must be achieved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n/a</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2022 - 2024</w:t>
      </w:r>
    </w:p>
    <w:p>
      <w:pPr>
        <w:spacing w:after="0" w:line="1249" w:lineRule="exact"/>
        <w:rPr>
          <w:sz w:val="20"/>
          <w:szCs w:val="20"/>
          <w:color w:val="auto"/>
        </w:rPr>
      </w:pPr>
    </w:p>
    <w:p>
      <w:pPr>
        <w:sectPr>
          <w:pgSz w:w="11900" w:h="16838" w:orient="portrait"/>
          <w:cols w:equalWidth="0" w:num="2">
            <w:col w:w="9780" w:space="180"/>
            <w:col w:w="1300"/>
          </w:cols>
          <w:pgMar w:left="30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type w:val="continuous"/>
        </w:sectPr>
      </w:pPr>
    </w:p>
    <w:bookmarkStart w:id="115" w:name="page116"/>
    <w:bookmarkEnd w:id="115"/>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Net loss per share</w:t>
      </w:r>
    </w:p>
    <w:p>
      <w:pPr>
        <w:spacing w:after="0" w:line="161"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Net loss per share is calculated on an ordinary share basis. The Company’s ADSs that are listed on the Nasdaq Global Market each represent eight ordinary shares. The following table shows the computation of basic and diluted earnings per share for 2021 and 2020 (net loss in thousands, loss per share in dollars):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4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4"/>
              <w:spacing w:after="0"/>
              <w:rPr>
                <w:sz w:val="20"/>
                <w:szCs w:val="20"/>
                <w:color w:val="auto"/>
              </w:rPr>
            </w:pPr>
            <w:r>
              <w:rPr>
                <w:rFonts w:ascii="Arial" w:cs="Arial" w:eastAsia="Arial" w:hAnsi="Arial"/>
                <w:sz w:val="11"/>
                <w:szCs w:val="11"/>
                <w:b w:val="1"/>
                <w:bCs w:val="1"/>
                <w:color w:val="auto"/>
              </w:rPr>
              <w:t>2021</w:t>
            </w:r>
          </w:p>
        </w:tc>
        <w:tc>
          <w:tcPr>
            <w:tcW w:w="1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70"/>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(55,569)</w:t>
            </w:r>
          </w:p>
        </w:tc>
        <w:tc>
          <w:tcPr>
            <w:tcW w:w="12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(65,146)</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available to ordinary shareholders - basic and diluted</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(55,569)</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(65,146)</w:t>
            </w: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color w:val="auto"/>
              </w:rPr>
              <w:t>Denominator:</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shares outstanding - basic and diluted</w:t>
            </w:r>
          </w:p>
        </w:tc>
        <w:tc>
          <w:tcPr>
            <w:tcW w:w="3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473,188,457</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262,932,653</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loss per share - basic and 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00" w:type="dxa"/>
            <w:vAlign w:val="bottom"/>
            <w:vMerge w:val="continue"/>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(0.12)</w:t>
            </w:r>
          </w:p>
        </w:tc>
        <w:tc>
          <w:tcPr>
            <w:tcW w:w="120" w:type="dxa"/>
            <w:vAlign w:val="bottom"/>
          </w:tcPr>
          <w:p>
            <w:pPr>
              <w:spacing w:after="0"/>
              <w:rPr>
                <w:sz w:val="12"/>
                <w:szCs w:val="12"/>
                <w:color w:val="auto"/>
              </w:rPr>
            </w:pPr>
          </w:p>
        </w:tc>
        <w:tc>
          <w:tcPr>
            <w:tcW w:w="420" w:type="dxa"/>
            <w:vAlign w:val="bottom"/>
            <w:tcBorders>
              <w:bottom w:val="single" w:sz="8" w:color="auto"/>
            </w:tcBorders>
          </w:tcPr>
          <w:p>
            <w:pPr>
              <w:jc w:val="right"/>
              <w:ind w:right="269"/>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During the years ended December 31, 2021 and 2020, outstanding share options, RSUs and warrants of 63,443,814 and 87,519,294, respectively, were not included in the computation of diluted earnings per ordinary share, because to do so would be antidilutive.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40" w:type="dxa"/>
            <w:vAlign w:val="bottom"/>
            <w:gridSpan w:val="2"/>
          </w:tcPr>
          <w:p>
            <w:pPr>
              <w:spacing w:after="0"/>
              <w:rPr>
                <w:sz w:val="20"/>
                <w:szCs w:val="20"/>
                <w:color w:val="auto"/>
              </w:rPr>
            </w:pPr>
            <w:r>
              <w:rPr>
                <w:rFonts w:ascii="Arial" w:cs="Arial" w:eastAsia="Arial" w:hAnsi="Arial"/>
                <w:sz w:val="14"/>
                <w:szCs w:val="14"/>
                <w:b w:val="1"/>
                <w:bCs w:val="1"/>
                <w:color w:val="auto"/>
              </w:rPr>
              <w:t>Note 14 - Related party transactions and other shareholder matters</w:t>
            </w: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318"/>
        </w:trPr>
        <w:tc>
          <w:tcPr>
            <w:tcW w:w="7240" w:type="dxa"/>
            <w:vAlign w:val="bottom"/>
            <w:gridSpan w:val="2"/>
          </w:tcPr>
          <w:p>
            <w:pPr>
              <w:spacing w:after="0"/>
              <w:rPr>
                <w:sz w:val="20"/>
                <w:szCs w:val="20"/>
                <w:color w:val="auto"/>
              </w:rPr>
            </w:pPr>
            <w:r>
              <w:rPr>
                <w:rFonts w:ascii="Arial" w:cs="Arial" w:eastAsia="Arial" w:hAnsi="Arial"/>
                <w:sz w:val="14"/>
                <w:szCs w:val="14"/>
                <w:color w:val="auto"/>
              </w:rPr>
              <w:t>In the year ended December 31, 2021, there were no related party transactions.</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33"/>
        </w:trPr>
        <w:tc>
          <w:tcPr>
            <w:tcW w:w="7240" w:type="dxa"/>
            <w:vAlign w:val="bottom"/>
            <w:gridSpan w:val="2"/>
          </w:tcPr>
          <w:p>
            <w:pPr>
              <w:spacing w:after="0"/>
              <w:rPr>
                <w:sz w:val="20"/>
                <w:szCs w:val="20"/>
                <w:color w:val="auto"/>
              </w:rPr>
            </w:pPr>
            <w:r>
              <w:rPr>
                <w:rFonts w:ascii="Arial" w:cs="Arial" w:eastAsia="Arial" w:hAnsi="Arial"/>
                <w:sz w:val="14"/>
                <w:szCs w:val="14"/>
                <w:color w:val="auto"/>
                <w:w w:val="92"/>
              </w:rPr>
              <w:t>In the year ended December 31, 2020, certain directors and officers participated in the Private Placement, summarized below:</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6"/>
        </w:trPr>
        <w:tc>
          <w:tcPr>
            <w:tcW w:w="724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Participation in Private Placement</w:t>
            </w:r>
          </w:p>
        </w:tc>
        <w:tc>
          <w:tcPr>
            <w:tcW w:w="17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Ordinary Shares</w:t>
            </w:r>
          </w:p>
        </w:tc>
        <w:tc>
          <w:tcPr>
            <w:tcW w:w="420" w:type="dxa"/>
            <w:vAlign w:val="bottom"/>
          </w:tcPr>
          <w:p>
            <w:pPr>
              <w:spacing w:after="0"/>
              <w:rPr>
                <w:sz w:val="24"/>
                <w:szCs w:val="24"/>
                <w:color w:val="auto"/>
              </w:rPr>
            </w:pPr>
          </w:p>
        </w:tc>
        <w:tc>
          <w:tcPr>
            <w:tcW w:w="1780" w:type="dxa"/>
            <w:vAlign w:val="bottom"/>
          </w:tcPr>
          <w:p>
            <w:pPr>
              <w:jc w:val="right"/>
              <w:ind w:right="691"/>
              <w:spacing w:after="0"/>
              <w:rPr>
                <w:sz w:val="20"/>
                <w:szCs w:val="20"/>
                <w:color w:val="auto"/>
              </w:rPr>
            </w:pPr>
            <w:r>
              <w:rPr>
                <w:rFonts w:ascii="Arial" w:cs="Arial" w:eastAsia="Arial" w:hAnsi="Arial"/>
                <w:sz w:val="11"/>
                <w:szCs w:val="11"/>
                <w:b w:val="1"/>
                <w:bCs w:val="1"/>
                <w:color w:val="auto"/>
              </w:rPr>
              <w:t>Consideration</w:t>
            </w:r>
          </w:p>
        </w:tc>
      </w:tr>
      <w:tr>
        <w:trPr>
          <w:trHeight w:val="171"/>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Dr. Ebsworth</w:t>
            </w:r>
          </w:p>
        </w:tc>
        <w:tc>
          <w:tcPr>
            <w:tcW w:w="5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222,216</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r>
      <w:tr>
        <w:trPr>
          <w:trHeight w:val="180"/>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Dr. Zaccardelli</w:t>
            </w:r>
          </w:p>
        </w:tc>
        <w:tc>
          <w:tcPr>
            <w:tcW w:w="1620" w:type="dxa"/>
            <w:vAlign w:val="bottom"/>
          </w:tcPr>
          <w:p>
            <w:pPr>
              <w:jc w:val="right"/>
              <w:spacing w:after="0"/>
              <w:rPr>
                <w:sz w:val="20"/>
                <w:szCs w:val="20"/>
                <w:color w:val="auto"/>
              </w:rPr>
            </w:pPr>
            <w:r>
              <w:rPr>
                <w:rFonts w:ascii="Arial" w:cs="Arial" w:eastAsia="Arial" w:hAnsi="Arial"/>
                <w:sz w:val="14"/>
                <w:szCs w:val="14"/>
                <w:color w:val="auto"/>
              </w:rPr>
              <w:t>444,440</w:t>
            </w:r>
          </w:p>
        </w:tc>
        <w:tc>
          <w:tcPr>
            <w:tcW w:w="8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249,998</w:t>
            </w:r>
          </w:p>
        </w:tc>
      </w:tr>
      <w:tr>
        <w:trPr>
          <w:trHeight w:val="181"/>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Mr. Sinha (through connected persons)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533,328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299,997</w:t>
            </w:r>
          </w:p>
        </w:tc>
      </w:tr>
      <w:tr>
        <w:trPr>
          <w:trHeight w:val="180"/>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Dr. Ullman</w:t>
            </w:r>
          </w:p>
        </w:tc>
        <w:tc>
          <w:tcPr>
            <w:tcW w:w="1620" w:type="dxa"/>
            <w:vAlign w:val="bottom"/>
          </w:tcPr>
          <w:p>
            <w:pPr>
              <w:jc w:val="right"/>
              <w:spacing w:after="0"/>
              <w:rPr>
                <w:sz w:val="20"/>
                <w:szCs w:val="20"/>
                <w:color w:val="auto"/>
              </w:rPr>
            </w:pPr>
            <w:r>
              <w:rPr>
                <w:rFonts w:ascii="Arial" w:cs="Arial" w:eastAsia="Arial" w:hAnsi="Arial"/>
                <w:sz w:val="14"/>
                <w:szCs w:val="14"/>
                <w:color w:val="auto"/>
              </w:rPr>
              <w:t>266,664</w:t>
            </w:r>
          </w:p>
        </w:tc>
        <w:tc>
          <w:tcPr>
            <w:tcW w:w="8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149,983</w:t>
            </w:r>
          </w:p>
        </w:tc>
      </w:tr>
      <w:tr>
        <w:trPr>
          <w:trHeight w:val="181"/>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Dr. Edwards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53,328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29,997</w:t>
            </w:r>
          </w:p>
        </w:tc>
      </w:tr>
      <w:tr>
        <w:trPr>
          <w:trHeight w:val="180"/>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Mr. Hahn</w:t>
            </w:r>
          </w:p>
        </w:tc>
        <w:tc>
          <w:tcPr>
            <w:tcW w:w="1620" w:type="dxa"/>
            <w:vAlign w:val="bottom"/>
          </w:tcPr>
          <w:p>
            <w:pPr>
              <w:jc w:val="right"/>
              <w:spacing w:after="0"/>
              <w:rPr>
                <w:sz w:val="20"/>
                <w:szCs w:val="20"/>
                <w:color w:val="auto"/>
              </w:rPr>
            </w:pPr>
            <w:r>
              <w:rPr>
                <w:rFonts w:ascii="Arial" w:cs="Arial" w:eastAsia="Arial" w:hAnsi="Arial"/>
                <w:sz w:val="14"/>
                <w:szCs w:val="14"/>
                <w:color w:val="auto"/>
              </w:rPr>
              <w:t>177,784</w:t>
            </w:r>
          </w:p>
        </w:tc>
        <w:tc>
          <w:tcPr>
            <w:tcW w:w="8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100,004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F-24</w:t>
      </w:r>
    </w:p>
    <w:p>
      <w:pPr>
        <w:sectPr>
          <w:pgSz w:w="11900" w:h="16838" w:orient="portrait"/>
          <w:cols w:equalWidth="0" w:num="1">
            <w:col w:w="11280"/>
          </w:cols>
          <w:pgMar w:left="300" w:top="125" w:right="319" w:bottom="1440"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304165</wp:posOffset>
            </wp:positionV>
            <wp:extent cx="6507480" cy="93275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9">
                      <a:extLst>
                        <a:ext uri="{28A0092B-C50C-407E-A947-70E740481C1C}"/>
                      </a:extLst>
                    </a:blip>
                    <a:srcRect/>
                    <a:stretch>
                      <a:fillRect/>
                    </a:stretch>
                  </pic:blipFill>
                  <pic:spPr bwMode="auto">
                    <a:xfrm>
                      <a:off x="0" y="0"/>
                      <a:ext cx="650748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9611995</wp:posOffset>
            </wp:positionV>
            <wp:extent cx="6507480" cy="196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650748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8">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rFonts w:ascii="Arial" w:cs="Arial" w:eastAsia="Arial" w:hAnsi="Arial"/>
          <w:sz w:val="16"/>
          <w:szCs w:val="16"/>
          <w:color w:val="auto"/>
        </w:rPr>
        <w:t>CERTAIN INFORMATION IN THIS DOCUMENT, MARKED BY [***], HAS BEEN EXCLUDED PURSUANT TO REGULATION S-K, ITEM 601(b)(10)(iv).</w:t>
      </w:r>
    </w:p>
    <w:p>
      <w:pPr>
        <w:spacing w:after="0"/>
        <w:rPr>
          <w:sz w:val="20"/>
          <w:szCs w:val="20"/>
          <w:color w:val="auto"/>
        </w:rPr>
      </w:pPr>
      <w:r>
        <w:rPr>
          <w:rFonts w:ascii="Arial" w:cs="Arial" w:eastAsia="Arial" w:hAnsi="Arial"/>
          <w:sz w:val="17"/>
          <w:szCs w:val="17"/>
          <w:color w:val="auto"/>
        </w:rPr>
        <w:t>SUCH EXCLUDED INFORMATION IS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AMENDMENT</w:t>
      </w:r>
    </w:p>
    <w:p>
      <w:pPr>
        <w:jc w:val="center"/>
        <w:spacing w:after="0" w:line="208" w:lineRule="auto"/>
        <w:rPr>
          <w:sz w:val="20"/>
          <w:szCs w:val="20"/>
          <w:color w:val="auto"/>
        </w:rPr>
      </w:pPr>
      <w:r>
        <w:rPr>
          <w:rFonts w:ascii="Arial" w:cs="Arial" w:eastAsia="Arial" w:hAnsi="Arial"/>
          <w:sz w:val="17"/>
          <w:szCs w:val="17"/>
          <w:b w:val="1"/>
          <w:bCs w:val="1"/>
          <w:color w:val="auto"/>
        </w:rPr>
        <w:t>TO</w:t>
      </w:r>
    </w:p>
    <w:p>
      <w:pPr>
        <w:jc w:val="center"/>
        <w:spacing w:after="0" w:line="208" w:lineRule="auto"/>
        <w:rPr>
          <w:sz w:val="20"/>
          <w:szCs w:val="20"/>
          <w:color w:val="auto"/>
        </w:rPr>
      </w:pPr>
      <w:r>
        <w:rPr>
          <w:rFonts w:ascii="Arial" w:cs="Arial" w:eastAsia="Arial" w:hAnsi="Arial"/>
          <w:sz w:val="17"/>
          <w:szCs w:val="17"/>
          <w:b w:val="1"/>
          <w:bCs w:val="1"/>
          <w:color w:val="auto"/>
        </w:rPr>
        <w:t>LOAN AND SECURITY AGREEMENT</w:t>
      </w:r>
    </w:p>
    <w:p>
      <w:pPr>
        <w:spacing w:after="0" w:line="1" w:lineRule="exact"/>
        <w:rPr>
          <w:sz w:val="20"/>
          <w:szCs w:val="20"/>
          <w:color w:val="auto"/>
        </w:rPr>
      </w:pPr>
    </w:p>
    <w:p>
      <w:pPr>
        <w:jc w:val="both"/>
        <w:ind w:firstLine="509"/>
        <w:spacing w:after="0" w:line="218" w:lineRule="auto"/>
        <w:rPr>
          <w:sz w:val="20"/>
          <w:szCs w:val="20"/>
          <w:color w:val="auto"/>
        </w:rPr>
      </w:pPr>
      <w:r>
        <w:rPr>
          <w:rFonts w:ascii="Arial" w:cs="Arial" w:eastAsia="Arial" w:hAnsi="Arial"/>
          <w:sz w:val="17"/>
          <w:szCs w:val="17"/>
          <w:color w:val="auto"/>
        </w:rPr>
        <w:t>This Second Amendment to Loan and Security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is entered into this [●] day of March, 2022, by and between (a) SILICON VALLEY BANK, a California corporation (“</w:t>
      </w:r>
      <w:r>
        <w:rPr>
          <w:rFonts w:ascii="Arial" w:cs="Arial" w:eastAsia="Arial" w:hAnsi="Arial"/>
          <w:sz w:val="17"/>
          <w:szCs w:val="17"/>
          <w:b w:val="1"/>
          <w:bCs w:val="1"/>
          <w:color w:val="auto"/>
        </w:rPr>
        <w:t>Bank</w:t>
      </w:r>
      <w:r>
        <w:rPr>
          <w:rFonts w:ascii="Arial" w:cs="Arial" w:eastAsia="Arial" w:hAnsi="Arial"/>
          <w:sz w:val="17"/>
          <w:szCs w:val="17"/>
          <w:color w:val="auto"/>
        </w:rPr>
        <w:t>”) and (b) VERONA PHARMA PLC., a company registered under the laws of England and Wales with company number 05375156 (“</w:t>
      </w:r>
      <w:r>
        <w:rPr>
          <w:rFonts w:ascii="Arial" w:cs="Arial" w:eastAsia="Arial" w:hAnsi="Arial"/>
          <w:sz w:val="17"/>
          <w:szCs w:val="17"/>
          <w:b w:val="1"/>
          <w:bCs w:val="1"/>
          <w:color w:val="auto"/>
        </w:rPr>
        <w:t>Parent</w:t>
      </w:r>
      <w:r>
        <w:rPr>
          <w:rFonts w:ascii="Arial" w:cs="Arial" w:eastAsia="Arial" w:hAnsi="Arial"/>
          <w:sz w:val="17"/>
          <w:szCs w:val="17"/>
          <w:color w:val="auto"/>
        </w:rPr>
        <w:t>” or “</w:t>
      </w:r>
      <w:r>
        <w:rPr>
          <w:rFonts w:ascii="Arial" w:cs="Arial" w:eastAsia="Arial" w:hAnsi="Arial"/>
          <w:sz w:val="17"/>
          <w:szCs w:val="17"/>
          <w:b w:val="1"/>
          <w:bCs w:val="1"/>
          <w:color w:val="auto"/>
        </w:rPr>
        <w:t>UK Borrower</w:t>
      </w:r>
      <w:r>
        <w:rPr>
          <w:rFonts w:ascii="Arial" w:cs="Arial" w:eastAsia="Arial" w:hAnsi="Arial"/>
          <w:sz w:val="17"/>
          <w:szCs w:val="17"/>
          <w:color w:val="auto"/>
        </w:rPr>
        <w:t>”) and VERONA PHARMA, INC., a Delaware corporation (“</w:t>
      </w:r>
      <w:r>
        <w:rPr>
          <w:rFonts w:ascii="Arial" w:cs="Arial" w:eastAsia="Arial" w:hAnsi="Arial"/>
          <w:sz w:val="17"/>
          <w:szCs w:val="17"/>
          <w:b w:val="1"/>
          <w:bCs w:val="1"/>
          <w:color w:val="auto"/>
        </w:rPr>
        <w:t>US Borrower</w:t>
      </w:r>
      <w:r>
        <w:rPr>
          <w:rFonts w:ascii="Arial" w:cs="Arial" w:eastAsia="Arial" w:hAnsi="Arial"/>
          <w:sz w:val="17"/>
          <w:szCs w:val="17"/>
          <w:color w:val="auto"/>
        </w:rPr>
        <w:t>” and together with UK Borrower, each a “Co-Borrower” and collectively “</w:t>
      </w:r>
      <w:r>
        <w:rPr>
          <w:rFonts w:ascii="Arial" w:cs="Arial" w:eastAsia="Arial" w:hAnsi="Arial"/>
          <w:sz w:val="17"/>
          <w:szCs w:val="17"/>
          <w:b w:val="1"/>
          <w:bCs w:val="1"/>
          <w:color w:val="auto"/>
        </w:rPr>
        <w:t>Co-Borrowers</w:t>
      </w:r>
      <w:r>
        <w:rPr>
          <w:rFonts w:ascii="Arial" w:cs="Arial" w:eastAsia="Arial" w:hAnsi="Arial"/>
          <w:sz w:val="17"/>
          <w:szCs w:val="17"/>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148" w:lineRule="exact"/>
        <w:rPr>
          <w:sz w:val="20"/>
          <w:szCs w:val="20"/>
          <w:color w:val="auto"/>
        </w:rPr>
      </w:pPr>
    </w:p>
    <w:p>
      <w:pPr>
        <w:jc w:val="both"/>
        <w:ind w:firstLine="514"/>
        <w:spacing w:after="0" w:line="227" w:lineRule="auto"/>
        <w:tabs>
          <w:tab w:leader="none" w:pos="1014"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Bank and Co-Borrowers have entered into that certain Loan and Security Agreement dated as of November 19, 2020, as amended by that certain First Amendment to Loan and Security Agreement dated as of January 28, 2021 (as amended, and as the same may from time to time be further amended, modified, supplemented or restated, collectively, the “</w:t>
      </w:r>
      <w:r>
        <w:rPr>
          <w:rFonts w:ascii="Arial" w:cs="Arial" w:eastAsia="Arial" w:hAnsi="Arial"/>
          <w:sz w:val="17"/>
          <w:szCs w:val="17"/>
          <w:b w:val="1"/>
          <w:bCs w:val="1"/>
          <w:color w:val="auto"/>
        </w:rPr>
        <w:t>Loan Agreement</w:t>
      </w:r>
      <w:r>
        <w:rPr>
          <w:rFonts w:ascii="Arial" w:cs="Arial" w:eastAsia="Arial" w:hAnsi="Arial"/>
          <w:sz w:val="17"/>
          <w:szCs w:val="17"/>
          <w:color w:val="auto"/>
        </w:rPr>
        <w:t>”).</w:t>
      </w:r>
    </w:p>
    <w:p>
      <w:pPr>
        <w:spacing w:after="0" w:line="124" w:lineRule="exact"/>
        <w:rPr>
          <w:rFonts w:ascii="Arial" w:cs="Arial" w:eastAsia="Arial" w:hAnsi="Arial"/>
          <w:sz w:val="17"/>
          <w:szCs w:val="17"/>
          <w:b w:val="1"/>
          <w:bCs w:val="1"/>
          <w:color w:val="auto"/>
        </w:rPr>
      </w:pPr>
    </w:p>
    <w:p>
      <w:pPr>
        <w:ind w:left="1020" w:hanging="506"/>
        <w:spacing w:after="0"/>
        <w:tabs>
          <w:tab w:leader="none" w:pos="102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Bank has extended credit to Co-Borrowers for the purposes permitted in the Loan Agreement.</w:t>
      </w:r>
    </w:p>
    <w:p>
      <w:pPr>
        <w:spacing w:after="0" w:line="144" w:lineRule="exact"/>
        <w:rPr>
          <w:rFonts w:ascii="Arial" w:cs="Arial" w:eastAsia="Arial" w:hAnsi="Arial"/>
          <w:sz w:val="17"/>
          <w:szCs w:val="17"/>
          <w:b w:val="1"/>
          <w:bCs w:val="1"/>
          <w:color w:val="auto"/>
        </w:rPr>
      </w:pPr>
    </w:p>
    <w:p>
      <w:pPr>
        <w:ind w:left="1020" w:hanging="506"/>
        <w:spacing w:after="0"/>
        <w:tabs>
          <w:tab w:leader="none" w:pos="102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Co-Borrowers have requested that Bank amend the Loan Agreement to the Loan Agreement as more fully set forth herein.</w:t>
      </w:r>
    </w:p>
    <w:p>
      <w:pPr>
        <w:spacing w:after="0" w:line="144" w:lineRule="exact"/>
        <w:rPr>
          <w:rFonts w:ascii="Arial" w:cs="Arial" w:eastAsia="Arial" w:hAnsi="Arial"/>
          <w:sz w:val="17"/>
          <w:szCs w:val="17"/>
          <w:b w:val="1"/>
          <w:bCs w:val="1"/>
          <w:color w:val="auto"/>
        </w:rPr>
      </w:pPr>
    </w:p>
    <w:p>
      <w:pPr>
        <w:ind w:firstLine="514"/>
        <w:spacing w:after="0" w:line="236" w:lineRule="auto"/>
        <w:tabs>
          <w:tab w:leader="none" w:pos="1014"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w:t>
      </w:r>
    </w:p>
    <w:p>
      <w:pPr>
        <w:spacing w:after="0" w:line="144" w:lineRule="exact"/>
        <w:rPr>
          <w:sz w:val="20"/>
          <w:szCs w:val="20"/>
          <w:color w:val="auto"/>
        </w:rPr>
      </w:pPr>
    </w:p>
    <w:p>
      <w:pPr>
        <w:ind w:firstLine="509"/>
        <w:spacing w:after="0" w:line="238"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foregoing recitals and other good and valuable consideration, the receipt and adequacy of which is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acknowledged, and intending to be legally bound, the parties hereto agree as follows:</w:t>
      </w:r>
    </w:p>
    <w:p>
      <w:pPr>
        <w:spacing w:after="0" w:line="122" w:lineRule="exact"/>
        <w:rPr>
          <w:sz w:val="20"/>
          <w:szCs w:val="20"/>
          <w:color w:val="auto"/>
        </w:rPr>
      </w:pPr>
    </w:p>
    <w:p>
      <w:pPr>
        <w:ind w:left="1020" w:hanging="506"/>
        <w:spacing w:after="0"/>
        <w:tabs>
          <w:tab w:leader="none" w:pos="102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Definitions. </w:t>
      </w:r>
      <w:r>
        <w:rPr>
          <w:rFonts w:ascii="Arial" w:cs="Arial" w:eastAsia="Arial" w:hAnsi="Arial"/>
          <w:sz w:val="17"/>
          <w:szCs w:val="17"/>
          <w:color w:val="auto"/>
        </w:rPr>
        <w:t>Capitalized terms used but not defined in this Amendment shall have the meanings given to them in the Loan Agreement.</w:t>
      </w:r>
    </w:p>
    <w:p>
      <w:pPr>
        <w:spacing w:after="0" w:line="144" w:lineRule="exact"/>
        <w:rPr>
          <w:rFonts w:ascii="Arial" w:cs="Arial" w:eastAsia="Arial" w:hAnsi="Arial"/>
          <w:sz w:val="17"/>
          <w:szCs w:val="17"/>
          <w:b w:val="1"/>
          <w:bCs w:val="1"/>
          <w:color w:val="auto"/>
        </w:rPr>
      </w:pPr>
    </w:p>
    <w:p>
      <w:pPr>
        <w:ind w:left="1020" w:hanging="506"/>
        <w:spacing w:after="0"/>
        <w:tabs>
          <w:tab w:leader="none" w:pos="102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Amendment to Loan Agreement.</w:t>
      </w:r>
    </w:p>
    <w:p>
      <w:pPr>
        <w:spacing w:after="0" w:line="144" w:lineRule="exact"/>
        <w:rPr>
          <w:sz w:val="20"/>
          <w:szCs w:val="20"/>
          <w:color w:val="auto"/>
        </w:rPr>
      </w:pPr>
    </w:p>
    <w:p>
      <w:pPr>
        <w:ind w:firstLine="1019"/>
        <w:spacing w:after="0" w:line="238" w:lineRule="auto"/>
        <w:rPr>
          <w:sz w:val="20"/>
          <w:szCs w:val="20"/>
          <w:color w:val="auto"/>
        </w:rPr>
      </w:pPr>
      <w:r>
        <w:rPr>
          <w:rFonts w:ascii="Arial" w:cs="Arial" w:eastAsia="Arial" w:hAnsi="Arial"/>
          <w:sz w:val="17"/>
          <w:szCs w:val="17"/>
          <w:b w:val="1"/>
          <w:bCs w:val="1"/>
          <w:color w:val="auto"/>
        </w:rPr>
        <w:t xml:space="preserve">1.1 Section 13.1 </w:t>
      </w:r>
      <w:r>
        <w:rPr>
          <w:rFonts w:ascii="Arial" w:cs="Arial" w:eastAsia="Arial" w:hAnsi="Arial"/>
          <w:sz w:val="17"/>
          <w:szCs w:val="17"/>
          <w:color w:val="auto"/>
        </w:rPr>
        <w:t>(</w:t>
      </w:r>
      <w:r>
        <w:rPr>
          <w:rFonts w:ascii="Arial" w:cs="Arial" w:eastAsia="Arial" w:hAnsi="Arial"/>
          <w:sz w:val="17"/>
          <w:szCs w:val="17"/>
          <w:b w:val="1"/>
          <w:bCs w:val="1"/>
          <w:color w:val="auto"/>
        </w:rPr>
        <w:t>Definitions</w:t>
      </w:r>
      <w:r>
        <w:rPr>
          <w:rFonts w:ascii="Arial" w:cs="Arial" w:eastAsia="Arial" w:hAnsi="Arial"/>
          <w:sz w:val="17"/>
          <w:szCs w:val="17"/>
          <w:color w:val="auto"/>
        </w:rPr>
        <w:t>). The definition of “</w:t>
      </w:r>
      <w:r>
        <w:rPr>
          <w:rFonts w:ascii="Arial" w:cs="Arial" w:eastAsia="Arial" w:hAnsi="Arial"/>
          <w:sz w:val="17"/>
          <w:szCs w:val="17"/>
          <w:b w:val="1"/>
          <w:bCs w:val="1"/>
          <w:color w:val="auto"/>
        </w:rPr>
        <w:t>Term B Availability Period</w:t>
      </w:r>
      <w:r>
        <w:rPr>
          <w:rFonts w:ascii="Arial" w:cs="Arial" w:eastAsia="Arial" w:hAnsi="Arial"/>
          <w:sz w:val="17"/>
          <w:szCs w:val="17"/>
          <w:color w:val="auto"/>
        </w:rPr>
        <w:t>” set forth in Section 13.1 of the Loan Agreement hereby is</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and restated in its entirety and replaced with the following:</w:t>
      </w:r>
    </w:p>
    <w:p>
      <w:pPr>
        <w:spacing w:after="0" w:line="12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B Availability Period</w:t>
      </w:r>
      <w:r>
        <w:rPr>
          <w:rFonts w:ascii="Arial" w:cs="Arial" w:eastAsia="Arial" w:hAnsi="Arial"/>
          <w:sz w:val="16"/>
          <w:szCs w:val="16"/>
          <w:color w:val="auto"/>
        </w:rPr>
        <w:t>” is the period of time commencing on the date [***] for Ensifentrine, through and including September 30, 2022.</w:t>
      </w:r>
    </w:p>
    <w:p>
      <w:pPr>
        <w:spacing w:after="0" w:line="156" w:lineRule="exact"/>
        <w:rPr>
          <w:sz w:val="20"/>
          <w:szCs w:val="20"/>
          <w:color w:val="auto"/>
        </w:rPr>
      </w:pPr>
    </w:p>
    <w:p>
      <w:pPr>
        <w:ind w:left="1020" w:hanging="506"/>
        <w:spacing w:after="0"/>
        <w:tabs>
          <w:tab w:leader="none" w:pos="102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Limitation of Amendments.</w:t>
      </w:r>
    </w:p>
    <w:p>
      <w:pPr>
        <w:spacing w:after="0" w:line="144" w:lineRule="exact"/>
        <w:rPr>
          <w:sz w:val="20"/>
          <w:szCs w:val="20"/>
          <w:color w:val="auto"/>
        </w:rPr>
      </w:pPr>
    </w:p>
    <w:p>
      <w:pPr>
        <w:ind w:firstLine="1019"/>
        <w:spacing w:after="0" w:line="238" w:lineRule="auto"/>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color w:val="auto"/>
        </w:rPr>
        <w:t>The amendments set forth in Section 2, above, are effective for the purposes set forth herein and shall be limited precisely as written and shall</w:t>
      </w:r>
      <w:r>
        <w:rPr>
          <w:rFonts w:ascii="Arial" w:cs="Arial" w:eastAsia="Arial" w:hAnsi="Arial"/>
          <w:sz w:val="17"/>
          <w:szCs w:val="17"/>
          <w:b w:val="1"/>
          <w:bCs w:val="1"/>
          <w:color w:val="auto"/>
        </w:rPr>
        <w:t xml:space="preserve"> </w:t>
      </w:r>
      <w:r>
        <w:rPr>
          <w:rFonts w:ascii="Arial" w:cs="Arial" w:eastAsia="Arial" w:hAnsi="Arial"/>
          <w:sz w:val="17"/>
          <w:szCs w:val="17"/>
          <w:color w:val="auto"/>
        </w:rPr>
        <w:t>not be deemed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color w:val="auto"/>
        </w:rPr>
        <w:t>297684974.1</w:t>
      </w:r>
    </w:p>
    <w:p>
      <w:pPr>
        <w:sectPr>
          <w:pgSz w:w="11900" w:h="16838" w:orient="portrait"/>
          <w:cols w:equalWidth="0" w:num="1">
            <w:col w:w="11280"/>
          </w:cols>
          <w:pgMar w:left="300" w:top="111" w:right="319" w:bottom="1440" w:gutter="0" w:footer="0" w:header="0"/>
        </w:sectPr>
      </w:pPr>
    </w:p>
    <w:bookmarkStart w:id="172" w:name="page173"/>
    <w:bookmarkEnd w:id="172"/>
    <w:p>
      <w:pPr>
        <w:ind w:firstLine="5"/>
        <w:spacing w:after="0" w:line="236" w:lineRule="auto"/>
        <w:tabs>
          <w:tab w:leader="none" w:pos="243" w:val="left"/>
        </w:tabs>
        <w:numPr>
          <w:ilvl w:val="0"/>
          <w:numId w:val="47"/>
        </w:numPr>
        <w:rPr>
          <w:rFonts w:ascii="Arial" w:cs="Arial" w:eastAsia="Arial" w:hAnsi="Arial"/>
          <w:sz w:val="17"/>
          <w:szCs w:val="17"/>
          <w:color w:val="auto"/>
        </w:rPr>
      </w:pPr>
      <w:r>
        <w:rPr>
          <w:rFonts w:ascii="Arial" w:cs="Arial" w:eastAsia="Arial" w:hAnsi="Arial"/>
          <w:sz w:val="17"/>
          <w:szCs w:val="17"/>
          <w:color w:val="auto"/>
        </w:rPr>
        <w:t>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21" w:lineRule="exact"/>
        <w:rPr>
          <w:sz w:val="20"/>
          <w:szCs w:val="20"/>
          <w:color w:val="auto"/>
        </w:rPr>
      </w:pPr>
    </w:p>
    <w:p>
      <w:pPr>
        <w:jc w:val="both"/>
        <w:ind w:firstLine="1019"/>
        <w:spacing w:after="0" w:line="228"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color w:val="auto"/>
        </w:rPr>
        <w:t>This Amendment shall be construed in connection with and as part of the Loan Documents and all terms, conditions, representations,</w:t>
      </w:r>
      <w:r>
        <w:rPr>
          <w:rFonts w:ascii="Arial" w:cs="Arial" w:eastAsia="Arial" w:hAnsi="Arial"/>
          <w:sz w:val="17"/>
          <w:szCs w:val="17"/>
          <w:b w:val="1"/>
          <w:bCs w:val="1"/>
          <w:color w:val="auto"/>
        </w:rPr>
        <w:t xml:space="preserve"> </w:t>
      </w:r>
      <w:r>
        <w:rPr>
          <w:rFonts w:ascii="Arial" w:cs="Arial" w:eastAsia="Arial" w:hAnsi="Arial"/>
          <w:sz w:val="17"/>
          <w:szCs w:val="17"/>
          <w:color w:val="auto"/>
        </w:rPr>
        <w:t>warranties, covenants and agreements set forth in the Loan Documents, except as herein amended, are hereby ratified and confirmed and shall remain in full force and effect.</w:t>
      </w:r>
    </w:p>
    <w:p>
      <w:pPr>
        <w:spacing w:after="0" w:line="122" w:lineRule="exact"/>
        <w:rPr>
          <w:sz w:val="20"/>
          <w:szCs w:val="20"/>
          <w:color w:val="auto"/>
        </w:rPr>
      </w:pPr>
    </w:p>
    <w:p>
      <w:pPr>
        <w:ind w:left="1020" w:hanging="506"/>
        <w:spacing w:after="0"/>
        <w:tabs>
          <w:tab w:leader="none" w:pos="1020" w:val="left"/>
        </w:tabs>
        <w:numPr>
          <w:ilvl w:val="0"/>
          <w:numId w:val="4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Representations and Warranties. </w:t>
      </w:r>
      <w:r>
        <w:rPr>
          <w:rFonts w:ascii="Arial" w:cs="Arial" w:eastAsia="Arial" w:hAnsi="Arial"/>
          <w:sz w:val="15"/>
          <w:szCs w:val="15"/>
          <w:color w:val="auto"/>
        </w:rPr>
        <w:t>To induce Bank to enter into this Amendment, Co-Borrowers hereby represent and warrant to Bank as follows:</w:t>
      </w:r>
    </w:p>
    <w:p>
      <w:pPr>
        <w:spacing w:after="0" w:line="167" w:lineRule="exact"/>
        <w:rPr>
          <w:sz w:val="20"/>
          <w:szCs w:val="20"/>
          <w:color w:val="auto"/>
        </w:rPr>
      </w:pPr>
    </w:p>
    <w:p>
      <w:pPr>
        <w:jc w:val="both"/>
        <w:ind w:firstLine="1019"/>
        <w:spacing w:after="0" w:line="228" w:lineRule="auto"/>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color w:val="auto"/>
        </w:rPr>
        <w:t>Immediately after giving effect to this Amendment (a) the representations and warranties contained in the Loan Documents are true, accurate</w:t>
      </w:r>
      <w:r>
        <w:rPr>
          <w:rFonts w:ascii="Arial" w:cs="Arial" w:eastAsia="Arial" w:hAnsi="Arial"/>
          <w:sz w:val="17"/>
          <w:szCs w:val="17"/>
          <w:b w:val="1"/>
          <w:bCs w:val="1"/>
          <w:color w:val="auto"/>
        </w:rPr>
        <w:t xml:space="preserve"> </w:t>
      </w:r>
      <w:r>
        <w:rPr>
          <w:rFonts w:ascii="Arial" w:cs="Arial" w:eastAsia="Arial" w:hAnsi="Arial"/>
          <w:sz w:val="17"/>
          <w:szCs w:val="17"/>
          <w:color w:val="auto"/>
        </w:rPr>
        <w:t>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22" w:lineRule="exact"/>
        <w:rPr>
          <w:sz w:val="20"/>
          <w:szCs w:val="20"/>
          <w:color w:val="auto"/>
        </w:rPr>
      </w:pPr>
    </w:p>
    <w:p>
      <w:pPr>
        <w:jc w:val="both"/>
        <w:ind w:firstLine="1019"/>
        <w:spacing w:after="0" w:line="238"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color w:val="auto"/>
        </w:rPr>
        <w:t>Co-Borrowers have the power and authority to execute and deliver this Amendment and to perform its obligations under the Loan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amended by this Amendment;</w:t>
      </w:r>
    </w:p>
    <w:p>
      <w:pPr>
        <w:spacing w:after="0" w:line="122" w:lineRule="exact"/>
        <w:rPr>
          <w:sz w:val="20"/>
          <w:szCs w:val="20"/>
          <w:color w:val="auto"/>
        </w:rPr>
      </w:pPr>
    </w:p>
    <w:p>
      <w:pPr>
        <w:jc w:val="both"/>
        <w:ind w:firstLine="1019"/>
        <w:spacing w:after="0" w:line="301" w:lineRule="auto"/>
        <w:rPr>
          <w:sz w:val="20"/>
          <w:szCs w:val="20"/>
          <w:color w:val="auto"/>
        </w:rPr>
      </w:pPr>
      <w:r>
        <w:rPr>
          <w:rFonts w:ascii="Arial" w:cs="Arial" w:eastAsia="Arial" w:hAnsi="Arial"/>
          <w:sz w:val="15"/>
          <w:szCs w:val="15"/>
          <w:b w:val="1"/>
          <w:bCs w:val="1"/>
          <w:color w:val="auto"/>
        </w:rPr>
        <w:t xml:space="preserve">1.3 </w:t>
      </w:r>
      <w:r>
        <w:rPr>
          <w:rFonts w:ascii="Arial" w:cs="Arial" w:eastAsia="Arial" w:hAnsi="Arial"/>
          <w:sz w:val="15"/>
          <w:szCs w:val="15"/>
          <w:color w:val="auto"/>
        </w:rPr>
        <w:t>Except as has been delivered to Bank pursuant to Section 6.2(e), the organizational documents of each Co-Borrower delivered to Bank on the</w:t>
      </w:r>
      <w:r>
        <w:rPr>
          <w:rFonts w:ascii="Arial" w:cs="Arial" w:eastAsia="Arial" w:hAnsi="Arial"/>
          <w:sz w:val="15"/>
          <w:szCs w:val="15"/>
          <w:b w:val="1"/>
          <w:bCs w:val="1"/>
          <w:color w:val="auto"/>
        </w:rPr>
        <w:t xml:space="preserve"> </w:t>
      </w:r>
      <w:r>
        <w:rPr>
          <w:rFonts w:ascii="Arial" w:cs="Arial" w:eastAsia="Arial" w:hAnsi="Arial"/>
          <w:sz w:val="15"/>
          <w:szCs w:val="15"/>
          <w:color w:val="auto"/>
        </w:rPr>
        <w:t>Effective Date remain true, accurate and complete and have not been amended, supplemented or restated and are and continue to be in full force and effect;</w:t>
      </w:r>
    </w:p>
    <w:p>
      <w:pPr>
        <w:spacing w:after="0" w:line="77" w:lineRule="exact"/>
        <w:rPr>
          <w:sz w:val="20"/>
          <w:szCs w:val="20"/>
          <w:color w:val="auto"/>
        </w:rPr>
      </w:pPr>
    </w:p>
    <w:p>
      <w:pPr>
        <w:jc w:val="both"/>
        <w:ind w:firstLine="1019"/>
        <w:spacing w:after="0" w:line="238" w:lineRule="auto"/>
        <w:rPr>
          <w:sz w:val="20"/>
          <w:szCs w:val="20"/>
          <w:color w:val="auto"/>
        </w:rPr>
      </w:pPr>
      <w:r>
        <w:rPr>
          <w:rFonts w:ascii="Arial" w:cs="Arial" w:eastAsia="Arial" w:hAnsi="Arial"/>
          <w:sz w:val="17"/>
          <w:szCs w:val="17"/>
          <w:b w:val="1"/>
          <w:bCs w:val="1"/>
          <w:color w:val="auto"/>
        </w:rPr>
        <w:t xml:space="preserve">1.4 </w:t>
      </w:r>
      <w:r>
        <w:rPr>
          <w:rFonts w:ascii="Arial" w:cs="Arial" w:eastAsia="Arial" w:hAnsi="Arial"/>
          <w:sz w:val="17"/>
          <w:szCs w:val="17"/>
          <w:color w:val="auto"/>
        </w:rPr>
        <w:t>The execution and delivery by Co-Borrowers of this Amendment and the performance by Co-Borrowers of its obligations under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as amended by this Amendment, have been duly authorized;</w:t>
      </w:r>
    </w:p>
    <w:p>
      <w:pPr>
        <w:spacing w:after="0" w:line="122" w:lineRule="exact"/>
        <w:rPr>
          <w:sz w:val="20"/>
          <w:szCs w:val="20"/>
          <w:color w:val="auto"/>
        </w:rPr>
      </w:pPr>
    </w:p>
    <w:p>
      <w:pPr>
        <w:jc w:val="both"/>
        <w:ind w:firstLine="1019"/>
        <w:spacing w:after="0" w:line="223" w:lineRule="auto"/>
        <w:rPr>
          <w:sz w:val="20"/>
          <w:szCs w:val="20"/>
          <w:color w:val="auto"/>
        </w:rPr>
      </w:pPr>
      <w:r>
        <w:rPr>
          <w:rFonts w:ascii="Arial" w:cs="Arial" w:eastAsia="Arial" w:hAnsi="Arial"/>
          <w:sz w:val="17"/>
          <w:szCs w:val="17"/>
          <w:b w:val="1"/>
          <w:bCs w:val="1"/>
          <w:color w:val="auto"/>
        </w:rPr>
        <w:t xml:space="preserve">1.5 </w:t>
      </w:r>
      <w:r>
        <w:rPr>
          <w:rFonts w:ascii="Arial" w:cs="Arial" w:eastAsia="Arial" w:hAnsi="Arial"/>
          <w:sz w:val="17"/>
          <w:szCs w:val="17"/>
          <w:color w:val="auto"/>
        </w:rPr>
        <w:t>The execution and delivery by Co-Borrowers of this Amendment and the performance by Co-Borrowers of its obligations under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as amended by this Amendment, do not and will not contravene (a) any material law or regulation binding on or affecting Co-Borrowers, (b) any material contractual restriction with a Person binding on Co-Borrowers, (c) any order, judgment or decree of any court or other governmental or public body or authority, or subdivision thereof, binding on Co-Borrowers, or (d) the organizational documents of Co-Borrowers;</w:t>
      </w:r>
    </w:p>
    <w:p>
      <w:pPr>
        <w:spacing w:after="0" w:line="122" w:lineRule="exact"/>
        <w:rPr>
          <w:sz w:val="20"/>
          <w:szCs w:val="20"/>
          <w:color w:val="auto"/>
        </w:rPr>
      </w:pPr>
    </w:p>
    <w:p>
      <w:pPr>
        <w:jc w:val="both"/>
        <w:ind w:firstLine="1019"/>
        <w:spacing w:after="0" w:line="223" w:lineRule="auto"/>
        <w:rPr>
          <w:sz w:val="20"/>
          <w:szCs w:val="20"/>
          <w:color w:val="auto"/>
        </w:rPr>
      </w:pPr>
      <w:r>
        <w:rPr>
          <w:rFonts w:ascii="Arial" w:cs="Arial" w:eastAsia="Arial" w:hAnsi="Arial"/>
          <w:sz w:val="17"/>
          <w:szCs w:val="17"/>
          <w:b w:val="1"/>
          <w:bCs w:val="1"/>
          <w:color w:val="auto"/>
        </w:rPr>
        <w:t xml:space="preserve">1.6 </w:t>
      </w:r>
      <w:r>
        <w:rPr>
          <w:rFonts w:ascii="Arial" w:cs="Arial" w:eastAsia="Arial" w:hAnsi="Arial"/>
          <w:sz w:val="17"/>
          <w:szCs w:val="17"/>
          <w:color w:val="auto"/>
        </w:rPr>
        <w:t>The execution and delivery by Co-Borrowers of this Amendment and the performance by Co-Borrowers of its obligations under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as amended by this Amendment, do not require any order, consent, approval, license, authorization or validation of, or filing, recording or registration with, or exemption by any governmental or public body or authority, or subdivision thereof, binding on Co-Borrowers, except as already has been obtained or made; and</w:t>
      </w:r>
    </w:p>
    <w:p>
      <w:pPr>
        <w:spacing w:after="0" w:line="122" w:lineRule="exact"/>
        <w:rPr>
          <w:sz w:val="20"/>
          <w:szCs w:val="20"/>
          <w:color w:val="auto"/>
        </w:rPr>
      </w:pPr>
    </w:p>
    <w:p>
      <w:pPr>
        <w:jc w:val="both"/>
        <w:ind w:firstLine="1019"/>
        <w:spacing w:after="0" w:line="228" w:lineRule="auto"/>
        <w:rPr>
          <w:sz w:val="20"/>
          <w:szCs w:val="20"/>
          <w:color w:val="auto"/>
        </w:rPr>
      </w:pPr>
      <w:r>
        <w:rPr>
          <w:rFonts w:ascii="Arial" w:cs="Arial" w:eastAsia="Arial" w:hAnsi="Arial"/>
          <w:sz w:val="17"/>
          <w:szCs w:val="17"/>
          <w:b w:val="1"/>
          <w:bCs w:val="1"/>
          <w:color w:val="auto"/>
        </w:rPr>
        <w:t xml:space="preserve">1.7 </w:t>
      </w:r>
      <w:r>
        <w:rPr>
          <w:rFonts w:ascii="Arial" w:cs="Arial" w:eastAsia="Arial" w:hAnsi="Arial"/>
          <w:sz w:val="17"/>
          <w:szCs w:val="17"/>
          <w:color w:val="auto"/>
        </w:rPr>
        <w:t>This Amendment has been duly executed and delivered by Co-Borrowers and is the binding obligation of Co-Borrowers, enforceable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Co-Borrowers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22" w:lineRule="exact"/>
        <w:rPr>
          <w:sz w:val="20"/>
          <w:szCs w:val="20"/>
          <w:color w:val="auto"/>
        </w:rPr>
      </w:pPr>
    </w:p>
    <w:p>
      <w:pPr>
        <w:ind w:left="1020" w:hanging="506"/>
        <w:spacing w:after="0"/>
        <w:tabs>
          <w:tab w:leader="none" w:pos="102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[Reserved]</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297684974.1</w:t>
      </w:r>
    </w:p>
    <w:p>
      <w:pPr>
        <w:sectPr>
          <w:pgSz w:w="11900" w:h="16838" w:orient="portrait"/>
          <w:cols w:equalWidth="0" w:num="1">
            <w:col w:w="11280"/>
          </w:cols>
          <w:pgMar w:left="300" w:top="1131" w:right="319" w:bottom="1440" w:gutter="0" w:footer="0" w:header="0"/>
        </w:sectPr>
      </w:pPr>
    </w:p>
    <w:bookmarkStart w:id="173" w:name="page174"/>
    <w:bookmarkEnd w:id="173"/>
    <w:p>
      <w:pPr>
        <w:jc w:val="both"/>
        <w:ind w:firstLine="514"/>
        <w:spacing w:after="0" w:line="228" w:lineRule="auto"/>
        <w:tabs>
          <w:tab w:leader="none" w:pos="1019"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Integration</w:t>
      </w:r>
      <w:r>
        <w:rPr>
          <w:rFonts w:ascii="Arial" w:cs="Arial" w:eastAsia="Arial" w:hAnsi="Arial"/>
          <w:sz w:val="17"/>
          <w:szCs w:val="17"/>
          <w:color w:val="auto"/>
        </w:rPr>
        <w:t>. This Amendment and the Loan Documents represent the entire agreement about this subject matter and supersede prior negotiations or</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All prior agreements, understandings, representations, warranties, and negotiations between the parties about the subject matter of this Amendment and the Loan Documents merge into this Amendment and the Loan Documents.</w:t>
      </w:r>
    </w:p>
    <w:p>
      <w:pPr>
        <w:spacing w:after="0" w:line="121" w:lineRule="exact"/>
        <w:rPr>
          <w:rFonts w:ascii="Arial" w:cs="Arial" w:eastAsia="Arial" w:hAnsi="Arial"/>
          <w:sz w:val="17"/>
          <w:szCs w:val="17"/>
          <w:b w:val="1"/>
          <w:bCs w:val="1"/>
          <w:color w:val="auto"/>
        </w:rPr>
      </w:pPr>
    </w:p>
    <w:p>
      <w:pPr>
        <w:ind w:firstLine="514"/>
        <w:spacing w:after="0" w:line="238" w:lineRule="auto"/>
        <w:tabs>
          <w:tab w:leader="none" w:pos="1019"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Counterparts. </w:t>
      </w:r>
      <w:r>
        <w:rPr>
          <w:rFonts w:ascii="Arial" w:cs="Arial" w:eastAsia="Arial" w:hAnsi="Arial"/>
          <w:sz w:val="17"/>
          <w:szCs w:val="17"/>
          <w:color w:val="auto"/>
        </w:rPr>
        <w:t>This Amendment may be executed in any number of counterparts and all of such counterparts taken together shall be deemed to</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one and the same instrument.</w:t>
      </w:r>
    </w:p>
    <w:p>
      <w:pPr>
        <w:spacing w:after="0" w:line="121" w:lineRule="exact"/>
        <w:rPr>
          <w:rFonts w:ascii="Arial" w:cs="Arial" w:eastAsia="Arial" w:hAnsi="Arial"/>
          <w:sz w:val="17"/>
          <w:szCs w:val="17"/>
          <w:b w:val="1"/>
          <w:bCs w:val="1"/>
          <w:color w:val="auto"/>
        </w:rPr>
      </w:pPr>
    </w:p>
    <w:p>
      <w:pPr>
        <w:ind w:firstLine="514"/>
        <w:spacing w:after="0" w:line="238" w:lineRule="auto"/>
        <w:tabs>
          <w:tab w:leader="none" w:pos="1019"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Effectiveness</w:t>
      </w:r>
      <w:r>
        <w:rPr>
          <w:rFonts w:ascii="Arial" w:cs="Arial" w:eastAsia="Arial" w:hAnsi="Arial"/>
          <w:sz w:val="17"/>
          <w:szCs w:val="17"/>
          <w:color w:val="auto"/>
        </w:rPr>
        <w:t>. This Amendment shall be deemed effective upon (a) the due execution and delivery to Bank of this Amendment by each party hereto</w:t>
      </w:r>
      <w:r>
        <w:rPr>
          <w:rFonts w:ascii="Arial" w:cs="Arial" w:eastAsia="Arial" w:hAnsi="Arial"/>
          <w:sz w:val="17"/>
          <w:szCs w:val="17"/>
          <w:b w:val="1"/>
          <w:bCs w:val="1"/>
          <w:color w:val="auto"/>
        </w:rPr>
        <w:t xml:space="preserve"> </w:t>
      </w:r>
      <w:r>
        <w:rPr>
          <w:rFonts w:ascii="Arial" w:cs="Arial" w:eastAsia="Arial" w:hAnsi="Arial"/>
          <w:sz w:val="17"/>
          <w:szCs w:val="17"/>
          <w:color w:val="auto"/>
        </w:rPr>
        <w:t>and (b) Co-Borrowers’ payment of Bank’s legal fees and expenses incurred in connection with this Amendment.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297684974.1</w:t>
      </w:r>
    </w:p>
    <w:p>
      <w:pPr>
        <w:sectPr>
          <w:pgSz w:w="11900" w:h="16838" w:orient="portrait"/>
          <w:cols w:equalWidth="0" w:num="1">
            <w:col w:w="11280"/>
          </w:cols>
          <w:pgMar w:left="300" w:top="1127" w:right="319" w:bottom="1440" w:gutter="0" w:footer="0" w:header="0"/>
        </w:sectPr>
      </w:pPr>
    </w:p>
    <w:bookmarkStart w:id="174" w:name="page175"/>
    <w:bookmarkEnd w:id="174"/>
    <w:p>
      <w:pPr>
        <w:ind w:left="520"/>
        <w:spacing w:after="0"/>
        <w:rPr>
          <w:sz w:val="20"/>
          <w:szCs w:val="20"/>
          <w:color w:val="auto"/>
        </w:rPr>
      </w:pPr>
      <w:r>
        <w:rPr>
          <w:rFonts w:ascii="Arial" w:cs="Arial" w:eastAsia="Arial" w:hAnsi="Arial"/>
          <w:sz w:val="15"/>
          <w:szCs w:val="15"/>
          <w:b w:val="1"/>
          <w:bCs w:val="1"/>
          <w:color w:val="auto"/>
        </w:rPr>
        <w:t xml:space="preserve">In Witness Whereof, </w:t>
      </w:r>
      <w:r>
        <w:rPr>
          <w:rFonts w:ascii="Arial" w:cs="Arial" w:eastAsia="Arial" w:hAnsi="Arial"/>
          <w:sz w:val="15"/>
          <w:szCs w:val="15"/>
          <w:color w:val="auto"/>
        </w:rPr>
        <w:t>the parties hereto have caused this Amendment to be duly executed and delivered as of the date first written above.</w:t>
      </w: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5760" w:type="dxa"/>
            <w:vAlign w:val="bottom"/>
            <w:gridSpan w:val="15"/>
          </w:tcPr>
          <w:p>
            <w:pPr>
              <w:spacing w:after="0"/>
              <w:rPr>
                <w:sz w:val="20"/>
                <w:szCs w:val="20"/>
                <w:color w:val="auto"/>
              </w:rPr>
            </w:pPr>
            <w:r>
              <w:rPr>
                <w:rFonts w:ascii="Arial" w:cs="Arial" w:eastAsia="Arial" w:hAnsi="Arial"/>
                <w:sz w:val="17"/>
                <w:szCs w:val="17"/>
                <w:b w:val="1"/>
                <w:bCs w:val="1"/>
                <w:color w:val="auto"/>
              </w:rPr>
              <w:t>BANK:</w:t>
            </w:r>
          </w:p>
        </w:tc>
        <w:tc>
          <w:tcPr>
            <w:tcW w:w="2300" w:type="dxa"/>
            <w:vAlign w:val="bottom"/>
            <w:gridSpan w:val="7"/>
          </w:tcPr>
          <w:p>
            <w:pPr>
              <w:ind w:left="320"/>
              <w:spacing w:after="0"/>
              <w:rPr>
                <w:sz w:val="20"/>
                <w:szCs w:val="20"/>
                <w:color w:val="auto"/>
              </w:rPr>
            </w:pPr>
            <w:r>
              <w:rPr>
                <w:rFonts w:ascii="Arial" w:cs="Arial" w:eastAsia="Arial" w:hAnsi="Arial"/>
                <w:sz w:val="17"/>
                <w:szCs w:val="17"/>
                <w:b w:val="1"/>
                <w:bCs w:val="1"/>
                <w:color w:val="auto"/>
              </w:rPr>
              <w:t>BORROWER:</w:t>
            </w:r>
          </w:p>
        </w:tc>
      </w:tr>
      <w:tr>
        <w:trPr>
          <w:trHeight w:val="361"/>
        </w:trPr>
        <w:tc>
          <w:tcPr>
            <w:tcW w:w="5760" w:type="dxa"/>
            <w:vAlign w:val="bottom"/>
            <w:gridSpan w:val="15"/>
          </w:tcPr>
          <w:p>
            <w:pPr>
              <w:spacing w:after="0"/>
              <w:rPr>
                <w:sz w:val="20"/>
                <w:szCs w:val="20"/>
                <w:color w:val="auto"/>
              </w:rPr>
            </w:pPr>
            <w:r>
              <w:rPr>
                <w:rFonts w:ascii="Arial" w:cs="Arial" w:eastAsia="Arial" w:hAnsi="Arial"/>
                <w:sz w:val="17"/>
                <w:szCs w:val="17"/>
                <w:b w:val="1"/>
                <w:bCs w:val="1"/>
                <w:color w:val="auto"/>
              </w:rPr>
              <w:t>SILICON VALLEY BANK</w:t>
            </w:r>
          </w:p>
        </w:tc>
        <w:tc>
          <w:tcPr>
            <w:tcW w:w="2300" w:type="dxa"/>
            <w:vAlign w:val="bottom"/>
            <w:gridSpan w:val="7"/>
          </w:tcPr>
          <w:p>
            <w:pPr>
              <w:ind w:left="320"/>
              <w:spacing w:after="0"/>
              <w:rPr>
                <w:sz w:val="20"/>
                <w:szCs w:val="20"/>
                <w:color w:val="auto"/>
              </w:rPr>
            </w:pPr>
            <w:r>
              <w:rPr>
                <w:rFonts w:ascii="Arial" w:cs="Arial" w:eastAsia="Arial" w:hAnsi="Arial"/>
                <w:sz w:val="17"/>
                <w:szCs w:val="17"/>
                <w:b w:val="1"/>
                <w:bCs w:val="1"/>
                <w:color w:val="auto"/>
              </w:rPr>
              <w:t>VERONA PHARMA, INC.</w:t>
            </w:r>
          </w:p>
        </w:tc>
      </w:tr>
      <w:tr>
        <w:trPr>
          <w:trHeight w:val="512"/>
        </w:trPr>
        <w:tc>
          <w:tcPr>
            <w:tcW w:w="280" w:type="dxa"/>
            <w:vAlign w:val="bottom"/>
            <w:gridSpan w:val="2"/>
          </w:tcPr>
          <w:p>
            <w:pPr>
              <w:spacing w:after="0"/>
              <w:rPr>
                <w:sz w:val="20"/>
                <w:szCs w:val="20"/>
                <w:color w:val="auto"/>
              </w:rPr>
            </w:pPr>
            <w:r>
              <w:rPr>
                <w:rFonts w:ascii="Arial" w:cs="Arial" w:eastAsia="Arial" w:hAnsi="Arial"/>
                <w:sz w:val="17"/>
                <w:szCs w:val="17"/>
                <w:color w:val="auto"/>
              </w:rPr>
              <w:t>By:</w:t>
            </w:r>
          </w:p>
        </w:tc>
        <w:tc>
          <w:tcPr>
            <w:tcW w:w="200" w:type="dxa"/>
            <w:vAlign w:val="bottom"/>
            <w:tcBorders>
              <w:bottom w:val="single" w:sz="8" w:color="auto"/>
            </w:tcBorders>
            <w:gridSpan w:val="4"/>
          </w:tcPr>
          <w:p>
            <w:pPr>
              <w:spacing w:after="0"/>
              <w:rPr>
                <w:sz w:val="24"/>
                <w:szCs w:val="24"/>
                <w:color w:val="auto"/>
              </w:rPr>
            </w:pPr>
          </w:p>
        </w:tc>
        <w:tc>
          <w:tcPr>
            <w:tcW w:w="5280" w:type="dxa"/>
            <w:vAlign w:val="bottom"/>
            <w:gridSpan w:val="9"/>
          </w:tcPr>
          <w:p>
            <w:pPr>
              <w:spacing w:after="0"/>
              <w:rPr>
                <w:sz w:val="24"/>
                <w:szCs w:val="24"/>
                <w:color w:val="auto"/>
              </w:rPr>
            </w:pPr>
          </w:p>
        </w:tc>
        <w:tc>
          <w:tcPr>
            <w:tcW w:w="600" w:type="dxa"/>
            <w:vAlign w:val="bottom"/>
          </w:tcPr>
          <w:p>
            <w:pPr>
              <w:ind w:left="320"/>
              <w:spacing w:after="0"/>
              <w:rPr>
                <w:sz w:val="20"/>
                <w:szCs w:val="20"/>
                <w:color w:val="auto"/>
              </w:rPr>
            </w:pPr>
            <w:r>
              <w:rPr>
                <w:rFonts w:ascii="Arial" w:cs="Arial" w:eastAsia="Arial" w:hAnsi="Arial"/>
                <w:sz w:val="17"/>
                <w:szCs w:val="17"/>
                <w:color w:val="auto"/>
              </w:rPr>
              <w:t>By:</w:t>
            </w:r>
          </w:p>
        </w:tc>
        <w:tc>
          <w:tcPr>
            <w:tcW w:w="180" w:type="dxa"/>
            <w:vAlign w:val="bottom"/>
            <w:tcBorders>
              <w:bottom w:val="single" w:sz="8" w:color="auto"/>
            </w:tcBorders>
            <w:gridSpan w:val="2"/>
          </w:tcPr>
          <w:p>
            <w:pPr>
              <w:spacing w:after="0"/>
              <w:rPr>
                <w:sz w:val="24"/>
                <w:szCs w:val="24"/>
                <w:color w:val="auto"/>
              </w:rPr>
            </w:pPr>
          </w:p>
        </w:tc>
        <w:tc>
          <w:tcPr>
            <w:tcW w:w="1520" w:type="dxa"/>
            <w:vAlign w:val="bottom"/>
            <w:gridSpan w:val="4"/>
          </w:tcPr>
          <w:p>
            <w:pPr>
              <w:spacing w:after="0"/>
              <w:rPr>
                <w:sz w:val="24"/>
                <w:szCs w:val="24"/>
                <w:color w:val="auto"/>
              </w:rPr>
            </w:pPr>
          </w:p>
        </w:tc>
      </w:tr>
      <w:tr>
        <w:trPr>
          <w:trHeight w:val="341"/>
        </w:trPr>
        <w:tc>
          <w:tcPr>
            <w:tcW w:w="500" w:type="dxa"/>
            <w:vAlign w:val="bottom"/>
            <w:gridSpan w:val="7"/>
          </w:tcPr>
          <w:p>
            <w:pPr>
              <w:spacing w:after="0"/>
              <w:rPr>
                <w:sz w:val="20"/>
                <w:szCs w:val="20"/>
                <w:color w:val="auto"/>
              </w:rPr>
            </w:pPr>
            <w:r>
              <w:rPr>
                <w:rFonts w:ascii="Arial" w:cs="Arial" w:eastAsia="Arial" w:hAnsi="Arial"/>
                <w:sz w:val="17"/>
                <w:szCs w:val="17"/>
                <w:color w:val="auto"/>
                <w:w w:val="95"/>
              </w:rPr>
              <w:t>Name:</w:t>
            </w:r>
          </w:p>
        </w:tc>
        <w:tc>
          <w:tcPr>
            <w:tcW w:w="160" w:type="dxa"/>
            <w:vAlign w:val="bottom"/>
            <w:tcBorders>
              <w:bottom w:val="single" w:sz="8" w:color="auto"/>
            </w:tcBorders>
            <w:gridSpan w:val="3"/>
          </w:tcPr>
          <w:p>
            <w:pPr>
              <w:spacing w:after="0"/>
              <w:rPr>
                <w:sz w:val="24"/>
                <w:szCs w:val="24"/>
                <w:color w:val="auto"/>
              </w:rPr>
            </w:pPr>
          </w:p>
        </w:tc>
        <w:tc>
          <w:tcPr>
            <w:tcW w:w="5100" w:type="dxa"/>
            <w:vAlign w:val="bottom"/>
            <w:gridSpan w:val="5"/>
          </w:tcPr>
          <w:p>
            <w:pPr>
              <w:spacing w:after="0"/>
              <w:rPr>
                <w:sz w:val="24"/>
                <w:szCs w:val="24"/>
                <w:color w:val="auto"/>
              </w:rPr>
            </w:pPr>
          </w:p>
        </w:tc>
        <w:tc>
          <w:tcPr>
            <w:tcW w:w="820" w:type="dxa"/>
            <w:vAlign w:val="bottom"/>
            <w:gridSpan w:val="4"/>
          </w:tcPr>
          <w:p>
            <w:pPr>
              <w:ind w:left="320"/>
              <w:spacing w:after="0"/>
              <w:rPr>
                <w:sz w:val="20"/>
                <w:szCs w:val="20"/>
                <w:color w:val="auto"/>
              </w:rPr>
            </w:pPr>
            <w:r>
              <w:rPr>
                <w:rFonts w:ascii="Arial" w:cs="Arial" w:eastAsia="Arial" w:hAnsi="Arial"/>
                <w:sz w:val="17"/>
                <w:szCs w:val="17"/>
                <w:color w:val="auto"/>
                <w:w w:val="95"/>
              </w:rPr>
              <w:t>Name:</w:t>
            </w:r>
          </w:p>
        </w:tc>
        <w:tc>
          <w:tcPr>
            <w:tcW w:w="160" w:type="dxa"/>
            <w:vAlign w:val="bottom"/>
            <w:tcBorders>
              <w:bottom w:val="single" w:sz="8" w:color="auto"/>
            </w:tcBorders>
            <w:gridSpan w:val="2"/>
          </w:tcPr>
          <w:p>
            <w:pPr>
              <w:spacing w:after="0"/>
              <w:rPr>
                <w:sz w:val="24"/>
                <w:szCs w:val="24"/>
                <w:color w:val="auto"/>
              </w:rPr>
            </w:pPr>
          </w:p>
        </w:tc>
        <w:tc>
          <w:tcPr>
            <w:tcW w:w="1320" w:type="dxa"/>
            <w:vAlign w:val="bottom"/>
          </w:tcPr>
          <w:p>
            <w:pPr>
              <w:spacing w:after="0"/>
              <w:rPr>
                <w:sz w:val="24"/>
                <w:szCs w:val="24"/>
                <w:color w:val="auto"/>
              </w:rPr>
            </w:pPr>
          </w:p>
        </w:tc>
      </w:tr>
      <w:tr>
        <w:trPr>
          <w:trHeight w:val="341"/>
        </w:trPr>
        <w:tc>
          <w:tcPr>
            <w:tcW w:w="400" w:type="dxa"/>
            <w:vAlign w:val="bottom"/>
            <w:gridSpan w:val="4"/>
          </w:tcPr>
          <w:p>
            <w:pPr>
              <w:spacing w:after="0"/>
              <w:rPr>
                <w:sz w:val="20"/>
                <w:szCs w:val="20"/>
                <w:color w:val="auto"/>
              </w:rPr>
            </w:pPr>
            <w:r>
              <w:rPr>
                <w:rFonts w:ascii="Arial" w:cs="Arial" w:eastAsia="Arial" w:hAnsi="Arial"/>
                <w:sz w:val="17"/>
                <w:szCs w:val="17"/>
                <w:color w:val="auto"/>
              </w:rPr>
              <w:t>Title:</w:t>
            </w:r>
          </w:p>
        </w:tc>
        <w:tc>
          <w:tcPr>
            <w:tcW w:w="180" w:type="dxa"/>
            <w:vAlign w:val="bottom"/>
            <w:tcBorders>
              <w:bottom w:val="single" w:sz="8" w:color="auto"/>
            </w:tcBorders>
            <w:gridSpan w:val="4"/>
          </w:tcPr>
          <w:p>
            <w:pPr>
              <w:spacing w:after="0"/>
              <w:rPr>
                <w:sz w:val="24"/>
                <w:szCs w:val="24"/>
                <w:color w:val="auto"/>
              </w:rPr>
            </w:pPr>
          </w:p>
        </w:tc>
        <w:tc>
          <w:tcPr>
            <w:tcW w:w="5180" w:type="dxa"/>
            <w:vAlign w:val="bottom"/>
            <w:gridSpan w:val="7"/>
          </w:tcPr>
          <w:p>
            <w:pPr>
              <w:spacing w:after="0"/>
              <w:rPr>
                <w:sz w:val="24"/>
                <w:szCs w:val="24"/>
                <w:color w:val="auto"/>
              </w:rPr>
            </w:pPr>
          </w:p>
        </w:tc>
        <w:tc>
          <w:tcPr>
            <w:tcW w:w="720" w:type="dxa"/>
            <w:vAlign w:val="bottom"/>
            <w:gridSpan w:val="2"/>
          </w:tcPr>
          <w:p>
            <w:pPr>
              <w:ind w:left="320"/>
              <w:spacing w:after="0"/>
              <w:rPr>
                <w:sz w:val="20"/>
                <w:szCs w:val="20"/>
                <w:color w:val="auto"/>
              </w:rPr>
            </w:pPr>
            <w:r>
              <w:rPr>
                <w:rFonts w:ascii="Arial" w:cs="Arial" w:eastAsia="Arial" w:hAnsi="Arial"/>
                <w:sz w:val="17"/>
                <w:szCs w:val="17"/>
                <w:color w:val="auto"/>
              </w:rPr>
              <w:t>Title:</w:t>
            </w:r>
          </w:p>
        </w:tc>
        <w:tc>
          <w:tcPr>
            <w:tcW w:w="180" w:type="dxa"/>
            <w:vAlign w:val="bottom"/>
            <w:tcBorders>
              <w:bottom w:val="single" w:sz="8" w:color="auto"/>
            </w:tcBorders>
            <w:gridSpan w:val="3"/>
          </w:tcPr>
          <w:p>
            <w:pPr>
              <w:spacing w:after="0"/>
              <w:rPr>
                <w:sz w:val="24"/>
                <w:szCs w:val="24"/>
                <w:color w:val="auto"/>
              </w:rPr>
            </w:pPr>
          </w:p>
        </w:tc>
        <w:tc>
          <w:tcPr>
            <w:tcW w:w="1400" w:type="dxa"/>
            <w:vAlign w:val="bottom"/>
            <w:gridSpan w:val="2"/>
          </w:tcPr>
          <w:p>
            <w:pPr>
              <w:spacing w:after="0"/>
              <w:rPr>
                <w:sz w:val="24"/>
                <w:szCs w:val="24"/>
                <w:color w:val="auto"/>
              </w:rPr>
            </w:pPr>
          </w:p>
        </w:tc>
      </w:tr>
      <w:tr>
        <w:trPr>
          <w:trHeight w:val="278"/>
        </w:trPr>
        <w:tc>
          <w:tcPr>
            <w:tcW w:w="5760" w:type="dxa"/>
            <w:vAlign w:val="bottom"/>
            <w:gridSpan w:val="15"/>
          </w:tcPr>
          <w:p>
            <w:pPr>
              <w:spacing w:after="0"/>
              <w:rPr>
                <w:sz w:val="20"/>
                <w:szCs w:val="20"/>
                <w:color w:val="auto"/>
              </w:rPr>
            </w:pPr>
            <w:r>
              <w:rPr>
                <w:rFonts w:ascii="Arial" w:cs="Arial" w:eastAsia="Arial" w:hAnsi="Arial"/>
                <w:sz w:val="17"/>
                <w:szCs w:val="17"/>
                <w:b w:val="1"/>
                <w:bCs w:val="1"/>
                <w:color w:val="auto"/>
                <w:w w:val="93"/>
              </w:rPr>
              <w:t>Executed as a deed, but not delivered until the first date specified on page 1</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9"/>
        </w:trPr>
        <w:tc>
          <w:tcPr>
            <w:tcW w:w="5760" w:type="dxa"/>
            <w:vAlign w:val="bottom"/>
            <w:gridSpan w:val="15"/>
          </w:tcPr>
          <w:p>
            <w:pPr>
              <w:spacing w:after="0"/>
              <w:rPr>
                <w:sz w:val="20"/>
                <w:szCs w:val="20"/>
                <w:color w:val="auto"/>
              </w:rPr>
            </w:pPr>
            <w:r>
              <w:rPr>
                <w:rFonts w:ascii="Arial" w:cs="Arial" w:eastAsia="Arial" w:hAnsi="Arial"/>
                <w:sz w:val="17"/>
                <w:szCs w:val="17"/>
                <w:b w:val="1"/>
                <w:bCs w:val="1"/>
                <w:color w:val="auto"/>
              </w:rPr>
              <w:t>by VERONA PHARMA PLC. acting by:</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21"/>
        </w:trPr>
        <w:tc>
          <w:tcPr>
            <w:tcW w:w="200" w:type="dxa"/>
            <w:vAlign w:val="bottom"/>
          </w:tcPr>
          <w:p>
            <w:pPr>
              <w:spacing w:after="0"/>
              <w:rPr>
                <w:sz w:val="20"/>
                <w:szCs w:val="20"/>
                <w:color w:val="auto"/>
              </w:rPr>
            </w:pPr>
            <w:r>
              <w:rPr>
                <w:rFonts w:ascii="Arial" w:cs="Arial" w:eastAsia="Arial" w:hAnsi="Arial"/>
                <w:sz w:val="17"/>
                <w:szCs w:val="17"/>
                <w:color w:val="auto"/>
                <w:w w:val="90"/>
              </w:rPr>
              <w:t>By</w:t>
            </w:r>
          </w:p>
        </w:tc>
        <w:tc>
          <w:tcPr>
            <w:tcW w:w="160" w:type="dxa"/>
            <w:vAlign w:val="bottom"/>
            <w:tcBorders>
              <w:bottom w:val="single" w:sz="8" w:color="auto"/>
            </w:tcBorders>
            <w:gridSpan w:val="2"/>
          </w:tcPr>
          <w:p>
            <w:pPr>
              <w:spacing w:after="0"/>
              <w:rPr>
                <w:sz w:val="24"/>
                <w:szCs w:val="24"/>
                <w:color w:val="auto"/>
              </w:rPr>
            </w:pPr>
          </w:p>
        </w:tc>
        <w:tc>
          <w:tcPr>
            <w:tcW w:w="5400" w:type="dxa"/>
            <w:vAlign w:val="bottom"/>
            <w:gridSpan w:val="12"/>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41"/>
        </w:trPr>
        <w:tc>
          <w:tcPr>
            <w:tcW w:w="460" w:type="dxa"/>
            <w:vAlign w:val="bottom"/>
            <w:gridSpan w:val="5"/>
          </w:tcPr>
          <w:p>
            <w:pPr>
              <w:spacing w:after="0"/>
              <w:rPr>
                <w:sz w:val="20"/>
                <w:szCs w:val="20"/>
                <w:color w:val="auto"/>
              </w:rPr>
            </w:pPr>
            <w:r>
              <w:rPr>
                <w:rFonts w:ascii="Arial" w:cs="Arial" w:eastAsia="Arial" w:hAnsi="Arial"/>
                <w:sz w:val="17"/>
                <w:szCs w:val="17"/>
                <w:color w:val="auto"/>
                <w:w w:val="87"/>
              </w:rPr>
              <w:t>Name:</w:t>
            </w:r>
          </w:p>
        </w:tc>
        <w:tc>
          <w:tcPr>
            <w:tcW w:w="160" w:type="dxa"/>
            <w:vAlign w:val="bottom"/>
            <w:tcBorders>
              <w:bottom w:val="single" w:sz="8" w:color="auto"/>
            </w:tcBorders>
            <w:gridSpan w:val="4"/>
          </w:tcPr>
          <w:p>
            <w:pPr>
              <w:spacing w:after="0"/>
              <w:rPr>
                <w:sz w:val="24"/>
                <w:szCs w:val="24"/>
                <w:color w:val="auto"/>
              </w:rPr>
            </w:pPr>
          </w:p>
        </w:tc>
        <w:tc>
          <w:tcPr>
            <w:tcW w:w="5140" w:type="dxa"/>
            <w:vAlign w:val="bottom"/>
            <w:gridSpan w:val="6"/>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80"/>
        </w:trPr>
        <w:tc>
          <w:tcPr>
            <w:tcW w:w="5760" w:type="dxa"/>
            <w:vAlign w:val="bottom"/>
            <w:gridSpan w:val="15"/>
          </w:tcPr>
          <w:p>
            <w:pPr>
              <w:spacing w:after="0"/>
              <w:rPr>
                <w:sz w:val="20"/>
                <w:szCs w:val="20"/>
                <w:color w:val="auto"/>
              </w:rPr>
            </w:pPr>
            <w:r>
              <w:rPr>
                <w:rFonts w:ascii="Arial" w:cs="Arial" w:eastAsia="Arial" w:hAnsi="Arial"/>
                <w:sz w:val="17"/>
                <w:szCs w:val="17"/>
                <w:color w:val="auto"/>
              </w:rPr>
              <w:t>Title: Director</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12"/>
        </w:trPr>
        <w:tc>
          <w:tcPr>
            <w:tcW w:w="5760" w:type="dxa"/>
            <w:vAlign w:val="bottom"/>
            <w:gridSpan w:val="15"/>
          </w:tcPr>
          <w:p>
            <w:pPr>
              <w:spacing w:after="0"/>
              <w:rPr>
                <w:sz w:val="20"/>
                <w:szCs w:val="20"/>
                <w:color w:val="auto"/>
              </w:rPr>
            </w:pPr>
            <w:r>
              <w:rPr>
                <w:rFonts w:ascii="Arial" w:cs="Arial" w:eastAsia="Arial" w:hAnsi="Arial"/>
                <w:sz w:val="17"/>
                <w:szCs w:val="17"/>
                <w:color w:val="auto"/>
              </w:rPr>
              <w:t>Witness signature:</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41"/>
        </w:trPr>
        <w:tc>
          <w:tcPr>
            <w:tcW w:w="1000" w:type="dxa"/>
            <w:vAlign w:val="bottom"/>
            <w:gridSpan w:val="11"/>
          </w:tcPr>
          <w:p>
            <w:pPr>
              <w:spacing w:after="0"/>
              <w:rPr>
                <w:sz w:val="20"/>
                <w:szCs w:val="20"/>
                <w:color w:val="auto"/>
              </w:rPr>
            </w:pPr>
            <w:r>
              <w:rPr>
                <w:rFonts w:ascii="Arial" w:cs="Arial" w:eastAsia="Arial" w:hAnsi="Arial"/>
                <w:sz w:val="17"/>
                <w:szCs w:val="17"/>
                <w:color w:val="auto"/>
                <w:w w:val="87"/>
              </w:rPr>
              <w:t>Witness name:</w:t>
            </w:r>
          </w:p>
        </w:tc>
        <w:tc>
          <w:tcPr>
            <w:tcW w:w="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80"/>
        </w:trPr>
        <w:tc>
          <w:tcPr>
            <w:tcW w:w="5760" w:type="dxa"/>
            <w:vAlign w:val="bottom"/>
            <w:gridSpan w:val="15"/>
          </w:tcPr>
          <w:p>
            <w:pPr>
              <w:spacing w:after="0"/>
              <w:rPr>
                <w:sz w:val="20"/>
                <w:szCs w:val="20"/>
                <w:color w:val="auto"/>
              </w:rPr>
            </w:pPr>
            <w:r>
              <w:rPr>
                <w:rFonts w:ascii="Arial" w:cs="Arial" w:eastAsia="Arial" w:hAnsi="Arial"/>
                <w:sz w:val="17"/>
                <w:szCs w:val="17"/>
                <w:color w:val="auto"/>
              </w:rPr>
              <w:t>Witness address: ___________________________________</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40"/>
        </w:trPr>
        <w:tc>
          <w:tcPr>
            <w:tcW w:w="5760" w:type="dxa"/>
            <w:vAlign w:val="bottom"/>
            <w:gridSpan w:val="15"/>
          </w:tcPr>
          <w:p>
            <w:pPr>
              <w:spacing w:after="0"/>
              <w:rPr>
                <w:sz w:val="20"/>
                <w:szCs w:val="20"/>
                <w:color w:val="auto"/>
              </w:rPr>
            </w:pPr>
            <w:r>
              <w:rPr>
                <w:rFonts w:ascii="Arial" w:cs="Arial" w:eastAsia="Arial" w:hAnsi="Arial"/>
                <w:sz w:val="17"/>
                <w:szCs w:val="17"/>
                <w:color w:val="auto"/>
              </w:rPr>
              <w:t>____________________________________</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40"/>
        </w:trPr>
        <w:tc>
          <w:tcPr>
            <w:tcW w:w="5760" w:type="dxa"/>
            <w:vAlign w:val="bottom"/>
            <w:gridSpan w:val="15"/>
          </w:tcPr>
          <w:p>
            <w:pPr>
              <w:spacing w:after="0"/>
              <w:rPr>
                <w:sz w:val="20"/>
                <w:szCs w:val="20"/>
                <w:color w:val="auto"/>
              </w:rPr>
            </w:pPr>
            <w:r>
              <w:rPr>
                <w:rFonts w:ascii="Arial" w:cs="Arial" w:eastAsia="Arial" w:hAnsi="Arial"/>
                <w:sz w:val="17"/>
                <w:szCs w:val="17"/>
                <w:b w:val="1"/>
                <w:bCs w:val="1"/>
                <w:color w:val="auto"/>
              </w:rPr>
              <w:t>____________________________________</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color w:val="auto"/>
        </w:rPr>
        <w:t>297684974.1</w:t>
      </w:r>
    </w:p>
    <w:p>
      <w:pPr>
        <w:sectPr>
          <w:pgSz w:w="11900" w:h="16838" w:orient="portrait"/>
          <w:cols w:equalWidth="0" w:num="1">
            <w:col w:w="10159"/>
          </w:cols>
          <w:pgMar w:left="300" w:top="1127" w:right="1440" w:bottom="1440" w:gutter="0" w:footer="0" w:header="0"/>
        </w:sectPr>
      </w:pPr>
    </w:p>
    <w:bookmarkStart w:id="175" w:name="page176"/>
    <w:bookmarkEnd w:id="175"/>
    <w:p>
      <w:pPr>
        <w:ind w:left="10200"/>
        <w:spacing w:after="0"/>
        <w:rPr>
          <w:sz w:val="20"/>
          <w:szCs w:val="20"/>
          <w:color w:val="auto"/>
        </w:rPr>
      </w:pPr>
      <w:r>
        <w:rPr>
          <w:rFonts w:ascii="Arial" w:cs="Arial" w:eastAsia="Arial" w:hAnsi="Arial"/>
          <w:sz w:val="14"/>
          <w:szCs w:val="14"/>
          <w:b w:val="1"/>
          <w:bCs w:val="1"/>
          <w:color w:val="auto"/>
        </w:rPr>
        <w:t>Exhibit 21.1</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7940" w:type="dxa"/>
            <w:vAlign w:val="bottom"/>
            <w:gridSpan w:val="3"/>
          </w:tcPr>
          <w:p>
            <w:pPr>
              <w:ind w:left="800"/>
              <w:spacing w:after="0"/>
              <w:rPr>
                <w:sz w:val="20"/>
                <w:szCs w:val="20"/>
                <w:color w:val="auto"/>
              </w:rPr>
            </w:pPr>
            <w:r>
              <w:rPr>
                <w:rFonts w:ascii="Arial" w:cs="Arial" w:eastAsia="Arial" w:hAnsi="Arial"/>
                <w:sz w:val="14"/>
                <w:szCs w:val="14"/>
                <w:b w:val="1"/>
                <w:bCs w:val="1"/>
                <w:color w:val="auto"/>
              </w:rPr>
              <w:t>SUBSIDIARIES OF VERONA PHARMA PLC</w:t>
            </w:r>
          </w:p>
        </w:tc>
      </w:tr>
      <w:tr>
        <w:trPr>
          <w:trHeight w:val="416"/>
        </w:trPr>
        <w:tc>
          <w:tcPr>
            <w:tcW w:w="306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Legal Name of Subsidiary</w:t>
            </w:r>
          </w:p>
        </w:tc>
        <w:tc>
          <w:tcPr>
            <w:tcW w:w="248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30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Jurisdiction of Organization</w:t>
            </w:r>
          </w:p>
        </w:tc>
      </w:tr>
      <w:tr>
        <w:trPr>
          <w:trHeight w:val="233"/>
        </w:trPr>
        <w:tc>
          <w:tcPr>
            <w:tcW w:w="3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Verona Pharma, Inc.</w:t>
            </w:r>
          </w:p>
        </w:tc>
        <w:tc>
          <w:tcPr>
            <w:tcW w:w="2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000"/>
          </w:cols>
          <w:pgMar w:left="660" w:top="1143" w:right="239" w:bottom="1440" w:gutter="0" w:footer="0" w:header="0"/>
        </w:sectPr>
      </w:pPr>
    </w:p>
    <w:bookmarkStart w:id="176" w:name="page177"/>
    <w:bookmarkEnd w:id="176"/>
    <w:p>
      <w:pPr>
        <w:spacing w:after="0" w:line="4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CONSENT OF INDEPENDENT REGISTERED PUBLIC ACCOUNTING FIRM</w:t>
      </w:r>
    </w:p>
    <w:p>
      <w:pPr>
        <w:spacing w:after="0" w:line="338"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We hereby consent to the incorporation by reference in the Registration Statements on Form S-8 (No. 333-248199, 333-237926, 333-217521) and Form S-3 (No. 333-254530) of Verona Pharma plc of our report dated March 3, 2022 relating to the financial statements, which appears in this Form 10-K.</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Reading,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March 3, 2022</w:t>
      </w:r>
    </w:p>
    <w:p>
      <w:pPr>
        <w:sectPr>
          <w:pgSz w:w="11900" w:h="16838" w:orient="portrait"/>
          <w:cols w:equalWidth="0" w:num="1">
            <w:col w:w="11160"/>
          </w:cols>
          <w:pgMar w:left="300" w:top="1440" w:right="4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4"/>
          <w:szCs w:val="14"/>
          <w:b w:val="1"/>
          <w:bCs w:val="1"/>
          <w:color w:val="auto"/>
        </w:rPr>
        <w:t>Exhibit 31.1</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I, David Zaccardelli, Pharm.D., certify that:</w:t>
      </w:r>
    </w:p>
    <w:p>
      <w:pPr>
        <w:spacing w:after="0" w:line="179" w:lineRule="exact"/>
        <w:rPr>
          <w:sz w:val="20"/>
          <w:szCs w:val="20"/>
          <w:color w:val="auto"/>
        </w:rPr>
      </w:pPr>
    </w:p>
    <w:p>
      <w:pPr>
        <w:ind w:left="140" w:hanging="135"/>
        <w:spacing w:after="0"/>
        <w:tabs>
          <w:tab w:leader="none" w:pos="1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Verona Pharma plc;</w:t>
      </w:r>
    </w:p>
    <w:p>
      <w:pPr>
        <w:spacing w:after="0" w:line="178" w:lineRule="exact"/>
        <w:rPr>
          <w:rFonts w:ascii="Arial" w:cs="Arial" w:eastAsia="Arial" w:hAnsi="Arial"/>
          <w:sz w:val="14"/>
          <w:szCs w:val="14"/>
          <w:color w:val="auto"/>
        </w:rPr>
      </w:pPr>
    </w:p>
    <w:p>
      <w:pPr>
        <w:ind w:left="260" w:right="260" w:hanging="255"/>
        <w:spacing w:after="0" w:line="281" w:lineRule="auto"/>
        <w:tabs>
          <w:tab w:leader="none" w:pos="147" w:val="left"/>
        </w:tabs>
        <w:numPr>
          <w:ilvl w:val="0"/>
          <w:numId w:val="5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4"/>
          <w:szCs w:val="14"/>
          <w:color w:val="auto"/>
        </w:rPr>
      </w:pPr>
    </w:p>
    <w:p>
      <w:pPr>
        <w:ind w:left="260" w:right="40" w:hanging="255"/>
        <w:spacing w:after="0" w:line="281" w:lineRule="auto"/>
        <w:tabs>
          <w:tab w:leader="none" w:pos="147" w:val="left"/>
        </w:tabs>
        <w:numPr>
          <w:ilvl w:val="0"/>
          <w:numId w:val="5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4"/>
          <w:szCs w:val="14"/>
          <w:color w:val="auto"/>
        </w:rPr>
      </w:pPr>
    </w:p>
    <w:p>
      <w:pPr>
        <w:ind w:left="260" w:right="160" w:hanging="255"/>
        <w:spacing w:after="0" w:line="281" w:lineRule="auto"/>
        <w:tabs>
          <w:tab w:leader="none" w:pos="147"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4"/>
          <w:szCs w:val="14"/>
          <w:color w:val="auto"/>
        </w:rPr>
      </w:pPr>
    </w:p>
    <w:p>
      <w:pPr>
        <w:ind w:left="700" w:right="140" w:hanging="348"/>
        <w:spacing w:after="0" w:line="368" w:lineRule="auto"/>
        <w:tabs>
          <w:tab w:leader="none" w:pos="652" w:val="left"/>
        </w:tabs>
        <w:numPr>
          <w:ilvl w:val="2"/>
          <w:numId w:val="5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2"/>
          <w:szCs w:val="12"/>
          <w:color w:val="auto"/>
        </w:rPr>
      </w:pPr>
    </w:p>
    <w:p>
      <w:pPr>
        <w:ind w:left="700" w:right="340" w:hanging="348"/>
        <w:spacing w:after="0" w:line="368" w:lineRule="auto"/>
        <w:tabs>
          <w:tab w:leader="none" w:pos="660" w:val="left"/>
        </w:tabs>
        <w:numPr>
          <w:ilvl w:val="2"/>
          <w:numId w:val="5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2"/>
          <w:szCs w:val="12"/>
          <w:color w:val="auto"/>
        </w:rPr>
      </w:pPr>
    </w:p>
    <w:p>
      <w:pPr>
        <w:ind w:left="700" w:right="540" w:hanging="348"/>
        <w:spacing w:after="0" w:line="281" w:lineRule="auto"/>
        <w:tabs>
          <w:tab w:leader="none" w:pos="652" w:val="left"/>
        </w:tabs>
        <w:numPr>
          <w:ilvl w:val="2"/>
          <w:numId w:val="5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4"/>
          <w:szCs w:val="14"/>
          <w:color w:val="auto"/>
        </w:rPr>
      </w:pPr>
    </w:p>
    <w:p>
      <w:pPr>
        <w:ind w:left="700" w:right="180" w:hanging="348"/>
        <w:spacing w:after="0" w:line="321" w:lineRule="auto"/>
        <w:tabs>
          <w:tab w:leader="none" w:pos="660" w:val="left"/>
        </w:tabs>
        <w:numPr>
          <w:ilvl w:val="2"/>
          <w:numId w:val="5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3"/>
          <w:szCs w:val="13"/>
          <w:color w:val="auto"/>
        </w:rPr>
      </w:pPr>
    </w:p>
    <w:p>
      <w:pPr>
        <w:ind w:left="380" w:right="140" w:hanging="248"/>
        <w:spacing w:after="0" w:line="281" w:lineRule="auto"/>
        <w:tabs>
          <w:tab w:leader="none" w:pos="267" w:val="left"/>
        </w:tabs>
        <w:numPr>
          <w:ilvl w:val="1"/>
          <w:numId w:val="51"/>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4"/>
          <w:szCs w:val="14"/>
          <w:color w:val="auto"/>
        </w:rPr>
      </w:pPr>
    </w:p>
    <w:p>
      <w:pPr>
        <w:ind w:left="700" w:right="240" w:hanging="348"/>
        <w:spacing w:after="0" w:line="281" w:lineRule="auto"/>
        <w:tabs>
          <w:tab w:leader="none" w:pos="644" w:val="left"/>
        </w:tabs>
        <w:numPr>
          <w:ilvl w:val="2"/>
          <w:numId w:val="5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4"/>
          <w:szCs w:val="14"/>
          <w:color w:val="auto"/>
        </w:rPr>
      </w:pPr>
    </w:p>
    <w:p>
      <w:pPr>
        <w:ind w:left="660" w:hanging="308"/>
        <w:spacing w:after="0"/>
        <w:tabs>
          <w:tab w:leader="none" w:pos="660" w:val="left"/>
        </w:tabs>
        <w:numPr>
          <w:ilvl w:val="2"/>
          <w:numId w:val="5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p>
      <w:pPr>
        <w:ind w:left="20"/>
        <w:spacing w:after="0"/>
        <w:tabs>
          <w:tab w:leader="none" w:pos="4180" w:val="left"/>
          <w:tab w:leader="none" w:pos="7180" w:val="left"/>
        </w:tabs>
        <w:rPr>
          <w:sz w:val="20"/>
          <w:szCs w:val="20"/>
          <w:color w:val="auto"/>
        </w:rPr>
      </w:pPr>
      <w:r>
        <w:rPr>
          <w:rFonts w:ascii="Arial" w:cs="Arial" w:eastAsia="Arial" w:hAnsi="Arial"/>
          <w:sz w:val="14"/>
          <w:szCs w:val="14"/>
          <w:color w:val="auto"/>
        </w:rPr>
        <w:t>Date: March 3,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26035</wp:posOffset>
            </wp:positionV>
            <wp:extent cx="393446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1">
                      <a:extLst>
                        <a:ext uri="{28A0092B-C50C-407E-A947-70E740481C1C}"/>
                      </a:extLst>
                    </a:blip>
                    <a:srcRect/>
                    <a:stretch>
                      <a:fillRect/>
                    </a:stretch>
                  </pic:blipFill>
                  <pic:spPr bwMode="auto">
                    <a:xfrm>
                      <a:off x="0" y="0"/>
                      <a:ext cx="3934460" cy="6985"/>
                    </a:xfrm>
                    <a:prstGeom prst="rect">
                      <a:avLst/>
                    </a:prstGeom>
                    <a:noFill/>
                  </pic:spPr>
                </pic:pic>
              </a:graphicData>
            </a:graphic>
          </wp:anchor>
        </w:drawing>
      </w:r>
    </w:p>
    <w:p>
      <w:pPr>
        <w:spacing w:after="0" w:line="42"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David Zaccardelli, Pharm.D.</w:t>
      </w:r>
    </w:p>
    <w:p>
      <w:pPr>
        <w:spacing w:after="0" w:line="51" w:lineRule="exact"/>
        <w:rPr>
          <w:sz w:val="20"/>
          <w:szCs w:val="20"/>
          <w:color w:val="auto"/>
        </w:rPr>
      </w:pPr>
    </w:p>
    <w:p>
      <w:pPr>
        <w:ind w:left="7420"/>
        <w:spacing w:after="0"/>
        <w:rPr>
          <w:sz w:val="20"/>
          <w:szCs w:val="20"/>
          <w:color w:val="auto"/>
        </w:rPr>
      </w:pPr>
      <w:r>
        <w:rPr>
          <w:rFonts w:ascii="Arial" w:cs="Arial" w:eastAsia="Arial" w:hAnsi="Arial"/>
          <w:sz w:val="14"/>
          <w:szCs w:val="14"/>
          <w:color w:val="auto"/>
        </w:rPr>
        <w:t>Chief Executive Officer</w:t>
      </w:r>
    </w:p>
    <w:p>
      <w:pPr>
        <w:spacing w:after="0" w:line="19" w:lineRule="exact"/>
        <w:rPr>
          <w:sz w:val="20"/>
          <w:szCs w:val="20"/>
          <w:color w:val="auto"/>
        </w:rPr>
      </w:pPr>
    </w:p>
    <w:p>
      <w:pPr>
        <w:ind w:left="7300"/>
        <w:spacing w:after="0"/>
        <w:rPr>
          <w:sz w:val="20"/>
          <w:szCs w:val="20"/>
          <w:color w:val="auto"/>
        </w:rPr>
      </w:pPr>
      <w:r>
        <w:rPr>
          <w:rFonts w:ascii="Arial" w:cs="Arial" w:eastAsia="Arial" w:hAnsi="Arial"/>
          <w:sz w:val="14"/>
          <w:szCs w:val="14"/>
          <w:i w:val="1"/>
          <w:iCs w:val="1"/>
          <w:color w:val="auto"/>
        </w:rPr>
        <w:t>(principal executive officer)</w:t>
      </w:r>
    </w:p>
    <w:p>
      <w:pPr>
        <w:sectPr>
          <w:pgSz w:w="11900" w:h="16838" w:orient="portrait"/>
          <w:cols w:equalWidth="0" w:num="1">
            <w:col w:w="11280"/>
          </w:cols>
          <w:pgMar w:left="300" w:top="1143" w:right="319" w:bottom="1440" w:gutter="0" w:footer="0" w:header="0"/>
        </w:sectPr>
      </w:pPr>
    </w:p>
    <w:bookmarkStart w:id="178" w:name="page179"/>
    <w:bookmarkEnd w:id="178"/>
    <w:p>
      <w:pPr>
        <w:jc w:val="right"/>
        <w:spacing w:after="0"/>
        <w:rPr>
          <w:sz w:val="20"/>
          <w:szCs w:val="20"/>
          <w:color w:val="auto"/>
        </w:rPr>
      </w:pPr>
      <w:r>
        <w:rPr>
          <w:rFonts w:ascii="Arial" w:cs="Arial" w:eastAsia="Arial" w:hAnsi="Arial"/>
          <w:sz w:val="14"/>
          <w:szCs w:val="14"/>
          <w:b w:val="1"/>
          <w:bCs w:val="1"/>
          <w:color w:val="auto"/>
        </w:rPr>
        <w:t>Exhibit 31.2</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I, Mark W. Hahn, certify that:</w:t>
      </w:r>
    </w:p>
    <w:p>
      <w:pPr>
        <w:spacing w:after="0" w:line="179" w:lineRule="exact"/>
        <w:rPr>
          <w:sz w:val="20"/>
          <w:szCs w:val="20"/>
          <w:color w:val="auto"/>
        </w:rPr>
      </w:pPr>
    </w:p>
    <w:p>
      <w:pPr>
        <w:ind w:left="400" w:hanging="140"/>
        <w:spacing w:after="0"/>
        <w:tabs>
          <w:tab w:leader="none" w:pos="4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Verona Pharma plc;</w:t>
      </w:r>
    </w:p>
    <w:p>
      <w:pPr>
        <w:spacing w:after="0" w:line="178" w:lineRule="exact"/>
        <w:rPr>
          <w:rFonts w:ascii="Arial" w:cs="Arial" w:eastAsia="Arial" w:hAnsi="Arial"/>
          <w:sz w:val="14"/>
          <w:szCs w:val="14"/>
          <w:color w:val="auto"/>
        </w:rPr>
      </w:pPr>
    </w:p>
    <w:p>
      <w:pPr>
        <w:ind w:left="520" w:hanging="260"/>
        <w:spacing w:after="0" w:line="281" w:lineRule="auto"/>
        <w:tabs>
          <w:tab w:leader="none" w:pos="407" w:val="left"/>
        </w:tabs>
        <w:numPr>
          <w:ilvl w:val="0"/>
          <w:numId w:val="5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4"/>
          <w:szCs w:val="14"/>
          <w:color w:val="auto"/>
        </w:rPr>
      </w:pPr>
    </w:p>
    <w:p>
      <w:pPr>
        <w:ind w:left="520" w:right="60" w:hanging="260"/>
        <w:spacing w:after="0" w:line="281" w:lineRule="auto"/>
        <w:tabs>
          <w:tab w:leader="none" w:pos="407" w:val="left"/>
        </w:tabs>
        <w:numPr>
          <w:ilvl w:val="0"/>
          <w:numId w:val="5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4"/>
          <w:szCs w:val="14"/>
          <w:color w:val="auto"/>
        </w:rPr>
      </w:pPr>
    </w:p>
    <w:p>
      <w:pPr>
        <w:ind w:left="520" w:right="140" w:hanging="260"/>
        <w:spacing w:after="0" w:line="281" w:lineRule="auto"/>
        <w:tabs>
          <w:tab w:leader="none" w:pos="407"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4"/>
          <w:szCs w:val="14"/>
          <w:color w:val="auto"/>
        </w:rPr>
      </w:pPr>
    </w:p>
    <w:p>
      <w:pPr>
        <w:ind w:left="700" w:right="140" w:hanging="348"/>
        <w:spacing w:after="0" w:line="368" w:lineRule="auto"/>
        <w:tabs>
          <w:tab w:leader="none" w:pos="652" w:val="left"/>
        </w:tabs>
        <w:numPr>
          <w:ilvl w:val="1"/>
          <w:numId w:val="5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2"/>
          <w:szCs w:val="12"/>
          <w:color w:val="auto"/>
        </w:rPr>
      </w:pPr>
    </w:p>
    <w:p>
      <w:pPr>
        <w:ind w:left="700" w:right="340" w:hanging="348"/>
        <w:spacing w:after="0" w:line="368" w:lineRule="auto"/>
        <w:tabs>
          <w:tab w:leader="none" w:pos="660" w:val="left"/>
        </w:tabs>
        <w:numPr>
          <w:ilvl w:val="1"/>
          <w:numId w:val="5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2"/>
          <w:szCs w:val="12"/>
          <w:color w:val="auto"/>
        </w:rPr>
      </w:pPr>
    </w:p>
    <w:p>
      <w:pPr>
        <w:ind w:left="700" w:right="540" w:hanging="348"/>
        <w:spacing w:after="0" w:line="281" w:lineRule="auto"/>
        <w:tabs>
          <w:tab w:leader="none" w:pos="652" w:val="left"/>
        </w:tabs>
        <w:numPr>
          <w:ilvl w:val="1"/>
          <w:numId w:val="5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4"/>
          <w:szCs w:val="14"/>
          <w:color w:val="auto"/>
        </w:rPr>
      </w:pPr>
    </w:p>
    <w:p>
      <w:pPr>
        <w:ind w:left="700" w:right="180" w:hanging="348"/>
        <w:spacing w:after="0" w:line="321" w:lineRule="auto"/>
        <w:tabs>
          <w:tab w:leader="none" w:pos="660" w:val="left"/>
        </w:tabs>
        <w:numPr>
          <w:ilvl w:val="1"/>
          <w:numId w:val="5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3"/>
          <w:szCs w:val="13"/>
          <w:color w:val="auto"/>
        </w:rPr>
      </w:pPr>
    </w:p>
    <w:p>
      <w:pPr>
        <w:ind w:left="520" w:right="20" w:hanging="260"/>
        <w:spacing w:after="0" w:line="281" w:lineRule="auto"/>
        <w:tabs>
          <w:tab w:leader="none" w:pos="407"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4"/>
          <w:szCs w:val="14"/>
          <w:color w:val="auto"/>
        </w:rPr>
      </w:pPr>
    </w:p>
    <w:p>
      <w:pPr>
        <w:ind w:left="700" w:right="240" w:hanging="348"/>
        <w:spacing w:after="0" w:line="281" w:lineRule="auto"/>
        <w:tabs>
          <w:tab w:leader="none" w:pos="644" w:val="left"/>
        </w:tabs>
        <w:numPr>
          <w:ilvl w:val="1"/>
          <w:numId w:val="5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4"/>
          <w:szCs w:val="14"/>
          <w:color w:val="auto"/>
        </w:rPr>
      </w:pPr>
    </w:p>
    <w:p>
      <w:pPr>
        <w:ind w:left="660" w:hanging="308"/>
        <w:spacing w:after="0"/>
        <w:tabs>
          <w:tab w:leader="none" w:pos="660" w:val="left"/>
        </w:tabs>
        <w:numPr>
          <w:ilvl w:val="1"/>
          <w:numId w:val="5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p>
      <w:pPr>
        <w:ind w:left="20"/>
        <w:spacing w:after="0"/>
        <w:tabs>
          <w:tab w:leader="none" w:pos="3140" w:val="left"/>
          <w:tab w:leader="none" w:pos="6960" w:val="left"/>
        </w:tabs>
        <w:rPr>
          <w:sz w:val="20"/>
          <w:szCs w:val="20"/>
          <w:color w:val="auto"/>
        </w:rPr>
      </w:pPr>
      <w:r>
        <w:rPr>
          <w:rFonts w:ascii="Arial" w:cs="Arial" w:eastAsia="Arial" w:hAnsi="Arial"/>
          <w:sz w:val="14"/>
          <w:szCs w:val="14"/>
          <w:color w:val="auto"/>
        </w:rPr>
        <w:t>Date: March 3,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2374900</wp:posOffset>
            </wp:positionH>
            <wp:positionV relativeFrom="paragraph">
              <wp:posOffset>26035</wp:posOffset>
            </wp:positionV>
            <wp:extent cx="474281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2">
                      <a:extLst>
                        <a:ext uri="{28A0092B-C50C-407E-A947-70E740481C1C}"/>
                      </a:extLst>
                    </a:blip>
                    <a:srcRect/>
                    <a:stretch>
                      <a:fillRect/>
                    </a:stretch>
                  </pic:blipFill>
                  <pic:spPr bwMode="auto">
                    <a:xfrm>
                      <a:off x="0" y="0"/>
                      <a:ext cx="4742815" cy="6985"/>
                    </a:xfrm>
                    <a:prstGeom prst="rect">
                      <a:avLst/>
                    </a:prstGeom>
                    <a:noFill/>
                  </pic:spPr>
                </pic:pic>
              </a:graphicData>
            </a:graphic>
          </wp:anchor>
        </w:drawing>
      </w:r>
    </w:p>
    <w:p>
      <w:pPr>
        <w:spacing w:after="0" w:line="42" w:lineRule="exact"/>
        <w:rPr>
          <w:sz w:val="20"/>
          <w:szCs w:val="20"/>
          <w:color w:val="auto"/>
        </w:rPr>
      </w:pPr>
    </w:p>
    <w:p>
      <w:pPr>
        <w:jc w:val="center"/>
        <w:ind w:left="3640"/>
        <w:spacing w:after="0"/>
        <w:rPr>
          <w:sz w:val="20"/>
          <w:szCs w:val="20"/>
          <w:color w:val="auto"/>
        </w:rPr>
      </w:pPr>
      <w:r>
        <w:rPr>
          <w:rFonts w:ascii="Arial" w:cs="Arial" w:eastAsia="Arial" w:hAnsi="Arial"/>
          <w:sz w:val="14"/>
          <w:szCs w:val="14"/>
          <w:color w:val="auto"/>
        </w:rPr>
        <w:t>Mark W. Hahn</w:t>
      </w:r>
    </w:p>
    <w:p>
      <w:pPr>
        <w:spacing w:after="0" w:line="51" w:lineRule="exact"/>
        <w:rPr>
          <w:sz w:val="20"/>
          <w:szCs w:val="20"/>
          <w:color w:val="auto"/>
        </w:rPr>
      </w:pPr>
    </w:p>
    <w:p>
      <w:pPr>
        <w:jc w:val="center"/>
        <w:ind w:left="3640"/>
        <w:spacing w:after="0"/>
        <w:rPr>
          <w:sz w:val="20"/>
          <w:szCs w:val="20"/>
          <w:color w:val="auto"/>
        </w:rPr>
      </w:pPr>
      <w:r>
        <w:rPr>
          <w:rFonts w:ascii="Arial" w:cs="Arial" w:eastAsia="Arial" w:hAnsi="Arial"/>
          <w:sz w:val="14"/>
          <w:szCs w:val="14"/>
          <w:color w:val="auto"/>
        </w:rPr>
        <w:t>Chief Financial Officer (</w:t>
      </w:r>
      <w:r>
        <w:rPr>
          <w:rFonts w:ascii="Arial" w:cs="Arial" w:eastAsia="Arial" w:hAnsi="Arial"/>
          <w:sz w:val="14"/>
          <w:szCs w:val="14"/>
          <w:i w:val="1"/>
          <w:iCs w:val="1"/>
          <w:color w:val="auto"/>
        </w:rPr>
        <w:t>principal financial officer</w:t>
      </w:r>
      <w:r>
        <w:rPr>
          <w:rFonts w:ascii="Arial" w:cs="Arial" w:eastAsia="Arial" w:hAnsi="Arial"/>
          <w:sz w:val="14"/>
          <w:szCs w:val="14"/>
          <w:color w:val="auto"/>
        </w:rPr>
        <w:t>)</w:t>
      </w:r>
    </w:p>
    <w:p>
      <w:pPr>
        <w:sectPr>
          <w:pgSz w:w="11900" w:h="16838" w:orient="portrait"/>
          <w:cols w:equalWidth="0" w:num="1">
            <w:col w:w="11280"/>
          </w:cols>
          <w:pgMar w:left="300" w:top="1334" w:right="319" w:bottom="1440" w:gutter="0" w:footer="0" w:header="0"/>
        </w:sectPr>
      </w:pPr>
    </w:p>
    <w:bookmarkStart w:id="179" w:name="page180"/>
    <w:bookmarkEnd w:id="179"/>
    <w:p>
      <w:pPr>
        <w:jc w:val="right"/>
        <w:spacing w:after="0"/>
        <w:rPr>
          <w:sz w:val="20"/>
          <w:szCs w:val="20"/>
          <w:color w:val="auto"/>
        </w:rPr>
      </w:pPr>
      <w:r>
        <w:rPr>
          <w:rFonts w:ascii="Arial" w:cs="Arial" w:eastAsia="Arial" w:hAnsi="Arial"/>
          <w:sz w:val="14"/>
          <w:szCs w:val="14"/>
          <w:b w:val="1"/>
          <w:bCs w:val="1"/>
          <w:color w:val="auto"/>
        </w:rPr>
        <w:t>Exhibit 32.1</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68" w:lineRule="exact"/>
        <w:rPr>
          <w:sz w:val="20"/>
          <w:szCs w:val="20"/>
          <w:color w:val="auto"/>
        </w:rPr>
      </w:pPr>
    </w:p>
    <w:p>
      <w:pPr>
        <w:ind w:right="40" w:firstLine="347"/>
        <w:spacing w:after="0" w:line="321" w:lineRule="auto"/>
        <w:rPr>
          <w:sz w:val="20"/>
          <w:szCs w:val="20"/>
          <w:color w:val="auto"/>
        </w:rPr>
      </w:pPr>
      <w:r>
        <w:rPr>
          <w:rFonts w:ascii="Arial" w:cs="Arial" w:eastAsia="Arial" w:hAnsi="Arial"/>
          <w:sz w:val="13"/>
          <w:szCs w:val="13"/>
          <w:color w:val="auto"/>
        </w:rPr>
        <w:t>In connection with the Annual Report on Form 10-K of Verona Pharma plc (the “Company”) for the period ended December 31, 2021 as filed with the Securities and Exchange Commission on the date hereof (the “Report”), I certify, pursuant to 18 U.S.C. § 1350, as adopted pursuant to § 906 of the Sarbanes-Oxley Act of 2002, that, to the best of my knowledge:</w:t>
      </w:r>
    </w:p>
    <w:p>
      <w:pPr>
        <w:spacing w:after="0" w:line="109" w:lineRule="exact"/>
        <w:rPr>
          <w:sz w:val="20"/>
          <w:szCs w:val="20"/>
          <w:color w:val="auto"/>
        </w:rPr>
      </w:pPr>
    </w:p>
    <w:p>
      <w:pPr>
        <w:ind w:left="660" w:hanging="308"/>
        <w:spacing w:after="0"/>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78" w:lineRule="exact"/>
        <w:rPr>
          <w:rFonts w:ascii="Arial" w:cs="Arial" w:eastAsia="Arial" w:hAnsi="Arial"/>
          <w:sz w:val="14"/>
          <w:szCs w:val="14"/>
          <w:color w:val="auto"/>
        </w:rPr>
      </w:pPr>
    </w:p>
    <w:p>
      <w:pPr>
        <w:ind w:left="660" w:hanging="308"/>
        <w:spacing w:after="0"/>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p>
      <w:pPr>
        <w:ind w:left="20"/>
        <w:spacing w:after="0"/>
        <w:tabs>
          <w:tab w:leader="none" w:pos="4180" w:val="left"/>
          <w:tab w:leader="none" w:pos="7180" w:val="left"/>
        </w:tabs>
        <w:rPr>
          <w:sz w:val="20"/>
          <w:szCs w:val="20"/>
          <w:color w:val="auto"/>
        </w:rPr>
      </w:pPr>
      <w:r>
        <w:rPr>
          <w:rFonts w:ascii="Arial" w:cs="Arial" w:eastAsia="Arial" w:hAnsi="Arial"/>
          <w:sz w:val="14"/>
          <w:szCs w:val="14"/>
          <w:color w:val="auto"/>
        </w:rPr>
        <w:t>Date: March 3,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26035</wp:posOffset>
            </wp:positionV>
            <wp:extent cx="393446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3">
                      <a:extLst>
                        <a:ext uri="{28A0092B-C50C-407E-A947-70E740481C1C}"/>
                      </a:extLst>
                    </a:blip>
                    <a:srcRect/>
                    <a:stretch>
                      <a:fillRect/>
                    </a:stretch>
                  </pic:blipFill>
                  <pic:spPr bwMode="auto">
                    <a:xfrm>
                      <a:off x="0" y="0"/>
                      <a:ext cx="3934460" cy="6985"/>
                    </a:xfrm>
                    <a:prstGeom prst="rect">
                      <a:avLst/>
                    </a:prstGeom>
                    <a:noFill/>
                  </pic:spPr>
                </pic:pic>
              </a:graphicData>
            </a:graphic>
          </wp:anchor>
        </w:drawing>
      </w:r>
    </w:p>
    <w:p>
      <w:pPr>
        <w:spacing w:after="0" w:line="42"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David Zaccardelli, Pharm.D.</w:t>
      </w:r>
    </w:p>
    <w:p>
      <w:pPr>
        <w:spacing w:after="0" w:line="51" w:lineRule="exact"/>
        <w:rPr>
          <w:sz w:val="20"/>
          <w:szCs w:val="20"/>
          <w:color w:val="auto"/>
        </w:rPr>
      </w:pPr>
    </w:p>
    <w:p>
      <w:pPr>
        <w:ind w:left="7420"/>
        <w:spacing w:after="0"/>
        <w:rPr>
          <w:sz w:val="20"/>
          <w:szCs w:val="20"/>
          <w:color w:val="auto"/>
        </w:rPr>
      </w:pPr>
      <w:r>
        <w:rPr>
          <w:rFonts w:ascii="Arial" w:cs="Arial" w:eastAsia="Arial" w:hAnsi="Arial"/>
          <w:sz w:val="14"/>
          <w:szCs w:val="14"/>
          <w:color w:val="auto"/>
        </w:rPr>
        <w:t>Chief Executive Officer</w:t>
      </w:r>
    </w:p>
    <w:p>
      <w:pPr>
        <w:spacing w:after="0" w:line="19" w:lineRule="exact"/>
        <w:rPr>
          <w:sz w:val="20"/>
          <w:szCs w:val="20"/>
          <w:color w:val="auto"/>
        </w:rPr>
      </w:pPr>
    </w:p>
    <w:p>
      <w:pPr>
        <w:ind w:left="73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principal executive officer</w:t>
      </w:r>
      <w:r>
        <w:rPr>
          <w:rFonts w:ascii="Arial" w:cs="Arial" w:eastAsia="Arial" w:hAnsi="Arial"/>
          <w:sz w:val="14"/>
          <w:szCs w:val="14"/>
          <w:color w:val="auto"/>
        </w:rPr>
        <w:t>)</w:t>
      </w:r>
    </w:p>
    <w:p>
      <w:pPr>
        <w:sectPr>
          <w:pgSz w:w="11900" w:h="16838" w:orient="portrait"/>
          <w:cols w:equalWidth="0" w:num="1">
            <w:col w:w="11280"/>
          </w:cols>
          <w:pgMar w:left="300" w:top="1143" w:right="319" w:bottom="1440" w:gutter="0" w:footer="0" w:header="0"/>
        </w:sectPr>
      </w:pPr>
    </w:p>
    <w:bookmarkStart w:id="180" w:name="page181"/>
    <w:bookmarkEnd w:id="180"/>
    <w:p>
      <w:pPr>
        <w:jc w:val="right"/>
        <w:spacing w:after="0"/>
        <w:rPr>
          <w:sz w:val="20"/>
          <w:szCs w:val="20"/>
          <w:color w:val="auto"/>
        </w:rPr>
      </w:pPr>
      <w:r>
        <w:rPr>
          <w:rFonts w:ascii="Arial" w:cs="Arial" w:eastAsia="Arial" w:hAnsi="Arial"/>
          <w:sz w:val="14"/>
          <w:szCs w:val="14"/>
          <w:b w:val="1"/>
          <w:bCs w:val="1"/>
          <w:color w:val="auto"/>
        </w:rPr>
        <w:t>Exhibit 32.2</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68" w:lineRule="exact"/>
        <w:rPr>
          <w:sz w:val="20"/>
          <w:szCs w:val="20"/>
          <w:color w:val="auto"/>
        </w:rPr>
      </w:pPr>
    </w:p>
    <w:p>
      <w:pPr>
        <w:ind w:right="40" w:firstLine="347"/>
        <w:spacing w:after="0" w:line="321" w:lineRule="auto"/>
        <w:rPr>
          <w:sz w:val="20"/>
          <w:szCs w:val="20"/>
          <w:color w:val="auto"/>
        </w:rPr>
      </w:pPr>
      <w:r>
        <w:rPr>
          <w:rFonts w:ascii="Arial" w:cs="Arial" w:eastAsia="Arial" w:hAnsi="Arial"/>
          <w:sz w:val="13"/>
          <w:szCs w:val="13"/>
          <w:color w:val="auto"/>
        </w:rPr>
        <w:t>In connection with the Annual Report on Form 10-K of Verona Pharma plc (the “Company”) for the period ended December 31, 2021 as filed with the Securities and Exchange Commission on the date hereof (the “Report”), I certify, pursuant to 18 U.S.C. § 1350, as adopted pursuant to § 906 of the Sarbanes-Oxley Act of 2002, that, to the best of my knowledge:</w:t>
      </w:r>
    </w:p>
    <w:p>
      <w:pPr>
        <w:spacing w:after="0" w:line="109" w:lineRule="exact"/>
        <w:rPr>
          <w:sz w:val="20"/>
          <w:szCs w:val="20"/>
          <w:color w:val="auto"/>
        </w:rPr>
      </w:pPr>
    </w:p>
    <w:p>
      <w:pPr>
        <w:ind w:left="660" w:hanging="308"/>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78" w:lineRule="exact"/>
        <w:rPr>
          <w:rFonts w:ascii="Arial" w:cs="Arial" w:eastAsia="Arial" w:hAnsi="Arial"/>
          <w:sz w:val="14"/>
          <w:szCs w:val="14"/>
          <w:color w:val="auto"/>
        </w:rPr>
      </w:pPr>
    </w:p>
    <w:p>
      <w:pPr>
        <w:ind w:left="660" w:hanging="308"/>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p>
      <w:pPr>
        <w:ind w:left="20"/>
        <w:spacing w:after="0"/>
        <w:tabs>
          <w:tab w:leader="none" w:pos="3140" w:val="left"/>
          <w:tab w:leader="none" w:pos="6960" w:val="left"/>
        </w:tabs>
        <w:rPr>
          <w:sz w:val="20"/>
          <w:szCs w:val="20"/>
          <w:color w:val="auto"/>
        </w:rPr>
      </w:pPr>
      <w:r>
        <w:rPr>
          <w:rFonts w:ascii="Arial" w:cs="Arial" w:eastAsia="Arial" w:hAnsi="Arial"/>
          <w:sz w:val="14"/>
          <w:szCs w:val="14"/>
          <w:color w:val="auto"/>
        </w:rPr>
        <w:t>Date: March 3,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2374900</wp:posOffset>
            </wp:positionH>
            <wp:positionV relativeFrom="paragraph">
              <wp:posOffset>26035</wp:posOffset>
            </wp:positionV>
            <wp:extent cx="474281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4">
                      <a:extLst>
                        <a:ext uri="{28A0092B-C50C-407E-A947-70E740481C1C}"/>
                      </a:extLst>
                    </a:blip>
                    <a:srcRect/>
                    <a:stretch>
                      <a:fillRect/>
                    </a:stretch>
                  </pic:blipFill>
                  <pic:spPr bwMode="auto">
                    <a:xfrm>
                      <a:off x="0" y="0"/>
                      <a:ext cx="4742815" cy="6985"/>
                    </a:xfrm>
                    <a:prstGeom prst="rect">
                      <a:avLst/>
                    </a:prstGeom>
                    <a:noFill/>
                  </pic:spPr>
                </pic:pic>
              </a:graphicData>
            </a:graphic>
          </wp:anchor>
        </w:drawing>
      </w:r>
    </w:p>
    <w:p>
      <w:pPr>
        <w:spacing w:after="0" w:line="42" w:lineRule="exact"/>
        <w:rPr>
          <w:sz w:val="20"/>
          <w:szCs w:val="20"/>
          <w:color w:val="auto"/>
        </w:rPr>
      </w:pPr>
    </w:p>
    <w:p>
      <w:pPr>
        <w:jc w:val="center"/>
        <w:ind w:left="3640"/>
        <w:spacing w:after="0"/>
        <w:rPr>
          <w:sz w:val="20"/>
          <w:szCs w:val="20"/>
          <w:color w:val="auto"/>
        </w:rPr>
      </w:pPr>
      <w:r>
        <w:rPr>
          <w:rFonts w:ascii="Arial" w:cs="Arial" w:eastAsia="Arial" w:hAnsi="Arial"/>
          <w:sz w:val="14"/>
          <w:szCs w:val="14"/>
          <w:color w:val="auto"/>
        </w:rPr>
        <w:t>Mark W. Hahn</w:t>
      </w:r>
    </w:p>
    <w:p>
      <w:pPr>
        <w:spacing w:after="0" w:line="51" w:lineRule="exact"/>
        <w:rPr>
          <w:sz w:val="20"/>
          <w:szCs w:val="20"/>
          <w:color w:val="auto"/>
        </w:rPr>
      </w:pPr>
    </w:p>
    <w:p>
      <w:pPr>
        <w:jc w:val="center"/>
        <w:ind w:left="3640"/>
        <w:spacing w:after="0"/>
        <w:rPr>
          <w:sz w:val="20"/>
          <w:szCs w:val="20"/>
          <w:color w:val="auto"/>
        </w:rPr>
      </w:pPr>
      <w:r>
        <w:rPr>
          <w:rFonts w:ascii="Arial" w:cs="Arial" w:eastAsia="Arial" w:hAnsi="Arial"/>
          <w:sz w:val="14"/>
          <w:szCs w:val="14"/>
          <w:color w:val="auto"/>
        </w:rPr>
        <w:t>Chief Financial Officer (</w:t>
      </w:r>
      <w:r>
        <w:rPr>
          <w:rFonts w:ascii="Arial" w:cs="Arial" w:eastAsia="Arial" w:hAnsi="Arial"/>
          <w:sz w:val="14"/>
          <w:szCs w:val="14"/>
          <w:i w:val="1"/>
          <w:iCs w:val="1"/>
          <w:color w:val="auto"/>
        </w:rPr>
        <w:t>principal financial officer)</w:t>
      </w:r>
    </w:p>
    <w:sectPr>
      <w:pgSz w:w="11900" w:h="16838" w:orient="portrait"/>
      <w:cols w:equalWidth="0" w:num="1">
        <w:col w:w="11280"/>
      </w:cols>
      <w:pgMar w:left="300" w:top="13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upperLetter"/>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decimal"/>
      <w:start w:val="3"/>
    </w:lvl>
  </w:abstractNum>
  <w:abstractNum w:abstractNumId="46">
    <w:nsid w:val="3DC240FB"/>
    <w:multiLevelType w:val="hybridMultilevel"/>
    <w:lvl w:ilvl="0">
      <w:lvlJc w:val="left"/>
      <w:lvlText w:val="(%1)"/>
      <w:numFmt w:val="lowerLetter"/>
      <w:start w:val="1"/>
    </w:lvl>
  </w:abstractNum>
  <w:abstractNum w:abstractNumId="47">
    <w:nsid w:val="1BA026FA"/>
    <w:multiLevelType w:val="hybridMultilevel"/>
    <w:lvl w:ilvl="0">
      <w:lvlJc w:val="left"/>
      <w:lvlText w:val="%1."/>
      <w:numFmt w:val="decimal"/>
      <w:start w:val="4"/>
    </w:lvl>
  </w:abstractNum>
  <w:abstractNum w:abstractNumId="48">
    <w:nsid w:val="79A1DEAA"/>
    <w:multiLevelType w:val="hybridMultilevel"/>
    <w:lvl w:ilvl="0">
      <w:lvlJc w:val="left"/>
      <w:lvlText w:val="%1."/>
      <w:numFmt w:val="decimal"/>
      <w:start w:val="5"/>
    </w:lvl>
  </w:abstractNum>
  <w:abstractNum w:abstractNumId="49">
    <w:nsid w:val="75C6C33A"/>
    <w:multiLevelType w:val="hybridMultilevel"/>
    <w:lvl w:ilvl="0">
      <w:lvlJc w:val="left"/>
      <w:lvlText w:val="%1."/>
      <w:numFmt w:val="decimal"/>
      <w:start w:val="6"/>
    </w:lvl>
  </w:abstractNum>
  <w:abstractNum w:abstractNumId="50">
    <w:nsid w:val="12E685F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58"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png"/><Relationship Id="rId161" Type="http://schemas.openxmlformats.org/officeDocument/2006/relationships/image" Target="media/image125.png"/><Relationship Id="rId162" Type="http://schemas.openxmlformats.org/officeDocument/2006/relationships/image" Target="media/image126.png"/><Relationship Id="rId163" Type="http://schemas.openxmlformats.org/officeDocument/2006/relationships/image" Target="media/image127.png"/><Relationship Id="rId164" Type="http://schemas.openxmlformats.org/officeDocument/2006/relationships/image" Target="media/image128.png"/><Relationship Id="rId165" Type="http://schemas.openxmlformats.org/officeDocument/2006/relationships/image" Target="media/image129.png"/><Relationship Id="rId166" Type="http://schemas.openxmlformats.org/officeDocument/2006/relationships/image" Target="media/image130.png"/><Relationship Id="rId167" Type="http://schemas.openxmlformats.org/officeDocument/2006/relationships/image" Target="media/image131.png"/><Relationship Id="rId168" Type="http://schemas.openxmlformats.org/officeDocument/2006/relationships/image" Target="media/image132.png"/><Relationship Id="rId169" Type="http://schemas.openxmlformats.org/officeDocument/2006/relationships/image" Target="media/image133.png"/><Relationship Id="rId170" Type="http://schemas.openxmlformats.org/officeDocument/2006/relationships/image" Target="media/image134.png"/><Relationship Id="rId171" Type="http://schemas.openxmlformats.org/officeDocument/2006/relationships/image" Target="media/image135.png"/><Relationship Id="rId172" Type="http://schemas.openxmlformats.org/officeDocument/2006/relationships/image" Target="media/image136.png"/><Relationship Id="rId173" Type="http://schemas.openxmlformats.org/officeDocument/2006/relationships/image" Target="media/image137.png"/><Relationship Id="rId174" Type="http://schemas.openxmlformats.org/officeDocument/2006/relationships/image" Target="media/image138.png"/><Relationship Id="rId175" Type="http://schemas.openxmlformats.org/officeDocument/2006/relationships/image" Target="media/image139.png"/><Relationship Id="rId176" Type="http://schemas.openxmlformats.org/officeDocument/2006/relationships/image" Target="media/image140.png"/><Relationship Id="rId177" Type="http://schemas.openxmlformats.org/officeDocument/2006/relationships/image" Target="media/image141.png"/><Relationship Id="rId178" Type="http://schemas.openxmlformats.org/officeDocument/2006/relationships/image" Target="media/image142.png"/><Relationship Id="rId179" Type="http://schemas.openxmlformats.org/officeDocument/2006/relationships/image" Target="media/image143.png"/><Relationship Id="rId180"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5" Type="http://schemas.openxmlformats.org/officeDocument/2006/relationships/image" Target="media/image149.png"/><Relationship Id="rId186" Type="http://schemas.openxmlformats.org/officeDocument/2006/relationships/image" Target="media/image150.png"/><Relationship Id="rId187"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190" Type="http://schemas.openxmlformats.org/officeDocument/2006/relationships/image" Target="media/image154.png"/><Relationship Id="rId191" Type="http://schemas.openxmlformats.org/officeDocument/2006/relationships/image" Target="media/image155.png"/><Relationship Id="rId192" Type="http://schemas.openxmlformats.org/officeDocument/2006/relationships/image" Target="media/image156.png"/><Relationship Id="rId193" Type="http://schemas.openxmlformats.org/officeDocument/2006/relationships/image" Target="media/image157.png"/><Relationship Id="rId194" Type="http://schemas.openxmlformats.org/officeDocument/2006/relationships/image" Target="media/image158.png"/><Relationship Id="rId195" Type="http://schemas.openxmlformats.org/officeDocument/2006/relationships/image" Target="media/image159.png"/><Relationship Id="rId196" Type="http://schemas.openxmlformats.org/officeDocument/2006/relationships/image" Target="media/image160.png"/><Relationship Id="rId197" Type="http://schemas.openxmlformats.org/officeDocument/2006/relationships/image" Target="media/image161.png"/><Relationship Id="rId198" Type="http://schemas.openxmlformats.org/officeDocument/2006/relationships/image" Target="media/image162.png"/><Relationship Id="rId199" Type="http://schemas.openxmlformats.org/officeDocument/2006/relationships/image" Target="media/image163.png"/><Relationship Id="rId200" Type="http://schemas.openxmlformats.org/officeDocument/2006/relationships/image" Target="media/image164.png"/><Relationship Id="rId201" Type="http://schemas.openxmlformats.org/officeDocument/2006/relationships/image" Target="media/image165.png"/><Relationship Id="rId202" Type="http://schemas.openxmlformats.org/officeDocument/2006/relationships/image" Target="media/image166.png"/><Relationship Id="rId203" Type="http://schemas.openxmlformats.org/officeDocument/2006/relationships/image" Target="media/image167.png"/><Relationship Id="rId204" Type="http://schemas.openxmlformats.org/officeDocument/2006/relationships/image" Target="media/image168.png"/><Relationship Id="rId205" Type="http://schemas.openxmlformats.org/officeDocument/2006/relationships/image" Target="media/image169.png"/><Relationship Id="rId206" Type="http://schemas.openxmlformats.org/officeDocument/2006/relationships/image" Target="media/image170.png"/><Relationship Id="rId207" Type="http://schemas.openxmlformats.org/officeDocument/2006/relationships/image" Target="media/image171.png"/><Relationship Id="rId208" Type="http://schemas.openxmlformats.org/officeDocument/2006/relationships/image" Target="media/image172.png"/><Relationship Id="rId209" Type="http://schemas.openxmlformats.org/officeDocument/2006/relationships/image" Target="media/image173.png"/><Relationship Id="rId210" Type="http://schemas.openxmlformats.org/officeDocument/2006/relationships/image" Target="media/image174.png"/><Relationship Id="rId211" Type="http://schemas.openxmlformats.org/officeDocument/2006/relationships/image" Target="media/image175.png"/><Relationship Id="rId212" Type="http://schemas.openxmlformats.org/officeDocument/2006/relationships/image" Target="media/image176.png"/><Relationship Id="rId213" Type="http://schemas.openxmlformats.org/officeDocument/2006/relationships/image" Target="media/image177.png"/><Relationship Id="rId214" Type="http://schemas.openxmlformats.org/officeDocument/2006/relationships/image" Target="media/image178.png"/><Relationship Id="rId215" Type="http://schemas.openxmlformats.org/officeDocument/2006/relationships/image" Target="media/image179.png"/><Relationship Id="rId216" Type="http://schemas.openxmlformats.org/officeDocument/2006/relationships/image" Target="media/image180.png"/><Relationship Id="rId217" Type="http://schemas.openxmlformats.org/officeDocument/2006/relationships/image" Target="media/image181.png"/><Relationship Id="rId218" Type="http://schemas.openxmlformats.org/officeDocument/2006/relationships/image" Target="media/image182.png"/><Relationship Id="rId219" Type="http://schemas.openxmlformats.org/officeDocument/2006/relationships/image" Target="media/image183.png"/><Relationship Id="rId220" Type="http://schemas.openxmlformats.org/officeDocument/2006/relationships/image" Target="media/image184.png"/><Relationship Id="rId221" Type="http://schemas.openxmlformats.org/officeDocument/2006/relationships/image" Target="media/image185.png"/><Relationship Id="rId222" Type="http://schemas.openxmlformats.org/officeDocument/2006/relationships/image" Target="media/image186.png"/><Relationship Id="rId223" Type="http://schemas.openxmlformats.org/officeDocument/2006/relationships/image" Target="media/image187.png"/><Relationship Id="rId224" Type="http://schemas.openxmlformats.org/officeDocument/2006/relationships/image" Target="media/image188.png"/><Relationship Id="rId101" Type="http://schemas.openxmlformats.org/officeDocument/2006/relationships/hyperlink" Target="https://www.sec.gov/Archives/edgar/data/1657312/000110465920140541/tm2039594d1_ex1.htm" TargetMode="External"/><Relationship Id="rId102" Type="http://schemas.openxmlformats.org/officeDocument/2006/relationships/hyperlink" Target="https://www.sec.gov/Archives/edgar/data/1657312/000165731218000006/exhibit21depositagreemen.htm" TargetMode="External"/><Relationship Id="rId103" Type="http://schemas.openxmlformats.org/officeDocument/2006/relationships/hyperlink" Target="https://www.sec.gov/Archives/edgar/data/1657312/000104746917002313/a2231519zex-4_3.htm" TargetMode="External"/><Relationship Id="rId104" Type="http://schemas.openxmlformats.org/officeDocument/2006/relationships/hyperlink" Target="https://www.sec.gov/Archives/edgar/data/1657312/000104746917002313/a2231519zex-4_4.htm" TargetMode="External"/><Relationship Id="rId105" Type="http://schemas.openxmlformats.org/officeDocument/2006/relationships/hyperlink" Target="https://www.sec.gov/Archives/edgar/data/1657312/000165731221000004/vrna-descriptionofsecuriti.htm" TargetMode="External"/><Relationship Id="rId106" Type="http://schemas.openxmlformats.org/officeDocument/2006/relationships/hyperlink" Target="https://www.sec.gov/Archives/edgar/data/1657312/000104746917002313/a2231519zex-10_1.htm" TargetMode="External"/><Relationship Id="rId107" Type="http://schemas.openxmlformats.org/officeDocument/2006/relationships/hyperlink" Target="https://www.sec.gov/Archives/edgar/data/1657312/000110465920085620/tm2025101d2_ex2.htm" TargetMode="External"/><Relationship Id="rId108" Type="http://schemas.openxmlformats.org/officeDocument/2006/relationships/hyperlink" Target="https://www.sec.gov/Archives/edgar/data/1657312/000104746917002313/a2231519zex-10_2.htm" TargetMode="External"/><Relationship Id="rId109" Type="http://schemas.openxmlformats.org/officeDocument/2006/relationships/hyperlink" Target="https://www.sec.gov/Archives/edgar/data/1657312/000165731220000019/ex433reguslease13914316s.htm" TargetMode="External"/><Relationship Id="rId110" Type="http://schemas.openxmlformats.org/officeDocument/2006/relationships/hyperlink" Target="https://www.sec.gov/Archives/edgar/data/1657312/000165731220000019/ex434reguslease14214416s.htm" TargetMode="External"/><Relationship Id="rId111" Type="http://schemas.openxmlformats.org/officeDocument/2006/relationships/hyperlink" Target="https://www.sec.gov/Archives/edgar/data/1657312/000165731220000019/ex435reguslease145a15116.htm" TargetMode="External"/><Relationship Id="rId112" Type="http://schemas.openxmlformats.org/officeDocument/2006/relationships/hyperlink" Target="https://www.sec.gov/Archives/edgar/data/1657312/000165731220000019/ex436regushudsonyardslea.htm" TargetMode="External"/><Relationship Id="rId113" Type="http://schemas.openxmlformats.org/officeDocument/2006/relationships/hyperlink" Target="https://www.sec.gov/Archives/edgar/data/1657312/000104746917002313/a2231519zex-10_4.htm" TargetMode="External"/><Relationship Id="rId114" Type="http://schemas.openxmlformats.org/officeDocument/2006/relationships/hyperlink" Target="https://www.sec.gov/Archives/edgar/data/1657312/000104746917002313/a2231519zex-10_5.htm" TargetMode="External"/><Relationship Id="rId115" Type="http://schemas.openxmlformats.org/officeDocument/2006/relationships/hyperlink" Target="https://www.sec.gov/Archives/edgar/data/1657312/000165731218000006/exhibit462017plan.htm" TargetMode="External"/><Relationship Id="rId116" Type="http://schemas.openxmlformats.org/officeDocument/2006/relationships/hyperlink" Target="https://www.sec.gov/Archives/edgar/data/1657312/000165731220000019/a47dzaccarrelliemploymen.htm" TargetMode="External"/><Relationship Id="rId117" Type="http://schemas.openxmlformats.org/officeDocument/2006/relationships/hyperlink" Target="https://www.sec.gov/Archives/edgar/data/1657312/000165731219000007/kathyrickardemploymentag.htm" TargetMode="External"/><Relationship Id="rId118" Type="http://schemas.openxmlformats.org/officeDocument/2006/relationships/hyperlink" Target="https://www.sec.gov/Archives/edgar/data/1657312/000104746917002313/a2231519zex-10_9.htm" TargetMode="External"/><Relationship Id="rId119" Type="http://schemas.openxmlformats.org/officeDocument/2006/relationships/hyperlink" Target="https://www.sec.gov/Archives/edgar/data/1657312/000110465920095810/tm2027314d2_ex10-12.htm" TargetMode="External"/><Relationship Id="rId120" Type="http://schemas.openxmlformats.org/officeDocument/2006/relationships/hyperlink" Target="https://www.sec.gov/Archives/edgar/data/1657312/000104746917002697/a2231786zex-10_111.htm" TargetMode="External"/><Relationship Id="rId121" Type="http://schemas.openxmlformats.org/officeDocument/2006/relationships/hyperlink" Target="https://www.sec.gov/Archives/edgar/data/1657312/000104746917002697/a2231786zex-10_112.htm" TargetMode="External"/><Relationship Id="rId122" Type="http://schemas.openxmlformats.org/officeDocument/2006/relationships/hyperlink" Target="https://www.sec.gov/Archives/edgar/data/1657312/000104746917002313/a2231519zex-10_12.htm" TargetMode="External"/><Relationship Id="rId123" Type="http://schemas.openxmlformats.org/officeDocument/2006/relationships/hyperlink" Target="https://www.sec.gov/Archives/edgar/data/1657312/000104746917002313/a2231519zex-10_13.htm" TargetMode="External"/><Relationship Id="rId124" Type="http://schemas.openxmlformats.org/officeDocument/2006/relationships/hyperlink" Target="https://www.sec.gov/Archives/edgar/data/1657312/000104746917002313/a2231519zex-10_14.htm" TargetMode="External"/><Relationship Id="rId125" Type="http://schemas.openxmlformats.org/officeDocument/2006/relationships/hyperlink" Target="https://www.sec.gov/Archives/edgar/data/1657312/000110465920085620/tm2025101d2_ex1.htm" TargetMode="External"/><Relationship Id="rId126" Type="http://schemas.openxmlformats.org/officeDocument/2006/relationships/hyperlink" Target="https://www.sec.gov/Archives/edgar/data/1657312/000110465920128643/tm2036424d1_ex1-1.htm" TargetMode="External"/><Relationship Id="rId127" Type="http://schemas.openxmlformats.org/officeDocument/2006/relationships/hyperlink" Target="https://www.sec.gov/Archives/edgar/data/1657312/000165731221000004/svb-firstamendmenttoloan.htm" TargetMode="External"/><Relationship Id="rId128" Type="http://schemas.openxmlformats.org/officeDocument/2006/relationships/hyperlink" Target="https://www.sec.gov/Archives/edgar/data/1657312/000165731221000004/non-executicedirectorappoi.htm" TargetMode="External"/><Relationship Id="rId129" Type="http://schemas.openxmlformats.org/officeDocument/2006/relationships/hyperlink" Target="https://www.sec.gov/Archives/edgar/data/1657312/000165731221000018/exhibit101q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2022-03-03T08:05:09Z</dcterms:created>
  <dcterms:modified xsi:type="dcterms:W3CDTF">2022-03-03T08:05:09Z</dcterms:modified>
</cp:coreProperties>
</file>