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nominal value 0.05 GBP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Stephanie Brecher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New Enterprise Associates, 1954 Greenspring Drive, Suite 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Timonium, MD, 21093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(410) 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Growth Equity Opportunities 17,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32,678,025.00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New Enterprise Associates 17,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32,678,025.00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NEA Partners 17,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32,678,025.00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NEA 17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32,678,025.00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Growth Equity Opportunities Fund IV,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32,678,025.00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New Enterprise Associates 15,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32,678,025.00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NEA Partners 15,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32,678,025.00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32,678,025.00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32,678,025.00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4.99 %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NEA 15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32,678,025.00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Forest Baskett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32,678,025.00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Ali Behbahani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25,541,352.00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25,541,352.00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25,541,720.00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Carmen Chang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25,541,352.00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25,541,352.00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25,541,648.00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Anthony A. Florence,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32,678,025.00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32,678,025.00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32,678,025.00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Mohamad H. Makhzoumi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32,678,393.00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02"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02" w:right="1440" w:bottom="0" w:gutter="0" w:footer="0" w:header="0"/>
          <w:type w:val="continuous"/>
        </w:sectPr>
      </w:pPr>
    </w:p>
    <w:bookmarkStart w:id="11" w:name="page12"/>
    <w:bookmarkEnd w:id="11"/>
    <w:p>
      <w:pPr>
        <w:ind w:left="1120" w:right="4499" w:hanging="1112"/>
        <w:spacing w:after="0" w:line="371" w:lineRule="auto"/>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4.99 %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Edward T. Mathers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25,541,352.00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25,541,352.00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25,541,720.00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2" w:right="1440" w:bottom="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ectPr>
          <w:pgSz w:w="11900" w:h="16838" w:orient="portrait"/>
          <w:cols w:equalWidth="0" w:num="1">
            <w:col w:w="10099"/>
          </w:cols>
          <w:pgMar w:left="360" w:top="112" w:right="1440" w:bottom="0" w:gutter="0" w:footer="0" w:header="0"/>
          <w:type w:val="continuous"/>
        </w:sectPr>
      </w:pPr>
    </w:p>
    <w:bookmarkStart w:id="12" w:name="page13"/>
    <w:bookmarkEnd w:id="12"/>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Scott D. Sandell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1,624.00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1,624.00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32,678,025.00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32,679,649.00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Paul Walker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ectPr>
          <w:pgSz w:w="11900" w:h="16857" w:orient="portrait"/>
          <w:cols w:equalWidth="0" w:num="1">
            <w:col w:w="10099"/>
          </w:cols>
          <w:pgMar w:left="360" w:top="639" w:right="1440" w:bottom="0" w:gutter="0" w:footer="0" w:header="0"/>
          <w:type w:val="continuous"/>
        </w:sectPr>
      </w:pPr>
    </w:p>
    <w:bookmarkStart w:id="13" w:name="page14"/>
    <w:bookmarkEnd w:id="1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25,541,352.00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25,541,352.00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25,541,720.00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Rick Yang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232.00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25,541,352.00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2" w:right="144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232.00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25,541,352.00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25,541,584.00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3.90 %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Ordinary Shares, nominal value 0.05 GBP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3 More London Riverside, London, UNITED KINGDOM , SE1 2RE.</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60"/>
        <w:spacing w:after="0" w:line="245" w:lineRule="auto"/>
        <w:rPr>
          <w:sz w:val="20"/>
          <w:szCs w:val="20"/>
          <w:color w:val="auto"/>
        </w:rPr>
      </w:pPr>
      <w:r>
        <w:rPr>
          <w:rFonts w:ascii="Times New Roman" w:cs="Times New Roman" w:eastAsia="Times New Roman" w:hAnsi="Times New Roman"/>
          <w:sz w:val="21"/>
          <w:szCs w:val="21"/>
          <w:color w:val="auto"/>
        </w:rPr>
        <w:t>Growth Equity Opportunities Fund IV, LLC ("GEO 15"), Growth Equity Opportunities 17, LLC ("GEO 17" and, together with GEO 15, the "GEO Entities"); New Enterprise Associates 15, L.P. ("NEA 15"), which is the sole member of GEO 15, New Enterprise Associates 17, L.P. ("NEA 17" and, together with NEA 15, the "Funds"), which is the sole member of GEO 17; NEA Partners 15, L.P. ("NEA Partners 15"), which is the sole general partner of NEA 15, NEA Partners 17, L.P. ("NEA Partners 17" and, together with NEA Partners 15, the "GPLPs"), which is the sole general partner of NEA 17; NEA 15 GP, LLC ("NEA 15 LLC"), which is the sole general partner of NEA Partners</w:t>
      </w:r>
    </w:p>
    <w:p>
      <w:pPr>
        <w:spacing w:after="0" w:line="3" w:lineRule="exact"/>
        <w:rPr>
          <w:sz w:val="20"/>
          <w:szCs w:val="20"/>
          <w:color w:val="auto"/>
        </w:rPr>
      </w:pPr>
    </w:p>
    <w:p>
      <w:pPr>
        <w:ind w:left="940" w:hanging="932"/>
        <w:spacing w:after="0" w:line="181" w:lineRule="auto"/>
        <w:tabs>
          <w:tab w:leader="none" w:pos="940" w:val="left"/>
        </w:tabs>
        <w:numPr>
          <w:ilvl w:val="0"/>
          <w:numId w:val="1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15, and NEA 17 GP, LLC ("NEA 17 LLC," and together with NEA 15 LLC, the "GP LLCs" and, collectively with the GPLPs, the "Control Entities"), which is the sole general partner of NEA Partners 17; and Forest Baskett ("Baskett"), Ali Behbahani ("Behbahani"), Carmen Chang ("Chang"), Anthony A Florence, Jr. ("Florence"), Mohamad H.</w:t>
      </w:r>
    </w:p>
    <w:p>
      <w:pPr>
        <w:ind w:left="940" w:right="80"/>
        <w:spacing w:after="0" w:line="23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Makhzoumi ("Makhzoumi"), Edward T. Mathers ("Mathers"), Scott D. Sandell ("Sandell"), Paul Walker ("Walker") and Rick Yang ("Yang") (together, the "Managers"). Baskett, Florence, Makhzoumi and Sandell (the "Dual Managers") are managers of the GP LLCs. Behbahani, Chang, Mathers, Walker and Yang are managers of NEA 17 LLC. The persons named in this Item 2 are referred to individually herein as a "Reporting Person" and collectively as the "Reporting Persons."</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spacing w:after="0" w:line="246" w:lineRule="auto"/>
        <w:rPr>
          <w:sz w:val="20"/>
          <w:szCs w:val="20"/>
          <w:color w:val="auto"/>
        </w:rPr>
      </w:pPr>
      <w:r>
        <w:rPr>
          <w:rFonts w:ascii="Times New Roman" w:cs="Times New Roman" w:eastAsia="Times New Roman" w:hAnsi="Times New Roman"/>
          <w:sz w:val="21"/>
          <w:szCs w:val="21"/>
          <w:color w:val="auto"/>
        </w:rPr>
        <w:t>Item 5(a) of the Schedule 13D is amended and supplemented as follows: The aggregate number of Ordinary Shares of the Issuer which may be deemed to be beneficially owned by each Reporting Person is set forth on Line 11 of such Reporting Person's Cover sheet. The percentage of outstanding Ordinary Shares of the Issuer which may be deemed to be beneficially owned by each Reporting Person is set forth on Line 13 of such Reporting Person's cover sheet. Such percentage was calculated based on 654,649,358 Ordinary Shares reported by the Issuer to be outstanding as of</w:t>
      </w:r>
    </w:p>
    <w:p>
      <w:pPr>
        <w:spacing w:after="0" w:line="1" w:lineRule="exact"/>
        <w:rPr>
          <w:sz w:val="20"/>
          <w:szCs w:val="20"/>
          <w:color w:val="auto"/>
        </w:rPr>
      </w:pPr>
    </w:p>
    <w:p>
      <w:pPr>
        <w:ind w:left="940" w:right="20" w:hanging="932"/>
        <w:spacing w:after="0" w:line="204" w:lineRule="auto"/>
        <w:tabs>
          <w:tab w:leader="none" w:pos="940" w:val="left"/>
        </w:tabs>
        <w:numPr>
          <w:ilvl w:val="0"/>
          <w:numId w:val="1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October 28, 2024, on the Issuer's Form 10-Q filed with the Securities and Exchange Commission on November 4, 2024. As of January 21, 2025, Behbahani, Makhzoumi, Mathers and Walker are each the record owner of ADSs representing 368 Ordinary Shares; Chang is the record owner of ADSs representing 296 Ordinary Shares; Yang is the record owner of ADSs representing 232 Ordinary Shares; and the Blue Mountain Trust, dated April 29, 2019 (the "Blue Mountain Trust"), is the record owner of ADSs representing 1,624 Ordinary Shares (the "Blue Mountain Trust Shares"). Sandell may be deemed to own beneficially the Blue Mountain Trust Shares as trustee of the Blue Mountain Trust.</w:t>
      </w:r>
    </w:p>
    <w:p>
      <w:pPr>
        <w:spacing w:after="0" w:line="20"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 sole power to vote or to direct the vote: See line 7 of cover sheets (ii) shared power to vote or to direct the vote:</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 line 8 of cover sheets (iii) sole power to dispose or to direct the disposition: See line 9 of cover sheets (iv) shared</w:t>
      </w:r>
    </w:p>
    <w:p>
      <w:pPr>
        <w:spacing w:after="0" w:line="1"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power to dispose or to direct the disposition: See line 10 of cover sheets.</w:t>
      </w:r>
    </w:p>
    <w:p>
      <w:pPr>
        <w:sectPr>
          <w:pgSz w:w="11900" w:h="16838" w:orient="portrait"/>
          <w:cols w:equalWidth="0" w:num="1">
            <w:col w:w="11160"/>
          </w:cols>
          <w:pgMar w:left="360" w:top="112" w:right="379" w:bottom="0" w:gutter="0" w:footer="0" w:header="0"/>
        </w:sectPr>
      </w:pPr>
    </w:p>
    <w:bookmarkStart w:id="15" w:name="page16"/>
    <w:bookmarkEnd w:id="15"/>
    <w:p>
      <w:pPr>
        <w:ind w:left="940" w:right="160" w:hanging="932"/>
        <w:spacing w:after="0" w:line="236" w:lineRule="auto"/>
        <w:tabs>
          <w:tab w:leader="none" w:pos="9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January 16, 2025, GEO 15 made a distribution of ADSs representing 2,620,720 Ordinary Shares to NEA 15, which made a pro rata distribution of the shares to its general partner and limited partners for no consideration. Also on January 16, 2025, GEO 17 made a distribution of ADSs representing 9,379,280 Ordinary Shares to NEA 17, which made a pro rata distribution to its general partner and limited partners for no consideration. Following these distributions, each of the Reporting Persons ceased to beneficially own five percent (5%) or more of the Issuer's Ordinary Shares.</w:t>
      </w:r>
    </w:p>
    <w:p>
      <w:pPr>
        <w:spacing w:after="0" w:line="20" w:lineRule="exact"/>
        <w:rPr>
          <w:sz w:val="20"/>
          <w:szCs w:val="20"/>
          <w:color w:val="auto"/>
        </w:rPr>
      </w:pPr>
    </w:p>
    <w:p>
      <w:pPr>
        <w:ind w:left="940" w:hanging="932"/>
        <w:spacing w:after="0"/>
        <w:tabs>
          <w:tab w:leader="none" w:pos="9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January 16, 2025</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80"/>
        <w:spacing w:after="0" w:line="258" w:lineRule="auto"/>
        <w:rPr>
          <w:sz w:val="20"/>
          <w:szCs w:val="20"/>
          <w:color w:val="auto"/>
        </w:rPr>
      </w:pPr>
      <w:r>
        <w:rPr>
          <w:rFonts w:ascii="Times New Roman" w:cs="Times New Roman" w:eastAsia="Times New Roman" w:hAnsi="Times New Roman"/>
          <w:sz w:val="22"/>
          <w:szCs w:val="22"/>
          <w:color w:val="auto"/>
        </w:rPr>
        <w:t>Exhibit 1 - Agreement regarding filing of joint Schedule 13D. Exhibit 2 - Power of Attorney regarding filings under the Securities Exchange Act of 1934, as amended.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Growth Equity Opportunities 17,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Zachary Bambach as attorney-in-fact for Anthony</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 Florence Jr., Managing Partner and Co-Chief</w:t>
      </w:r>
    </w:p>
    <w:p>
      <w:pPr>
        <w:ind w:left="674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Zachary Bambach as attorney-in-fact for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Mohamad H. Makhzoumi, Managing Partner and</w:t>
      </w:r>
    </w:p>
    <w:p>
      <w:pPr>
        <w:ind w:left="6740"/>
        <w:spacing w:after="0"/>
        <w:rPr>
          <w:sz w:val="20"/>
          <w:szCs w:val="20"/>
          <w:color w:val="auto"/>
        </w:rPr>
      </w:pPr>
      <w:r>
        <w:rPr>
          <w:rFonts w:ascii="Times New Roman" w:cs="Times New Roman" w:eastAsia="Times New Roman" w:hAnsi="Times New Roman"/>
          <w:sz w:val="22"/>
          <w:szCs w:val="22"/>
          <w:color w:val="auto"/>
        </w:rPr>
        <w:t>Co-Chief 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New Enterprise Associates 17,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Zachary Bambach as attorney-in-fact for Anthony</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 Florence Jr., Managing Partner and Co-Chief</w:t>
      </w:r>
    </w:p>
    <w:p>
      <w:pPr>
        <w:ind w:left="674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Zachary Bambach as attorney-in-fact for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Mohamad H. Makhzoumi, Managing Partner and</w:t>
      </w:r>
    </w:p>
    <w:p>
      <w:pPr>
        <w:ind w:left="6740"/>
        <w:spacing w:after="0"/>
        <w:rPr>
          <w:sz w:val="20"/>
          <w:szCs w:val="20"/>
          <w:color w:val="auto"/>
        </w:rPr>
      </w:pPr>
      <w:r>
        <w:rPr>
          <w:rFonts w:ascii="Times New Roman" w:cs="Times New Roman" w:eastAsia="Times New Roman" w:hAnsi="Times New Roman"/>
          <w:sz w:val="22"/>
          <w:szCs w:val="22"/>
          <w:color w:val="auto"/>
        </w:rPr>
        <w:t>Co-Chief 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NEA Partners 17,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Zachary Bambach as attorney-in-fact for Anthony</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 Florence Jr., Managing Partner and Co-Chief</w:t>
      </w:r>
    </w:p>
    <w:p>
      <w:pPr>
        <w:ind w:left="674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Zachary Bambach as attorney-in-fact for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Mohamad H. Makhzoumi, Managing Partner and</w:t>
      </w:r>
    </w:p>
    <w:p>
      <w:pPr>
        <w:ind w:left="6740"/>
        <w:spacing w:after="0"/>
        <w:rPr>
          <w:sz w:val="20"/>
          <w:szCs w:val="20"/>
          <w:color w:val="auto"/>
        </w:rPr>
      </w:pPr>
      <w:r>
        <w:rPr>
          <w:rFonts w:ascii="Times New Roman" w:cs="Times New Roman" w:eastAsia="Times New Roman" w:hAnsi="Times New Roman"/>
          <w:sz w:val="22"/>
          <w:szCs w:val="22"/>
          <w:color w:val="auto"/>
        </w:rPr>
        <w:t>Co-Chief 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NEA 17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Zachary Bambach as attorney-in-fact for Anthony</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 Florence Jr., Managing Partner and Co-Chief</w:t>
      </w:r>
    </w:p>
    <w:p>
      <w:pPr>
        <w:ind w:left="674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ectPr>
          <w:pgSz w:w="11900" w:h="16838" w:orient="portrait"/>
          <w:cols w:equalWidth="0" w:num="1">
            <w:col w:w="11140"/>
          </w:cols>
          <w:pgMar w:left="360" w:top="112" w:right="399" w:bottom="0" w:gutter="0" w:footer="0" w:header="0"/>
        </w:sectPr>
      </w:pPr>
    </w:p>
    <w:bookmarkStart w:id="16" w:name="page17"/>
    <w:bookmarkEnd w:id="16"/>
    <w:p>
      <w:pPr>
        <w:spacing w:after="0" w:line="6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Zachary Bambach as attorney-in-fact for</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Mohamad H. Makhzoumi, Managing Partner and</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Co-Chief 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Growth Equity Opportunities Fund IV,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Zachary Bambach as attorney-in-fact for Anthony</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A. Florence Jr., Managing Partner and Co-Chief</w:t>
      </w:r>
    </w:p>
    <w:p>
      <w:pPr>
        <w:ind w:left="566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Zachary Bambach as attorney-in-fact for</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Mohamad H. Makhzoumi, Managing Partner and</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Co-Chief 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New Enterprise Associates 15,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Zachary Bambach as attorney-in-fact for Anthony</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A. Florence Jr., Managing Partner and Co-Chief</w:t>
      </w:r>
    </w:p>
    <w:p>
      <w:pPr>
        <w:ind w:left="566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Zachary Bambach as attorney-in-fact for</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Mohamad H. Makhzoumi, Managing Partner and</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Co-Chief 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NEA Partners 15,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Zachary Bambach as attorney-in-fact for Anthony</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A. Florence Jr., Managing Partner and Co-Chief</w:t>
      </w:r>
    </w:p>
    <w:p>
      <w:pPr>
        <w:ind w:left="566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Zachary Bambach as attorney-in-fact for</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Mohamad H. Makhzoumi, Managing Partner and</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Co-Chief 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NEA 15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Zachary Bambach as attorney-in-fact for Anthony</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A. Florence Jr., Managing Partner and Co-Chief</w:t>
      </w:r>
    </w:p>
    <w:p>
      <w:pPr>
        <w:ind w:left="566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Zachary Bambach as attorney-in-fact for</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Mohamad H. Makhzoumi, Managing Partner and</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Co-Chief 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Forest Baskett</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Zachary Bambach</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Zachary</w:t>
      </w:r>
      <w:r>
        <w:rPr>
          <w:rFonts w:ascii="Times New Roman" w:cs="Times New Roman" w:eastAsia="Times New Roman" w:hAnsi="Times New Roman"/>
          <w:sz w:val="34"/>
          <w:szCs w:val="34"/>
          <w:color w:val="auto"/>
          <w:vertAlign w:val="subscript"/>
        </w:rPr>
        <w:t>Baskett</w:t>
      </w:r>
      <w:r>
        <w:rPr>
          <w:rFonts w:ascii="Times New Roman" w:cs="Times New Roman" w:eastAsia="Times New Roman" w:hAnsi="Times New Roman"/>
          <w:sz w:val="18"/>
          <w:szCs w:val="18"/>
          <w:color w:val="auto"/>
        </w:rPr>
        <w:t xml:space="preserve"> Bambach as attorney-in-fact for Forest</w:t>
      </w:r>
    </w:p>
    <w:p>
      <w:pPr>
        <w:spacing w:after="0" w:line="16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Ali Behbahani</w:t>
      </w:r>
    </w:p>
    <w:p>
      <w:pPr>
        <w:sectPr>
          <w:pgSz w:w="11900" w:h="16901" w:orient="portrait"/>
          <w:cols w:equalWidth="0" w:num="1">
            <w:col w:w="9980"/>
          </w:cols>
          <w:pgMar w:left="1440" w:top="112" w:right="479" w:bottom="0" w:gutter="0" w:footer="0" w:header="0"/>
        </w:sectPr>
      </w:pPr>
    </w:p>
    <w:bookmarkStart w:id="17" w:name="page18"/>
    <w:bookmarkEnd w:id="17"/>
    <w:tbl>
      <w:tblPr>
        <w:tblLayout w:type="fixed"/>
        <w:tblInd w:w="1100" w:type="dxa"/>
        <w:tblCellMar>
          <w:top w:w="0" w:type="dxa"/>
          <w:left w:w="0" w:type="dxa"/>
          <w:bottom w:w="0" w:type="dxa"/>
          <w:right w:w="0" w:type="dxa"/>
        </w:tblCellMar>
      </w:tblPr>
      <w:tr>
        <w:trPr>
          <w:trHeight w:val="282"/>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620" w:type="dxa"/>
            <w:vAlign w:val="bottom"/>
            <w:vMerge w:val="restart"/>
          </w:tcPr>
          <w:p>
            <w:pPr>
              <w:ind w:left="456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Zachary Bambach as attorney-in-fact for Ali</w:t>
            </w:r>
          </w:p>
        </w:tc>
        <w:tc>
          <w:tcPr>
            <w:tcW w:w="0" w:type="dxa"/>
            <w:vAlign w:val="bottom"/>
          </w:tcPr>
          <w:p>
            <w:pPr>
              <w:spacing w:after="0"/>
              <w:rPr>
                <w:sz w:val="1"/>
                <w:szCs w:val="1"/>
                <w:color w:val="auto"/>
              </w:rPr>
            </w:pPr>
          </w:p>
        </w:tc>
      </w:tr>
      <w:tr>
        <w:trPr>
          <w:trHeight w:val="282"/>
        </w:trPr>
        <w:tc>
          <w:tcPr>
            <w:tcW w:w="562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Behbahani</w:t>
            </w:r>
          </w:p>
        </w:tc>
        <w:tc>
          <w:tcPr>
            <w:tcW w:w="0" w:type="dxa"/>
            <w:vAlign w:val="bottom"/>
          </w:tcPr>
          <w:p>
            <w:pPr>
              <w:spacing w:after="0"/>
              <w:rPr>
                <w:sz w:val="1"/>
                <w:szCs w:val="1"/>
                <w:color w:val="auto"/>
              </w:rPr>
            </w:pPr>
          </w:p>
        </w:tc>
      </w:tr>
      <w:tr>
        <w:trPr>
          <w:trHeight w:val="297"/>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01/21/2025</w:t>
            </w:r>
          </w:p>
        </w:tc>
        <w:tc>
          <w:tcPr>
            <w:tcW w:w="0" w:type="dxa"/>
            <w:vAlign w:val="bottom"/>
          </w:tcPr>
          <w:p>
            <w:pPr>
              <w:spacing w:after="0"/>
              <w:rPr>
                <w:sz w:val="1"/>
                <w:szCs w:val="1"/>
                <w:color w:val="auto"/>
              </w:rPr>
            </w:pPr>
          </w:p>
        </w:tc>
      </w:tr>
      <w:tr>
        <w:trPr>
          <w:trHeight w:val="405"/>
        </w:trPr>
        <w:tc>
          <w:tcPr>
            <w:tcW w:w="56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Carmen Chang</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620" w:type="dxa"/>
            <w:vAlign w:val="bottom"/>
            <w:vMerge w:val="restart"/>
          </w:tcPr>
          <w:p>
            <w:pPr>
              <w:ind w:left="456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Zachary Bambach as attorney-in-fact for Carmen</w:t>
            </w:r>
          </w:p>
        </w:tc>
        <w:tc>
          <w:tcPr>
            <w:tcW w:w="0" w:type="dxa"/>
            <w:vAlign w:val="bottom"/>
          </w:tcPr>
          <w:p>
            <w:pPr>
              <w:spacing w:after="0"/>
              <w:rPr>
                <w:sz w:val="1"/>
                <w:szCs w:val="1"/>
                <w:color w:val="auto"/>
              </w:rPr>
            </w:pPr>
          </w:p>
        </w:tc>
      </w:tr>
      <w:tr>
        <w:trPr>
          <w:trHeight w:val="282"/>
        </w:trPr>
        <w:tc>
          <w:tcPr>
            <w:tcW w:w="562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Chang</w:t>
            </w:r>
          </w:p>
        </w:tc>
        <w:tc>
          <w:tcPr>
            <w:tcW w:w="0" w:type="dxa"/>
            <w:vAlign w:val="bottom"/>
          </w:tcPr>
          <w:p>
            <w:pPr>
              <w:spacing w:after="0"/>
              <w:rPr>
                <w:sz w:val="1"/>
                <w:szCs w:val="1"/>
                <w:color w:val="auto"/>
              </w:rPr>
            </w:pPr>
          </w:p>
        </w:tc>
      </w:tr>
      <w:tr>
        <w:trPr>
          <w:trHeight w:val="297"/>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01/21/2025</w:t>
            </w:r>
          </w:p>
        </w:tc>
        <w:tc>
          <w:tcPr>
            <w:tcW w:w="0" w:type="dxa"/>
            <w:vAlign w:val="bottom"/>
          </w:tcPr>
          <w:p>
            <w:pPr>
              <w:spacing w:after="0"/>
              <w:rPr>
                <w:sz w:val="1"/>
                <w:szCs w:val="1"/>
                <w:color w:val="auto"/>
              </w:rPr>
            </w:pPr>
          </w:p>
        </w:tc>
      </w:tr>
      <w:tr>
        <w:trPr>
          <w:trHeight w:val="405"/>
        </w:trPr>
        <w:tc>
          <w:tcPr>
            <w:tcW w:w="56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Anthony A. Florence, Jr.</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353"/>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Zachary Bambach as attorney-in-fact for Anthony</w:t>
            </w:r>
          </w:p>
        </w:tc>
        <w:tc>
          <w:tcPr>
            <w:tcW w:w="0" w:type="dxa"/>
            <w:vAlign w:val="bottom"/>
          </w:tcPr>
          <w:p>
            <w:pPr>
              <w:spacing w:after="0"/>
              <w:rPr>
                <w:sz w:val="1"/>
                <w:szCs w:val="1"/>
                <w:color w:val="auto"/>
              </w:rPr>
            </w:pPr>
          </w:p>
        </w:tc>
      </w:tr>
      <w:tr>
        <w:trPr>
          <w:trHeight w:val="202"/>
        </w:trPr>
        <w:tc>
          <w:tcPr>
            <w:tcW w:w="5620" w:type="dxa"/>
            <w:vAlign w:val="bottom"/>
          </w:tcPr>
          <w:p>
            <w:pPr>
              <w:spacing w:after="0"/>
              <w:rPr>
                <w:sz w:val="17"/>
                <w:szCs w:val="17"/>
                <w:color w:val="auto"/>
              </w:rPr>
            </w:pPr>
          </w:p>
        </w:tc>
        <w:tc>
          <w:tcPr>
            <w:tcW w:w="43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A. Florence, Jr.</w:t>
            </w:r>
          </w:p>
        </w:tc>
        <w:tc>
          <w:tcPr>
            <w:tcW w:w="0" w:type="dxa"/>
            <w:vAlign w:val="bottom"/>
          </w:tcPr>
          <w:p>
            <w:pPr>
              <w:spacing w:after="0"/>
              <w:rPr>
                <w:sz w:val="1"/>
                <w:szCs w:val="1"/>
                <w:color w:val="auto"/>
              </w:rPr>
            </w:pPr>
          </w:p>
        </w:tc>
      </w:tr>
      <w:tr>
        <w:trPr>
          <w:trHeight w:val="282"/>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01/21/2025</w:t>
            </w:r>
          </w:p>
        </w:tc>
        <w:tc>
          <w:tcPr>
            <w:tcW w:w="0" w:type="dxa"/>
            <w:vAlign w:val="bottom"/>
          </w:tcPr>
          <w:p>
            <w:pPr>
              <w:spacing w:after="0"/>
              <w:rPr>
                <w:sz w:val="1"/>
                <w:szCs w:val="1"/>
                <w:color w:val="auto"/>
              </w:rPr>
            </w:pPr>
          </w:p>
        </w:tc>
      </w:tr>
      <w:tr>
        <w:trPr>
          <w:trHeight w:val="405"/>
        </w:trPr>
        <w:tc>
          <w:tcPr>
            <w:tcW w:w="56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Mohamad H. Makhzoumi</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620" w:type="dxa"/>
            <w:vAlign w:val="bottom"/>
            <w:vMerge w:val="restart"/>
          </w:tcPr>
          <w:p>
            <w:pPr>
              <w:ind w:left="456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Zachary Bambach as attorney-in-fact for</w:t>
            </w:r>
          </w:p>
        </w:tc>
        <w:tc>
          <w:tcPr>
            <w:tcW w:w="0" w:type="dxa"/>
            <w:vAlign w:val="bottom"/>
          </w:tcPr>
          <w:p>
            <w:pPr>
              <w:spacing w:after="0"/>
              <w:rPr>
                <w:sz w:val="1"/>
                <w:szCs w:val="1"/>
                <w:color w:val="auto"/>
              </w:rPr>
            </w:pPr>
          </w:p>
        </w:tc>
      </w:tr>
      <w:tr>
        <w:trPr>
          <w:trHeight w:val="282"/>
        </w:trPr>
        <w:tc>
          <w:tcPr>
            <w:tcW w:w="562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Mohamad H. Makhzoumi</w:t>
            </w:r>
          </w:p>
        </w:tc>
        <w:tc>
          <w:tcPr>
            <w:tcW w:w="0" w:type="dxa"/>
            <w:vAlign w:val="bottom"/>
          </w:tcPr>
          <w:p>
            <w:pPr>
              <w:spacing w:after="0"/>
              <w:rPr>
                <w:sz w:val="1"/>
                <w:szCs w:val="1"/>
                <w:color w:val="auto"/>
              </w:rPr>
            </w:pPr>
          </w:p>
        </w:tc>
      </w:tr>
      <w:tr>
        <w:trPr>
          <w:trHeight w:val="297"/>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01/21/2025</w:t>
            </w:r>
          </w:p>
        </w:tc>
        <w:tc>
          <w:tcPr>
            <w:tcW w:w="0" w:type="dxa"/>
            <w:vAlign w:val="bottom"/>
          </w:tcPr>
          <w:p>
            <w:pPr>
              <w:spacing w:after="0"/>
              <w:rPr>
                <w:sz w:val="1"/>
                <w:szCs w:val="1"/>
                <w:color w:val="auto"/>
              </w:rPr>
            </w:pPr>
          </w:p>
        </w:tc>
      </w:tr>
      <w:tr>
        <w:trPr>
          <w:trHeight w:val="405"/>
        </w:trPr>
        <w:tc>
          <w:tcPr>
            <w:tcW w:w="56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Edward T. Mathers</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620" w:type="dxa"/>
            <w:vAlign w:val="bottom"/>
            <w:vMerge w:val="restart"/>
          </w:tcPr>
          <w:p>
            <w:pPr>
              <w:ind w:left="456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Zachary Bambach as attorney-in-fact for Edward</w:t>
            </w:r>
          </w:p>
        </w:tc>
        <w:tc>
          <w:tcPr>
            <w:tcW w:w="0" w:type="dxa"/>
            <w:vAlign w:val="bottom"/>
          </w:tcPr>
          <w:p>
            <w:pPr>
              <w:spacing w:after="0"/>
              <w:rPr>
                <w:sz w:val="1"/>
                <w:szCs w:val="1"/>
                <w:color w:val="auto"/>
              </w:rPr>
            </w:pPr>
          </w:p>
        </w:tc>
      </w:tr>
      <w:tr>
        <w:trPr>
          <w:trHeight w:val="282"/>
        </w:trPr>
        <w:tc>
          <w:tcPr>
            <w:tcW w:w="562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 Mathers</w:t>
            </w:r>
          </w:p>
        </w:tc>
        <w:tc>
          <w:tcPr>
            <w:tcW w:w="0" w:type="dxa"/>
            <w:vAlign w:val="bottom"/>
          </w:tcPr>
          <w:p>
            <w:pPr>
              <w:spacing w:after="0"/>
              <w:rPr>
                <w:sz w:val="1"/>
                <w:szCs w:val="1"/>
                <w:color w:val="auto"/>
              </w:rPr>
            </w:pPr>
          </w:p>
        </w:tc>
      </w:tr>
      <w:tr>
        <w:trPr>
          <w:trHeight w:val="297"/>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01/21/2025</w:t>
            </w:r>
          </w:p>
        </w:tc>
        <w:tc>
          <w:tcPr>
            <w:tcW w:w="0" w:type="dxa"/>
            <w:vAlign w:val="bottom"/>
          </w:tcPr>
          <w:p>
            <w:pPr>
              <w:spacing w:after="0"/>
              <w:rPr>
                <w:sz w:val="1"/>
                <w:szCs w:val="1"/>
                <w:color w:val="auto"/>
              </w:rPr>
            </w:pPr>
          </w:p>
        </w:tc>
      </w:tr>
      <w:tr>
        <w:trPr>
          <w:trHeight w:val="405"/>
        </w:trPr>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Scott D. Sandell</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353"/>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Zachary Bambach as attorney-in-fact for Scott D.</w:t>
            </w:r>
          </w:p>
        </w:tc>
        <w:tc>
          <w:tcPr>
            <w:tcW w:w="0" w:type="dxa"/>
            <w:vAlign w:val="bottom"/>
          </w:tcPr>
          <w:p>
            <w:pPr>
              <w:spacing w:after="0"/>
              <w:rPr>
                <w:sz w:val="1"/>
                <w:szCs w:val="1"/>
                <w:color w:val="auto"/>
              </w:rPr>
            </w:pPr>
          </w:p>
        </w:tc>
      </w:tr>
      <w:tr>
        <w:trPr>
          <w:trHeight w:val="202"/>
        </w:trPr>
        <w:tc>
          <w:tcPr>
            <w:tcW w:w="5620" w:type="dxa"/>
            <w:vAlign w:val="bottom"/>
          </w:tcPr>
          <w:p>
            <w:pPr>
              <w:spacing w:after="0"/>
              <w:rPr>
                <w:sz w:val="17"/>
                <w:szCs w:val="17"/>
                <w:color w:val="auto"/>
              </w:rPr>
            </w:pPr>
          </w:p>
        </w:tc>
        <w:tc>
          <w:tcPr>
            <w:tcW w:w="43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Sandell</w:t>
            </w:r>
          </w:p>
        </w:tc>
        <w:tc>
          <w:tcPr>
            <w:tcW w:w="0" w:type="dxa"/>
            <w:vAlign w:val="bottom"/>
          </w:tcPr>
          <w:p>
            <w:pPr>
              <w:spacing w:after="0"/>
              <w:rPr>
                <w:sz w:val="1"/>
                <w:szCs w:val="1"/>
                <w:color w:val="auto"/>
              </w:rPr>
            </w:pPr>
          </w:p>
        </w:tc>
      </w:tr>
      <w:tr>
        <w:trPr>
          <w:trHeight w:val="282"/>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01/21/2025</w:t>
            </w:r>
          </w:p>
        </w:tc>
        <w:tc>
          <w:tcPr>
            <w:tcW w:w="0" w:type="dxa"/>
            <w:vAlign w:val="bottom"/>
          </w:tcPr>
          <w:p>
            <w:pPr>
              <w:spacing w:after="0"/>
              <w:rPr>
                <w:sz w:val="1"/>
                <w:szCs w:val="1"/>
                <w:color w:val="auto"/>
              </w:rPr>
            </w:pPr>
          </w:p>
        </w:tc>
      </w:tr>
      <w:tr>
        <w:trPr>
          <w:trHeight w:val="405"/>
        </w:trPr>
        <w:tc>
          <w:tcPr>
            <w:tcW w:w="5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Paul Walker</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620" w:type="dxa"/>
            <w:vAlign w:val="bottom"/>
            <w:vMerge w:val="restart"/>
          </w:tcPr>
          <w:p>
            <w:pPr>
              <w:ind w:left="456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Zachary Bambach as attorney-in-fact for Paul</w:t>
            </w:r>
          </w:p>
        </w:tc>
        <w:tc>
          <w:tcPr>
            <w:tcW w:w="0" w:type="dxa"/>
            <w:vAlign w:val="bottom"/>
          </w:tcPr>
          <w:p>
            <w:pPr>
              <w:spacing w:after="0"/>
              <w:rPr>
                <w:sz w:val="1"/>
                <w:szCs w:val="1"/>
                <w:color w:val="auto"/>
              </w:rPr>
            </w:pPr>
          </w:p>
        </w:tc>
      </w:tr>
      <w:tr>
        <w:trPr>
          <w:trHeight w:val="282"/>
        </w:trPr>
        <w:tc>
          <w:tcPr>
            <w:tcW w:w="562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Walker</w:t>
            </w:r>
          </w:p>
        </w:tc>
        <w:tc>
          <w:tcPr>
            <w:tcW w:w="0" w:type="dxa"/>
            <w:vAlign w:val="bottom"/>
          </w:tcPr>
          <w:p>
            <w:pPr>
              <w:spacing w:after="0"/>
              <w:rPr>
                <w:sz w:val="1"/>
                <w:szCs w:val="1"/>
                <w:color w:val="auto"/>
              </w:rPr>
            </w:pPr>
          </w:p>
        </w:tc>
      </w:tr>
      <w:tr>
        <w:trPr>
          <w:trHeight w:val="297"/>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01/21/2025</w:t>
            </w:r>
          </w:p>
        </w:tc>
        <w:tc>
          <w:tcPr>
            <w:tcW w:w="0" w:type="dxa"/>
            <w:vAlign w:val="bottom"/>
          </w:tcPr>
          <w:p>
            <w:pPr>
              <w:spacing w:after="0"/>
              <w:rPr>
                <w:sz w:val="1"/>
                <w:szCs w:val="1"/>
                <w:color w:val="auto"/>
              </w:rPr>
            </w:pPr>
          </w:p>
        </w:tc>
      </w:tr>
      <w:tr>
        <w:trPr>
          <w:trHeight w:val="405"/>
        </w:trPr>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Rick Yang</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Signature: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Zachary Bambach</w:t>
            </w:r>
          </w:p>
        </w:tc>
        <w:tc>
          <w:tcPr>
            <w:tcW w:w="0" w:type="dxa"/>
            <w:vAlign w:val="bottom"/>
          </w:tcPr>
          <w:p>
            <w:pPr>
              <w:spacing w:after="0"/>
              <w:rPr>
                <w:sz w:val="1"/>
                <w:szCs w:val="1"/>
                <w:color w:val="auto"/>
              </w:rPr>
            </w:pPr>
          </w:p>
        </w:tc>
      </w:tr>
      <w:tr>
        <w:trPr>
          <w:trHeight w:val="258"/>
        </w:trPr>
        <w:tc>
          <w:tcPr>
            <w:tcW w:w="5620" w:type="dxa"/>
            <w:vAlign w:val="bottom"/>
            <w:vMerge w:val="restart"/>
          </w:tcPr>
          <w:p>
            <w:pPr>
              <w:ind w:left="4560"/>
              <w:spacing w:after="0"/>
              <w:rPr>
                <w:sz w:val="20"/>
                <w:szCs w:val="20"/>
                <w:color w:val="auto"/>
              </w:rPr>
            </w:pPr>
            <w:r>
              <w:rPr>
                <w:rFonts w:ascii="Times New Roman" w:cs="Times New Roman" w:eastAsia="Times New Roman" w:hAnsi="Times New Roman"/>
                <w:sz w:val="22"/>
                <w:szCs w:val="22"/>
                <w:color w:val="auto"/>
                <w:w w:val="97"/>
              </w:rPr>
              <w:t>Name/Title: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Zachary Bambach as attorney-in-fact for Rick</w:t>
            </w:r>
          </w:p>
        </w:tc>
        <w:tc>
          <w:tcPr>
            <w:tcW w:w="0" w:type="dxa"/>
            <w:vAlign w:val="bottom"/>
          </w:tcPr>
          <w:p>
            <w:pPr>
              <w:spacing w:after="0"/>
              <w:rPr>
                <w:sz w:val="1"/>
                <w:szCs w:val="1"/>
                <w:color w:val="auto"/>
              </w:rPr>
            </w:pPr>
          </w:p>
        </w:tc>
      </w:tr>
      <w:tr>
        <w:trPr>
          <w:trHeight w:val="282"/>
        </w:trPr>
        <w:tc>
          <w:tcPr>
            <w:tcW w:w="5620" w:type="dxa"/>
            <w:vAlign w:val="bottom"/>
            <w:vMerge w:val="continue"/>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Yang</w:t>
            </w:r>
          </w:p>
        </w:tc>
        <w:tc>
          <w:tcPr>
            <w:tcW w:w="0" w:type="dxa"/>
            <w:vAlign w:val="bottom"/>
          </w:tcPr>
          <w:p>
            <w:pPr>
              <w:spacing w:after="0"/>
              <w:rPr>
                <w:sz w:val="1"/>
                <w:szCs w:val="1"/>
                <w:color w:val="auto"/>
              </w:rPr>
            </w:pPr>
          </w:p>
        </w:tc>
      </w:tr>
      <w:tr>
        <w:trPr>
          <w:trHeight w:val="297"/>
        </w:trPr>
        <w:tc>
          <w:tcPr>
            <w:tcW w:w="5620" w:type="dxa"/>
            <w:vAlign w:val="bottom"/>
          </w:tcPr>
          <w:p>
            <w:pPr>
              <w:ind w:left="4560"/>
              <w:spacing w:after="0"/>
              <w:rPr>
                <w:sz w:val="20"/>
                <w:szCs w:val="20"/>
                <w:color w:val="auto"/>
              </w:rPr>
            </w:pPr>
            <w:r>
              <w:rPr>
                <w:rFonts w:ascii="Times New Roman" w:cs="Times New Roman" w:eastAsia="Times New Roman" w:hAnsi="Times New Roman"/>
                <w:sz w:val="22"/>
                <w:szCs w:val="22"/>
                <w:color w:val="auto"/>
              </w:rPr>
              <w:t>Date: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01/21/2025</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140"/>
          </w:cols>
          <w:pgMar w:left="360" w:top="274" w:right="399" w:bottom="1440" w:gutter="0" w:footer="0" w:header="0"/>
        </w:sectPr>
      </w:pPr>
    </w:p>
    <w:p>
      <w:pPr>
        <w:spacing w:after="0" w:line="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This Amendment No. 4 to Schedule 13D was executed by Zachary Bambach on behalf of the individuals listed above pursuant to a Power of Attorney, a copy of which is attached as Exhibit 2.</w:t>
      </w:r>
    </w:p>
    <w:p>
      <w:pPr>
        <w:sectPr>
          <w:pgSz w:w="11900" w:h="16838" w:orient="portrait"/>
          <w:cols w:equalWidth="0" w:num="2">
            <w:col w:w="1200" w:space="580"/>
            <w:col w:w="9360"/>
          </w:cols>
          <w:pgMar w:left="360" w:top="274" w:right="399" w:bottom="1440" w:gutter="0" w:footer="0" w:header="0"/>
          <w:type w:val="continuous"/>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340" w:firstLine="693"/>
        <w:spacing w:after="0" w:line="312" w:lineRule="auto"/>
        <w:rPr>
          <w:sz w:val="20"/>
          <w:szCs w:val="20"/>
          <w:color w:val="auto"/>
        </w:rPr>
      </w:pPr>
      <w:r>
        <w:rPr>
          <w:rFonts w:ascii="Times New Roman" w:cs="Times New Roman" w:eastAsia="Times New Roman" w:hAnsi="Times New Roman"/>
          <w:sz w:val="17"/>
          <w:szCs w:val="17"/>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Verona Pharma plc.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January, 2025</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17, LLC</w:t>
      </w:r>
    </w:p>
    <w:p>
      <w:pPr>
        <w:sectPr>
          <w:pgSz w:w="11900" w:h="16838" w:orient="portrait"/>
          <w:cols w:equalWidth="0" w:num="1">
            <w:col w:w="11240"/>
          </w:cols>
          <w:pgMar w:left="320" w:top="603"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ENTERPRISE ASSOCIATES 17,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ectPr>
          <w:pgSz w:w="11900" w:h="16838" w:orient="portrait"/>
          <w:cols w:equalWidth="0" w:num="2">
            <w:col w:w="260" w:space="460"/>
            <w:col w:w="10520"/>
          </w:cols>
          <w:pgMar w:left="320" w:top="603" w:right="339" w:bottom="1440" w:gutter="0" w:footer="0" w:header="0"/>
          <w:type w:val="continuous"/>
        </w:sectPr>
      </w:pP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NEA PARTNERS 17,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980" w:space="460"/>
            <w:col w:w="9800"/>
          </w:cols>
          <w:pgMar w:left="320" w:top="603" w:right="339" w:bottom="1440" w:gutter="0" w:footer="0" w:header="0"/>
          <w:type w:val="continuous"/>
        </w:sectPr>
      </w:pP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NEA 17 GP, LLC</w:t>
      </w:r>
    </w:p>
    <w:p>
      <w:pPr>
        <w:spacing w:after="0" w:line="39" w:lineRule="exact"/>
        <w:rPr>
          <w:sz w:val="20"/>
          <w:szCs w:val="20"/>
          <w:color w:val="auto"/>
        </w:rPr>
      </w:pPr>
    </w:p>
    <w:p>
      <w:pPr>
        <w:sectPr>
          <w:pgSz w:w="11900" w:h="16838" w:orient="portrait"/>
          <w:cols w:equalWidth="0" w:num="2">
            <w:col w:w="1700" w:space="460"/>
            <w:col w:w="9080"/>
          </w:cols>
          <w:pgMar w:left="320" w:top="603"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589"/>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283"/>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540"/>
        </w:trPr>
        <w:tc>
          <w:tcPr>
            <w:tcW w:w="6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NEW ENTERPRISE ASSOCIATES 17, L.P.</w:t>
            </w: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PARTNERS 17, L.P.</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06"/>
        </w:trPr>
        <w:tc>
          <w:tcPr>
            <w:tcW w:w="5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NEA 17 GP, LLC</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283"/>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864"/>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NEA PARTNERS 17, L.P.</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NEA 17 GP, LLC</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90"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9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NEA 17 GP,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Managing Partner and Co-Chief Executive Officer</w:t>
      </w:r>
    </w:p>
    <w:p>
      <w:pPr>
        <w:spacing w:after="0" w:line="11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-7620</wp:posOffset>
            </wp:positionV>
            <wp:extent cx="14852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FUND IV, LLC</w:t>
      </w:r>
    </w:p>
    <w:p>
      <w:pPr>
        <w:sectPr>
          <w:pgSz w:w="11900" w:h="16838" w:orient="portrait"/>
          <w:cols w:equalWidth="0" w:num="1">
            <w:col w:w="10139"/>
          </w:cols>
          <w:pgMar w:left="320" w:top="1228" w:right="1440" w:bottom="879"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ENTERPRISE ASSOCIATES 15,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ectPr>
          <w:pgSz w:w="11900" w:h="16838" w:orient="portrait"/>
          <w:cols w:equalWidth="0" w:num="2">
            <w:col w:w="260" w:space="460"/>
            <w:col w:w="9419"/>
          </w:cols>
          <w:pgMar w:left="320" w:top="1228" w:right="1440" w:bottom="879" w:gutter="0" w:footer="0" w:header="0"/>
          <w:type w:val="continuous"/>
        </w:sectPr>
      </w:pPr>
    </w:p>
    <w:p>
      <w:pPr>
        <w:spacing w:after="0" w:line="1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NEA PARTNERS 15,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980" w:space="460"/>
            <w:col w:w="8699"/>
          </w:cols>
          <w:pgMar w:left="320" w:top="1228" w:right="1440" w:bottom="879" w:gutter="0" w:footer="0" w:header="0"/>
          <w:type w:val="continuous"/>
        </w:sectPr>
      </w:pP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NEA 15 GP, LLC</w:t>
      </w:r>
    </w:p>
    <w:p>
      <w:pPr>
        <w:spacing w:after="0" w:line="39" w:lineRule="exact"/>
        <w:rPr>
          <w:sz w:val="20"/>
          <w:szCs w:val="20"/>
          <w:color w:val="auto"/>
        </w:rPr>
      </w:pPr>
    </w:p>
    <w:p>
      <w:pPr>
        <w:sectPr>
          <w:pgSz w:w="11900" w:h="16838" w:orient="portrait"/>
          <w:cols w:equalWidth="0" w:num="2">
            <w:col w:w="1700" w:space="460"/>
            <w:col w:w="7979"/>
          </w:cols>
          <w:pgMar w:left="320" w:top="1228" w:right="1440" w:bottom="879" w:gutter="0" w:footer="0" w:header="0"/>
          <w:type w:val="continuous"/>
        </w:sectPr>
      </w:pPr>
    </w:p>
    <w:p>
      <w:pPr>
        <w:ind w:left="21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315" w:lineRule="exact"/>
        <w:rPr>
          <w:sz w:val="20"/>
          <w:szCs w:val="20"/>
          <w:color w:val="auto"/>
        </w:rPr>
      </w:pPr>
    </w:p>
    <w:p>
      <w:pPr>
        <w:ind w:left="2140"/>
        <w:spacing w:after="0"/>
        <w:tabs>
          <w:tab w:leader="none" w:pos="2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Managing Partner and Co-Chief Executive Officer</w:t>
      </w:r>
    </w:p>
    <w:p>
      <w:pPr>
        <w:spacing w:after="0" w:line="110" w:lineRule="exact"/>
        <w:rPr>
          <w:sz w:val="20"/>
          <w:szCs w:val="20"/>
          <w:color w:val="auto"/>
        </w:rPr>
      </w:pPr>
    </w:p>
    <w:p>
      <w:pPr>
        <w:ind w:left="2140"/>
        <w:spacing w:after="0"/>
        <w:tabs>
          <w:tab w:leader="none" w:pos="2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15, L.P.</w:t>
      </w:r>
    </w:p>
    <w:p>
      <w:pPr>
        <w:sectPr>
          <w:pgSz w:w="11900" w:h="16838" w:orient="portrait"/>
          <w:cols w:equalWidth="0" w:num="1">
            <w:col w:w="10139"/>
          </w:cols>
          <w:pgMar w:left="320" w:top="1228" w:right="1440" w:bottom="879"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NEA PARTNERS 15,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460"/>
            <w:col w:w="9419"/>
          </w:cols>
          <w:pgMar w:left="320" w:top="1228" w:right="1440" w:bottom="879" w:gutter="0" w:footer="0" w:header="0"/>
          <w:type w:val="continuous"/>
        </w:sectPr>
      </w:pPr>
    </w:p>
    <w:p>
      <w:pPr>
        <w:spacing w:after="0" w:line="1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NEA 15 GP, LLC</w:t>
      </w:r>
    </w:p>
    <w:p>
      <w:pPr>
        <w:spacing w:after="0" w:line="39" w:lineRule="exact"/>
        <w:rPr>
          <w:sz w:val="20"/>
          <w:szCs w:val="20"/>
          <w:color w:val="auto"/>
        </w:rPr>
      </w:pPr>
    </w:p>
    <w:p>
      <w:pPr>
        <w:sectPr>
          <w:pgSz w:w="11900" w:h="16838" w:orient="portrait"/>
          <w:cols w:equalWidth="0" w:num="2">
            <w:col w:w="980" w:space="460"/>
            <w:col w:w="8699"/>
          </w:cols>
          <w:pgMar w:left="320" w:top="1228" w:right="1440" w:bottom="879" w:gutter="0" w:footer="0" w:header="0"/>
          <w:type w:val="continuous"/>
        </w:sectPr>
      </w:pPr>
    </w:p>
    <w:p>
      <w:pPr>
        <w:ind w:left="14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1440"/>
        <w:spacing w:after="0"/>
        <w:tabs>
          <w:tab w:leader="none" w:pos="2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color w:val="auto"/>
        </w:rPr>
        <w:t>Managing Partner and Co-Chief Executive Officer</w:t>
      </w:r>
    </w:p>
    <w:p>
      <w:pPr>
        <w:spacing w:after="0" w:line="110" w:lineRule="exact"/>
        <w:rPr>
          <w:sz w:val="20"/>
          <w:szCs w:val="20"/>
          <w:color w:val="auto"/>
        </w:rPr>
      </w:pPr>
    </w:p>
    <w:p>
      <w:pPr>
        <w:ind w:left="1440"/>
        <w:spacing w:after="0"/>
        <w:tabs>
          <w:tab w:leader="none" w:pos="3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-7620</wp:posOffset>
            </wp:positionV>
            <wp:extent cx="14852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15,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NEA 15 GP, LLC</w:t>
            </w:r>
          </w:p>
        </w:tc>
      </w:tr>
      <w:tr>
        <w:trPr>
          <w:trHeight w:val="234"/>
        </w:trPr>
        <w:tc>
          <w:tcPr>
            <w:tcW w:w="460" w:type="dxa"/>
            <w:vAlign w:val="bottom"/>
          </w:tcPr>
          <w:p>
            <w:pPr>
              <w:spacing w:after="0"/>
              <w:rPr>
                <w:sz w:val="20"/>
                <w:szCs w:val="20"/>
                <w:color w:val="auto"/>
              </w:rPr>
            </w:pPr>
          </w:p>
        </w:tc>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84"/>
        </w:trPr>
        <w:tc>
          <w:tcPr>
            <w:tcW w:w="46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18"/>
        </w:trPr>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283"/>
        </w:trPr>
        <w:tc>
          <w:tcPr>
            <w:tcW w:w="46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18"/>
        </w:trPr>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28" w:right="1440" w:bottom="879"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NEA 15 GP,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9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-7620</wp:posOffset>
            </wp:positionV>
            <wp:extent cx="14852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0" w:lineRule="exact"/>
        <w:rPr>
          <w:sz w:val="20"/>
          <w:szCs w:val="20"/>
          <w:color w:val="auto"/>
        </w:rPr>
      </w:pPr>
    </w:p>
    <w:p>
      <w:pPr>
        <w:spacing w:after="0" w:line="223" w:lineRule="exact"/>
        <w:rPr>
          <w:sz w:val="20"/>
          <w:szCs w:val="20"/>
          <w:color w:val="auto"/>
        </w:rPr>
      </w:pPr>
    </w:p>
    <w:p>
      <w:pPr>
        <w:jc w:val="right"/>
        <w:ind w:right="98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988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Walker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Yang</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Zachary Bambach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-7620</wp:posOffset>
            </wp:positionV>
            <wp:extent cx="17132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Zachary Bambach</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Agreement relating to Schedule 13D was executed by Zachary Bambach on behalf of the individuals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8" w:right="519" w:bottom="1440" w:gutter="0" w:footer="0" w:header="0"/>
        </w:sectPr>
      </w:pPr>
    </w:p>
    <w:bookmarkStart w:id="21" w:name="page22"/>
    <w:bookmarkEnd w:id="21"/>
    <w:p>
      <w:pPr>
        <w:ind w:left="10300"/>
        <w:spacing w:after="0"/>
        <w:rPr>
          <w:sz w:val="20"/>
          <w:szCs w:val="20"/>
          <w:color w:val="auto"/>
        </w:rPr>
      </w:pPr>
      <w:r>
        <w:rPr>
          <w:rFonts w:ascii="Times New Roman" w:cs="Times New Roman" w:eastAsia="Times New Roman" w:hAnsi="Times New Roman"/>
          <w:sz w:val="18"/>
          <w:szCs w:val="18"/>
          <w:b w:val="1"/>
          <w:bCs w:val="1"/>
          <w:u w:val="single" w:color="auto"/>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including, without limitation, Forms 3, 4 and 5 and Schedules 13D and 13G (and any amendments thereto), and to file the same, with all exhibits thereto, and any other documents in connection therewith, with the Securities and Exchange Commission (the “SEC”), including, but not limited to, signing a Form ID for and on behalf of the undersigned and filing such Form ID with the SEC,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is perpetual, unless revoked by the undersigned in a signed writing delivered to each of the foregoing attorneys-in-fact.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29th day of February, 2024.</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Peter J. Barris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Forest Baskett</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Ali Behbahani</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Ronald D. Bernal</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Ronald 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Ann Bordetsky</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Ann Bordetsky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Carmen Chang</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Philip Chopin</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 Chopin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Anthony A. Florence, Jr.</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Jonathan Golden</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Jonathan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Gottlieb</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ind w:left="4500"/>
        <w:spacing w:after="0"/>
        <w:rPr>
          <w:sz w:val="20"/>
          <w:szCs w:val="20"/>
          <w:color w:val="auto"/>
        </w:rPr>
      </w:pPr>
      <w:r>
        <w:rPr>
          <w:rFonts w:ascii="Times New Roman" w:cs="Times New Roman" w:eastAsia="Times New Roman" w:hAnsi="Times New Roman"/>
          <w:sz w:val="18"/>
          <w:szCs w:val="18"/>
          <w:color w:val="auto"/>
        </w:rPr>
        <w:t>/s/ Mark Hawkins</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Mark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Jeffrey R. Immelt</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Jeffrey R. Immelt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Aaron Jacobson</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Patrick J. Kerins</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Hilarie Koplow-McAdams</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Hilarie Koplow-McAdams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Vanessa Larco</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Julio C. Lopez</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Julio C.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Tiffany Le</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Tiffany 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Mohamad H. Makhzoumi</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Edward T. Mathers</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Gregory Papadopoulos</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Kavita Patel</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Kavita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Scott D. Sandell</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A. Brooke Seawell</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Peter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143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Peter Sonsini</w:t>
      </w: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Melissa Taunton</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Paul E. Walker</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Rick Yang</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557530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-127635</wp:posOffset>
            </wp:positionV>
            <wp:extent cx="2143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sectPr>
      <w:pgSz w:w="11900" w:h="16838" w:orient="portrait"/>
      <w:cols w:equalWidth="0" w:num="1">
        <w:col w:w="9019"/>
      </w:cols>
      <w:pgMar w:left="1440" w:top="12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2"/>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4"/>
      <w:numFmt w:val="bullet"/>
      <w:start w:val="1"/>
    </w:lvl>
  </w:abstractNum>
  <w:abstractNum w:abstractNumId="7">
    <w:nsid w:val="3352255A"/>
    <w:multiLevelType w:val="hybridMultilevel"/>
    <w:lvl w:ilvl="0">
      <w:lvlJc w:val="left"/>
      <w:lvlText w:val="2"/>
      <w:numFmt w:val="bullet"/>
      <w:start w:val="1"/>
    </w:lvl>
  </w:abstractNum>
  <w:abstractNum w:abstractNumId="8">
    <w:nsid w:val="109CF92E"/>
    <w:multiLevelType w:val="hybridMultilevel"/>
    <w:lvl w:ilvl="0">
      <w:lvlJc w:val="left"/>
      <w:lvlText w:val="3"/>
      <w:numFmt w:val="bullet"/>
      <w:start w:val="1"/>
    </w:lvl>
  </w:abstractNum>
  <w:abstractNum w:abstractNumId="9">
    <w:nsid w:val="DED7263"/>
    <w:multiLevelType w:val="hybridMultilevel"/>
    <w:lvl w:ilvl="0">
      <w:lvlJc w:val="left"/>
      <w:lvlText w:val="%1"/>
      <w:numFmt w:val="decimal"/>
      <w:start w:val="13"/>
    </w:lvl>
  </w:abstractNum>
  <w:abstractNum w:abstractNumId="10">
    <w:nsid w:val="7FDCC233"/>
    <w:multiLevelType w:val="hybridMultilevel"/>
    <w:lvl w:ilvl="0">
      <w:lvlJc w:val="left"/>
      <w:lvlText w:val="2"/>
      <w:numFmt w:val="bullet"/>
      <w:start w:val="1"/>
    </w:lvl>
  </w:abstractNum>
  <w:abstractNum w:abstractNumId="11">
    <w:nsid w:val="1BEFD79F"/>
    <w:multiLevelType w:val="hybridMultilevel"/>
    <w:lvl w:ilvl="0">
      <w:lvlJc w:val="left"/>
      <w:lvlText w:val="3"/>
      <w:numFmt w:val="bullet"/>
      <w:start w:val="1"/>
    </w:lvl>
  </w:abstractNum>
  <w:abstractNum w:abstractNumId="12">
    <w:nsid w:val="41A7C4C9"/>
    <w:multiLevelType w:val="hybridMultilevel"/>
    <w:lvl w:ilvl="0">
      <w:lvlJc w:val="left"/>
      <w:lvlText w:val="2"/>
      <w:numFmt w:val="bullet"/>
      <w:start w:val="1"/>
    </w:lvl>
  </w:abstractNum>
  <w:abstractNum w:abstractNumId="13">
    <w:nsid w:val="6B68079A"/>
    <w:multiLevelType w:val="hybridMultilevel"/>
    <w:lvl w:ilvl="0">
      <w:lvlJc w:val="left"/>
      <w:lvlText w:val="3"/>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3"/>
    </w:lvl>
  </w:abstractNum>
  <w:abstractNum w:abstractNumId="17">
    <w:nsid w:val="431BD7B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2025-01-21T19:38:42Z</dcterms:created>
  <dcterms:modified xsi:type="dcterms:W3CDTF">2025-01-21T19:38:42Z</dcterms:modified>
</cp:coreProperties>
</file>