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Ordinary Shares, nominal value £0.05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8"/>
        <w:spacing w:after="0"/>
        <w:rPr>
          <w:sz w:val="20"/>
          <w:szCs w:val="20"/>
          <w:color w:val="auto"/>
        </w:rPr>
      </w:pPr>
      <w:r>
        <w:rPr>
          <w:rFonts w:ascii="Arial" w:cs="Arial" w:eastAsia="Arial" w:hAnsi="Arial"/>
          <w:sz w:val="18"/>
          <w:szCs w:val="18"/>
          <w:color w:val="auto"/>
        </w:rPr>
        <w:t>(represented by American Depositary Shares)</w:t>
      </w:r>
    </w:p>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(CUSIP Number)</w:t>
      </w:r>
    </w:p>
    <w:p>
      <w:pPr>
        <w:spacing w:after="0" w:line="27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Authorized to Receive Notices and Communications)</w:t>
      </w:r>
    </w:p>
    <w:p>
      <w:pPr>
        <w:spacing w:after="0" w:line="26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July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8" w:lineRule="exact"/>
        <w:rPr>
          <w:sz w:val="24"/>
          <w:szCs w:val="24"/>
          <w:color w:val="auto"/>
        </w:rPr>
      </w:pPr>
    </w:p>
    <w:p>
      <w:pPr>
        <w:ind w:left="2"/>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6" w:lineRule="exact"/>
        <w:rPr>
          <w:sz w:val="24"/>
          <w:szCs w:val="24"/>
          <w:color w:val="auto"/>
        </w:rPr>
      </w:pPr>
    </w:p>
    <w:p>
      <w:pPr>
        <w:ind w:left="2" w:hanging="2"/>
        <w:spacing w:after="0" w:line="202" w:lineRule="auto"/>
        <w:tabs>
          <w:tab w:leader="none" w:pos="12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jc w:val="both"/>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125730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142875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22"/>
          </w:cols>
          <w:pgMar w:left="778" w:top="693" w:right="79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1095"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Equity Opportunities 17,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1095"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095"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Enterprise Associates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Partners 17,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891" w:right="339" w:bottom="609"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17 GP,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9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891" w:right="339" w:bottom="609"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609" w:gutter="0" w:footer="0" w:header="0"/>
          <w:type w:val="continuous"/>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648" w:right="339" w:bottom="852"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Equity Opportunities Fund IV,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852"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852" w:gutter="0" w:footer="0" w:header="0"/>
          <w:type w:val="continuous"/>
        </w:sectPr>
      </w:pP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999" w:right="339" w:bottom="501"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Enterprise Associates 15,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9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999" w:right="339" w:bottom="501"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501" w:gutter="0" w:footer="0" w:header="0"/>
          <w:type w:val="continuous"/>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36601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999" w:right="339" w:bottom="501"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Partners 15, L.P.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9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8"/>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8"/>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999" w:right="339" w:bottom="501"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501" w:gutter="0" w:footer="0" w:header="0"/>
          <w:type w:val="continuous"/>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36601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-148590</wp:posOffset>
            </wp:positionV>
            <wp:extent cx="23571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80" w:space="720"/>
            <w:col w:w="1660"/>
          </w:cols>
          <w:pgMar w:left="320" w:top="999" w:right="339" w:bottom="501"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 15 GP, LLC</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9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9"/>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9"/>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999" w:right="339" w:bottom="501"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501" w:gutter="0" w:footer="0" w:header="0"/>
          <w:type w:val="continuous"/>
        </w:sectPr>
      </w:pPr>
    </w:p>
    <w:bookmarkStart w:id="9" w:name="page10"/>
    <w:bookmarkEnd w:id="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36601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32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999" w:right="339" w:bottom="501"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Baskett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9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0"/>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0"/>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999" w:right="339" w:bottom="501"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501" w:gutter="0" w:footer="0" w:header="0"/>
          <w:type w:val="continuous"/>
        </w:sectPr>
      </w:pPr>
    </w:p>
    <w:bookmarkStart w:id="10" w:name="page11"/>
    <w:bookmarkEnd w:id="1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11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-148590</wp:posOffset>
            </wp:positionV>
            <wp:extent cx="23571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300" w:space="720"/>
            <w:col w:w="174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 Behbahani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1"/>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1"/>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1" w:name="page12"/>
    <w:bookmarkEnd w:id="1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58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12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03"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Carmen Chang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2"/>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2"/>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03"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03" w:gutter="0" w:footer="0" w:header="0"/>
          <w:type w:val="continuous"/>
        </w:sectPr>
      </w:pPr>
    </w:p>
    <w:bookmarkStart w:id="12" w:name="page13"/>
    <w:bookmarkEnd w:id="1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32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13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44"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A. Florence, Jr.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3"/>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3"/>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44"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44" w:gutter="0" w:footer="0" w:header="0"/>
          <w:type w:val="continuous"/>
        </w:sectPr>
      </w:pPr>
    </w:p>
    <w:bookmarkStart w:id="13" w:name="page14"/>
    <w:bookmarkEnd w:id="1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58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14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703"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Liza Landsman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4"/>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703"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703" w:gutter="0" w:footer="0" w:header="0"/>
          <w:type w:val="continuous"/>
        </w:sectPr>
      </w:pPr>
    </w:p>
    <w:bookmarkStart w:id="14" w:name="page15"/>
    <w:bookmarkEnd w:id="1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58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15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946"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Mohamad H. Makhzoumi</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5"/>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5"/>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946"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946" w:gutter="0" w:footer="0" w:header="0"/>
          <w:type w:val="continuous"/>
        </w:sectPr>
      </w:pPr>
    </w:p>
    <w:bookmarkStart w:id="15" w:name="page16"/>
    <w:bookmarkEnd w:id="1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314960</wp:posOffset>
            </wp:positionV>
            <wp:extent cx="7132320" cy="8658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16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946" w:gutter="0" w:footer="0" w:header="0"/>
        </w:sect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Joshua Makower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6"/>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6"/>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946"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946" w:gutter="0" w:footer="0" w:header="0"/>
          <w:type w:val="continuous"/>
        </w:sectPr>
      </w:pPr>
    </w:p>
    <w:bookmarkStart w:id="16" w:name="page17"/>
    <w:bookmarkEnd w:id="1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236601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58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17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1107" w:right="339" w:bottom="595"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Edward T. Mathers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1107" w:right="339" w:bottom="5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7"/>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7"/>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1107" w:right="339" w:bottom="595"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7" w:right="339" w:bottom="595" w:gutter="0" w:footer="0" w:header="0"/>
          <w:type w:val="continuous"/>
        </w:sectPr>
      </w:pPr>
    </w:p>
    <w:bookmarkStart w:id="17" w:name="page18"/>
    <w:bookmarkEnd w:id="1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58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18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756" w:right="339" w:bottom="703"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Scott D. Sandell</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756"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8"/>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8"/>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8"/>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756" w:right="339" w:bottom="703"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6" w:right="339" w:bottom="703" w:gutter="0" w:footer="0" w:header="0"/>
          <w:type w:val="continuous"/>
        </w:sectPr>
      </w:pPr>
    </w:p>
    <w:bookmarkStart w:id="18" w:name="page19"/>
    <w:bookmarkEnd w:id="1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75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675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19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756" w:right="339" w:bottom="676"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Peter W. Sonsini</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756" w:right="339" w:bottom="6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19"/>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42,638,131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19"/>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19"/>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42,638,131 shares</w:t>
      </w:r>
    </w:p>
    <w:p>
      <w:pPr>
        <w:spacing w:after="0" w:line="200" w:lineRule="exact"/>
        <w:rPr>
          <w:sz w:val="20"/>
          <w:szCs w:val="20"/>
          <w:color w:val="auto"/>
        </w:rPr>
      </w:pPr>
    </w:p>
    <w:p>
      <w:pPr>
        <w:sectPr>
          <w:pgSz w:w="11900" w:h="16838" w:orient="portrait"/>
          <w:cols w:equalWidth="0" w:num="2">
            <w:col w:w="1480" w:space="450"/>
            <w:col w:w="9310"/>
          </w:cols>
          <w:pgMar w:left="320" w:top="756" w:right="339" w:bottom="676"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42,638,131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6" w:right="339" w:bottom="676" w:gutter="0" w:footer="0" w:header="0"/>
          <w:type w:val="continuous"/>
        </w:sectPr>
      </w:pPr>
    </w:p>
    <w:bookmarkStart w:id="19" w:name="page20"/>
    <w:bookmarkEnd w:id="1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58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20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756" w:right="339" w:bottom="703"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Paul Walker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756"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20"/>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20"/>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20"/>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756" w:right="339" w:bottom="703"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6" w:right="339" w:bottom="703" w:gutter="0" w:footer="0" w:header="0"/>
          <w:type w:val="continuous"/>
        </w:sectPr>
      </w:pPr>
    </w:p>
    <w:bookmarkStart w:id="20" w:name="page21"/>
    <w:bookmarkEnd w:id="20"/>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246380</wp:posOffset>
            </wp:positionV>
            <wp:extent cx="7132320" cy="8658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21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811" w:gutter="0" w:footer="0" w:header="0"/>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6"/>
          <w:szCs w:val="2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6"/>
          <w:szCs w:val="2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6"/>
          <w:szCs w:val="2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Rick Yang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6"/>
                <w:szCs w:val="16"/>
                <w:color w:val="auto"/>
                <w:w w:val="91"/>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Arial" w:cs="Arial" w:eastAsia="Arial" w:hAnsi="Arial"/>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Arial" w:cs="Arial" w:eastAsia="Arial" w:hAnsi="Arial"/>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Arial" w:cs="Arial" w:eastAsia="Arial" w:hAnsi="Arial"/>
                <w:sz w:val="18"/>
                <w:szCs w:val="18"/>
                <w:b w:val="1"/>
                <w:bCs w:val="1"/>
                <w:color w:val="auto"/>
              </w:rPr>
              <w:t>United States citizen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48" w:right="339" w:bottom="8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Arial" w:cs="Arial" w:eastAsia="Arial" w:hAnsi="Arial"/>
                <w:sz w:val="29"/>
                <w:szCs w:val="29"/>
                <w:color w:val="auto"/>
                <w:w w:val="74"/>
              </w:rPr>
              <w:t>7.</w:t>
            </w:r>
          </w:p>
        </w:tc>
        <w:tc>
          <w:tcPr>
            <w:tcW w:w="2160" w:type="dxa"/>
            <w:vAlign w:val="bottom"/>
            <w:vMerge w:val="restart"/>
          </w:tcPr>
          <w:p>
            <w:pPr>
              <w:ind w:left="300"/>
              <w:spacing w:after="0"/>
              <w:rPr>
                <w:sz w:val="20"/>
                <w:szCs w:val="20"/>
                <w:color w:val="auto"/>
              </w:rPr>
            </w:pPr>
            <w:r>
              <w:rPr>
                <w:rFonts w:ascii="Arial" w:cs="Arial" w:eastAsia="Arial" w:hAnsi="Arial"/>
                <w:sz w:val="18"/>
                <w:szCs w:val="18"/>
                <w:color w:val="auto"/>
                <w:w w:val="94"/>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70" w:hanging="126"/>
        <w:spacing w:after="0"/>
        <w:tabs>
          <w:tab w:leader="none" w:pos="107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806"/>
        <w:spacing w:after="0" w:line="189" w:lineRule="auto"/>
        <w:tabs>
          <w:tab w:leader="none" w:pos="950" w:val="left"/>
        </w:tabs>
        <w:numPr>
          <w:ilvl w:val="0"/>
          <w:numId w:val="21"/>
        </w:numPr>
        <w:rPr>
          <w:rFonts w:ascii="Arial" w:cs="Arial" w:eastAsia="Arial" w:hAnsi="Arial"/>
          <w:sz w:val="58"/>
          <w:szCs w:val="58"/>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color w:val="auto"/>
          <w:vertAlign w:val="subscript"/>
        </w:rPr>
      </w:pPr>
    </w:p>
    <w:p>
      <w:pPr>
        <w:ind w:left="950"/>
        <w:spacing w:after="0"/>
        <w:rPr>
          <w:rFonts w:ascii="Arial" w:cs="Arial" w:eastAsia="Arial" w:hAnsi="Arial"/>
          <w:sz w:val="58"/>
          <w:szCs w:val="58"/>
          <w:color w:val="auto"/>
          <w:vertAlign w:val="subscript"/>
        </w:rPr>
      </w:pPr>
      <w:r>
        <w:rPr>
          <w:rFonts w:ascii="Arial" w:cs="Arial" w:eastAsia="Arial" w:hAnsi="Arial"/>
          <w:sz w:val="18"/>
          <w:szCs w:val="18"/>
          <w:b w:val="1"/>
          <w:bCs w:val="1"/>
          <w:color w:val="auto"/>
        </w:rPr>
        <w:t>31,111,112 shares</w:t>
      </w:r>
    </w:p>
    <w:p>
      <w:pPr>
        <w:spacing w:after="0" w:line="27" w:lineRule="exact"/>
        <w:rPr>
          <w:rFonts w:ascii="Arial" w:cs="Arial" w:eastAsia="Arial" w:hAnsi="Arial"/>
          <w:sz w:val="58"/>
          <w:szCs w:val="58"/>
          <w:color w:val="auto"/>
          <w:vertAlign w:val="subscript"/>
        </w:rPr>
      </w:pPr>
    </w:p>
    <w:p>
      <w:pPr>
        <w:ind w:left="950" w:hanging="806"/>
        <w:spacing w:after="0" w:line="189" w:lineRule="auto"/>
        <w:tabs>
          <w:tab w:leader="none" w:pos="950" w:val="left"/>
        </w:tabs>
        <w:numPr>
          <w:ilvl w:val="0"/>
          <w:numId w:val="21"/>
        </w:numPr>
        <w:rPr>
          <w:rFonts w:ascii="Arial" w:cs="Arial" w:eastAsia="Arial" w:hAnsi="Arial"/>
          <w:sz w:val="58"/>
          <w:szCs w:val="58"/>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color w:val="auto"/>
          <w:vertAlign w:val="subscript"/>
        </w:rPr>
      </w:pPr>
    </w:p>
    <w:p>
      <w:pPr>
        <w:ind w:left="1070" w:hanging="126"/>
        <w:spacing w:after="0"/>
        <w:tabs>
          <w:tab w:leader="none" w:pos="107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7" w:lineRule="exact"/>
        <w:rPr>
          <w:rFonts w:ascii="Arial" w:cs="Arial" w:eastAsia="Arial" w:hAnsi="Arial"/>
          <w:sz w:val="18"/>
          <w:szCs w:val="18"/>
          <w:b w:val="1"/>
          <w:bCs w:val="1"/>
          <w:color w:val="auto"/>
        </w:rPr>
      </w:pPr>
    </w:p>
    <w:p>
      <w:pPr>
        <w:ind w:left="950" w:hanging="950"/>
        <w:spacing w:after="0" w:line="207" w:lineRule="auto"/>
        <w:tabs>
          <w:tab w:leader="none" w:pos="950" w:val="left"/>
        </w:tabs>
        <w:numPr>
          <w:ilvl w:val="0"/>
          <w:numId w:val="21"/>
        </w:numPr>
        <w:rPr>
          <w:rFonts w:ascii="Arial" w:cs="Arial" w:eastAsia="Arial" w:hAnsi="Arial"/>
          <w:sz w:val="53"/>
          <w:szCs w:val="53"/>
          <w:color w:val="auto"/>
          <w:vertAlign w:val="subscript"/>
        </w:rPr>
      </w:pPr>
      <w:r>
        <w:rPr>
          <w:rFonts w:ascii="Arial" w:cs="Arial" w:eastAsia="Arial" w:hAnsi="Arial"/>
          <w:sz w:val="17"/>
          <w:szCs w:val="17"/>
          <w:color w:val="auto"/>
        </w:rPr>
        <w:t>SHARED DISPOSITIVE POWER</w:t>
      </w:r>
    </w:p>
    <w:p>
      <w:pPr>
        <w:spacing w:after="0" w:line="198" w:lineRule="exact"/>
        <w:rPr>
          <w:rFonts w:ascii="Arial" w:cs="Arial" w:eastAsia="Arial" w:hAnsi="Arial"/>
          <w:sz w:val="53"/>
          <w:szCs w:val="53"/>
          <w:color w:val="auto"/>
          <w:vertAlign w:val="subscript"/>
        </w:rPr>
      </w:pPr>
    </w:p>
    <w:p>
      <w:pPr>
        <w:ind w:left="950"/>
        <w:spacing w:after="0"/>
        <w:rPr>
          <w:rFonts w:ascii="Arial" w:cs="Arial" w:eastAsia="Arial" w:hAnsi="Arial"/>
          <w:sz w:val="53"/>
          <w:szCs w:val="53"/>
          <w:color w:val="auto"/>
          <w:vertAlign w:val="subscript"/>
        </w:rPr>
      </w:pPr>
      <w:r>
        <w:rPr>
          <w:rFonts w:ascii="Arial" w:cs="Arial" w:eastAsia="Arial" w:hAnsi="Arial"/>
          <w:sz w:val="18"/>
          <w:szCs w:val="18"/>
          <w:b w:val="1"/>
          <w:bCs w:val="1"/>
          <w:color w:val="auto"/>
        </w:rPr>
        <w:t>31,111,112 shares</w:t>
      </w:r>
    </w:p>
    <w:p>
      <w:pPr>
        <w:spacing w:after="0" w:line="200" w:lineRule="exact"/>
        <w:rPr>
          <w:sz w:val="20"/>
          <w:szCs w:val="20"/>
          <w:color w:val="auto"/>
        </w:rPr>
      </w:pPr>
    </w:p>
    <w:p>
      <w:pPr>
        <w:sectPr>
          <w:pgSz w:w="11900" w:h="16838" w:orient="portrait"/>
          <w:cols w:equalWidth="0" w:num="2">
            <w:col w:w="1480" w:space="450"/>
            <w:col w:w="9310"/>
          </w:cols>
          <w:pgMar w:left="320" w:top="648" w:right="339" w:bottom="811"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Arial" w:cs="Arial" w:eastAsia="Arial" w:hAnsi="Arial"/>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31,111,112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9"/>
                <w:szCs w:val="29"/>
                <w:color w:val="auto"/>
              </w:rPr>
              <w:t>12.</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13.</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5" w:lineRule="exact"/>
              <w:rPr>
                <w:sz w:val="20"/>
                <w:szCs w:val="20"/>
                <w:color w:val="auto"/>
              </w:rPr>
            </w:pPr>
            <w:r>
              <w:rPr>
                <w:rFonts w:ascii="Arial" w:cs="Arial" w:eastAsia="Arial" w:hAnsi="Arial"/>
                <w:sz w:val="22"/>
                <w:szCs w:val="22"/>
                <w:color w:val="auto"/>
              </w:rPr>
              <w:t>14.</w:t>
            </w: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811" w:gutter="0" w:footer="0" w:header="0"/>
          <w:type w:val="continuous"/>
        </w:sectPr>
      </w:pPr>
    </w:p>
    <w:bookmarkStart w:id="21" w:name="page22"/>
    <w:bookmarkEnd w:id="2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CUSIP No. 925050106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Security and Issuer</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b w:val="1"/>
          <w:bCs w:val="1"/>
          <w:color w:val="auto"/>
        </w:rPr>
        <w:t>13D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22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557" w:lineRule="exact"/>
        <w:rPr>
          <w:sz w:val="20"/>
          <w:szCs w:val="20"/>
          <w:color w:val="auto"/>
        </w:rPr>
      </w:pPr>
    </w:p>
    <w:p>
      <w:pPr>
        <w:sectPr>
          <w:pgSz w:w="11900" w:h="16838" w:orient="portrait"/>
          <w:cols w:equalWidth="0" w:num="3">
            <w:col w:w="4380" w:space="720"/>
            <w:col w:w="3660" w:space="720"/>
            <w:col w:w="1760"/>
          </w:cols>
          <w:pgMar w:left="320" w:top="756" w:right="339" w:bottom="1440" w:gutter="0" w:footer="0" w:header="0"/>
        </w:sectPr>
      </w:pPr>
    </w:p>
    <w:p>
      <w:pPr>
        <w:spacing w:after="0" w:line="29"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This Amendment No. 1 (“Amendment No. 1”) to Schedule 13D amends and restates the statement on Schedule 13D originally filed on May 9, 2017 relating to the ordinary shares, nominal value £0.05 per share (the “Ordinary Shares”), including Ordinary Shares represented by American Depositary Shares (the “ADS”), with each ADS representing eight Ordinary Shares, of Verona Pharma plc (the “Issuer”) having its principal executive office at 3 More London Riverside, London SE1 2RE, United Kingdom.</w:t>
      </w:r>
    </w:p>
    <w:p>
      <w:pPr>
        <w:spacing w:after="0" w:line="187" w:lineRule="exact"/>
        <w:rPr>
          <w:sz w:val="20"/>
          <w:szCs w:val="20"/>
          <w:color w:val="auto"/>
        </w:rPr>
      </w:pPr>
    </w:p>
    <w:p>
      <w:pPr>
        <w:jc w:val="both"/>
        <w:ind w:right="20" w:firstLine="810"/>
        <w:spacing w:after="0" w:line="308" w:lineRule="auto"/>
        <w:rPr>
          <w:sz w:val="20"/>
          <w:szCs w:val="20"/>
          <w:color w:val="auto"/>
        </w:rPr>
      </w:pPr>
      <w:r>
        <w:rPr>
          <w:rFonts w:ascii="Arial" w:cs="Arial" w:eastAsia="Arial" w:hAnsi="Arial"/>
          <w:sz w:val="17"/>
          <w:szCs w:val="17"/>
          <w:color w:val="auto"/>
        </w:rPr>
        <w:t>Certain terms used but not defined herein in this Amendment No. 1 have the meanings assigned thereto in the Schedule 13D. Except as specifically provided herein, this Amendment No. 1 does not modify any of the information previously reported on the Schedule 13D.</w:t>
      </w:r>
    </w:p>
    <w:p>
      <w:pPr>
        <w:spacing w:after="0" w:line="3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Identity and Background</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firstLine="818"/>
        <w:spacing w:after="0" w:line="277" w:lineRule="auto"/>
        <w:tabs>
          <w:tab w:leader="none" w:pos="10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Growth Equity Opportunities Fund IV, LLC (“GEO 15”), Growth Equity Opportunities 17, LLC (“GEO 17” and, together with GEO 15, the “GEO Entities”);</w:t>
      </w:r>
    </w:p>
    <w:p>
      <w:pPr>
        <w:spacing w:after="0" w:line="170" w:lineRule="exact"/>
        <w:rPr>
          <w:rFonts w:ascii="Arial" w:cs="Arial" w:eastAsia="Arial" w:hAnsi="Arial"/>
          <w:sz w:val="18"/>
          <w:szCs w:val="18"/>
          <w:color w:val="auto"/>
        </w:rPr>
      </w:pPr>
    </w:p>
    <w:p>
      <w:pPr>
        <w:jc w:val="both"/>
        <w:ind w:firstLine="818"/>
        <w:spacing w:after="0" w:line="275" w:lineRule="auto"/>
        <w:tabs>
          <w:tab w:leader="none" w:pos="10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Enterprise Associates 15, L.P. (“NEA 15”), which is the sole member of GEO 15, New Enterprise Associates 17, L.P. (“NEA 17” and, together with NEA 15, the “Funds”), which is the sole member of GEO 17; NEA Partners 15, L.P. (“NEA Partners 15”), which is the sole general partner of NEA 15, NEA Partners 17, L.P. (“NEA Partners 17” and, together with NEA Partners 15, the “GPLPs”), which is the sole general partner of NEA 17; and NEA 15 GP, LLC (“NEA 15 LLC”), which is the sole general partner of NEA Partners 15, NEA 17 GP, LLC (“NEA 17 LLC”, together with “NEA 15 LLC” the “GP LLCs” and, collectively with the GPLPs, the “Control Entities”), which is the sole general partner of NEA Partners 17; and</w:t>
      </w:r>
    </w:p>
    <w:p>
      <w:pPr>
        <w:spacing w:after="0" w:line="176" w:lineRule="exact"/>
        <w:rPr>
          <w:rFonts w:ascii="Arial" w:cs="Arial" w:eastAsia="Arial" w:hAnsi="Arial"/>
          <w:sz w:val="17"/>
          <w:szCs w:val="17"/>
          <w:color w:val="auto"/>
        </w:rPr>
      </w:pPr>
    </w:p>
    <w:p>
      <w:pPr>
        <w:jc w:val="both"/>
        <w:ind w:firstLine="818"/>
        <w:spacing w:after="0" w:line="259" w:lineRule="auto"/>
        <w:tabs>
          <w:tab w:leader="none" w:pos="10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Forest Baskett (“Baskett”), Ali Behbahani (“Behbahani”), Carmen Chang (“Chang”), Anthony A Florence, Jr. (“Florence”), Liza Landsman (“Landsman”), Mohamad H. Makhzoumi (“Makhzoumi”), Joshua Makower (“Makower”), Edward T. Mathers (“Mathers”), Scott D. Sandell (“Sandell”), Peter W. Sonsini (“Sonsini”), Paul Walker (“Walker”) and Rick Yang (“Yang”) (together, the “Managers”), Peter J. Barris (“Barris”), David M. Mott (“Mott”), Jon M. Sakoda (“Sakoda”) and Ravi Viswanathan (“Viswanathan”).</w:t>
      </w:r>
    </w:p>
    <w:p>
      <w:pPr>
        <w:spacing w:after="0" w:line="187"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Baskett, Florence, Makhzoumi, Makower, Sandell and Sonsini (the “Dual Managers”) are managers of the GP LLCs. Behbahani, Chang, Landsman, Mathers, Walker and Yang are managers of NEA 17 LLC.</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jc w:val="both"/>
        <w:ind w:firstLine="810"/>
        <w:spacing w:after="0" w:line="280" w:lineRule="auto"/>
        <w:rPr>
          <w:sz w:val="20"/>
          <w:szCs w:val="20"/>
          <w:color w:val="auto"/>
        </w:rPr>
      </w:pPr>
      <w:r>
        <w:rPr>
          <w:rFonts w:ascii="Arial" w:cs="Arial" w:eastAsia="Arial" w:hAnsi="Arial"/>
          <w:sz w:val="17"/>
          <w:szCs w:val="17"/>
          <w:color w:val="auto"/>
        </w:rPr>
        <w:t>The address of the principal business office of each GEO Entity and each Control Entity is New Enterprise Associates, 1954 Greenspring Drive, Suite 600, Timonium, MD 21093. The address of the principal business office of Behbahani and Mathers is New Enterprise Associates, 5425 Wisconsin Avenue, Suite 800, Chevy Chase, MD 20815. The address of the principal business office of Baskett, Chang, Makhzoumi, Makower, Sandell, Sonsini, Walker and Yang is New Enterprise Associates, 2855 Sand Hill Road, Menlo Park, California 94025. The address of the principal business office of Florence and Landsman is New Enterprise Associates, 104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ectPr>
          <w:pgSz w:w="11900" w:h="16838" w:orient="portrait"/>
          <w:cols w:equalWidth="0" w:num="1">
            <w:col w:w="11240"/>
          </w:cols>
          <w:pgMar w:left="320" w:top="756" w:right="339" w:bottom="1440" w:gutter="0" w:footer="0" w:header="0"/>
          <w:type w:val="continuous"/>
        </w:sectPr>
      </w:pPr>
    </w:p>
    <w:bookmarkStart w:id="22" w:name="page23"/>
    <w:bookmarkEnd w:id="2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6601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23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1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both"/>
        <w:ind w:firstLine="810"/>
        <w:spacing w:after="0" w:line="293" w:lineRule="auto"/>
        <w:rPr>
          <w:sz w:val="20"/>
          <w:szCs w:val="20"/>
          <w:color w:val="auto"/>
        </w:rPr>
      </w:pPr>
      <w:r>
        <w:rPr>
          <w:rFonts w:ascii="Arial" w:cs="Arial" w:eastAsia="Arial" w:hAnsi="Arial"/>
          <w:sz w:val="16"/>
          <w:szCs w:val="16"/>
          <w:color w:val="auto"/>
        </w:rPr>
        <w:t>The principal business of the GEO Entities and the Funds is to invest in and assist growth-oriented businesses located principally in the United States. The principal business of NEA Partners 15 is to act as the sole general partner of NEA 15. The principal business of NEA Partners 17 is to act as the sole general partner of NEA 17. The principal business of NEA 15 LLC is to act as the sole general partner of NEA Partners 15. The principal business of NEA 17 LLC is to act as the sole general partner of NEA Partners 17. The principal business of each of the Dual Managers is to manage the Control Entities, the GEO Entities and a number of affiliated partnerships with similar businesses. The principal business of each of Behbahani, Chang, Landsman, Mathers, Walker and Yang is to manage NEA 17 LLC, NEA Partners 17, NEA 17, GEO 17 and a number of affiliated partnerships with similar businesses.</w:t>
      </w:r>
    </w:p>
    <w:p>
      <w:pPr>
        <w:spacing w:after="0" w:line="164"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The GEO Entities and GP LLCs are limited liability companies organized under the laws of the State of Delaware. The Funds and the GPLPs are limited partnerships organized under the laws of the State of Delaware. Each of the Managers is a United States citizen.</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Source and Amount of Funds or Other Consideration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810"/>
        <w:spacing w:after="0" w:line="296" w:lineRule="auto"/>
        <w:rPr>
          <w:sz w:val="20"/>
          <w:szCs w:val="20"/>
          <w:color w:val="auto"/>
        </w:rPr>
      </w:pPr>
      <w:r>
        <w:rPr>
          <w:rFonts w:ascii="Arial" w:cs="Arial" w:eastAsia="Arial" w:hAnsi="Arial"/>
          <w:sz w:val="16"/>
          <w:szCs w:val="16"/>
          <w:color w:val="auto"/>
        </w:rPr>
        <w:t>On July 17, 2020, GEO 17 entered into a Securities Purchase Agreement among the Issuer, GEO 17 and certain other purchasers (the “Purchase Agreement”). The closing of the transaction contemplated by the Purchase Agreement took place on July 22, 2020 (the “Closing”), and at such closing GEO 17 acquired 3,888,889 ADS representing 31,111,112 Ordinary Shares (the “GEO 17 Shares”) at an aggregate purchase price of $17,500,000.50. Prior to the Closing, GEO 15 held 9,757,393 Ordinary Shares (the “GEO 15 Ordinary Shares”) and a warrant to purchase 1,769,626 Ordinary Shares (the “GEO 15 Warrant Shares”) and, together with the GEO 15 Ordinary Shares, the “GEO 15 Shares” and, collectively with the GEO 17 Shares, the “GEO Shares”).</w:t>
      </w:r>
    </w:p>
    <w:p>
      <w:pPr>
        <w:spacing w:after="0" w:line="161"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The working capital of GEO 15 was the source of the funds for the purchase of the GEO 15 Shares. The working capital of GEO 17 was the source of the funds for the purchase of the GEO 17 Shares. No part of the purchase price of the GEO Shares was represented by funds or other consideration borrowed or otherwise obtained for the purpose of acquiring, holding, trading or voting the GEO Shares.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Purpose of Transaction</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The GEO Entities acquired the GEO Shares for investment purposes. Depending on market conditions, its continuing evaluation of the business and prospects of the Issuer and other factors, the GEO Entities and other Reporting Persons may dispose of or acquire additional shares of the Issuer. Except as set forth above, none of the Reporting Persons has any present plans which relate to or would result in:</w:t>
      </w:r>
    </w:p>
    <w:p>
      <w:pPr>
        <w:spacing w:after="0" w:line="165" w:lineRule="exact"/>
        <w:rPr>
          <w:sz w:val="20"/>
          <w:szCs w:val="20"/>
          <w:color w:val="auto"/>
        </w:rPr>
      </w:pPr>
    </w:p>
    <w:p>
      <w:pPr>
        <w:ind w:left="1460" w:hanging="642"/>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48" w:lineRule="exact"/>
        <w:rPr>
          <w:rFonts w:ascii="Arial" w:cs="Arial" w:eastAsia="Arial" w:hAnsi="Arial"/>
          <w:sz w:val="16"/>
          <w:szCs w:val="16"/>
          <w:color w:val="auto"/>
        </w:rPr>
      </w:pPr>
    </w:p>
    <w:p>
      <w:pPr>
        <w:ind w:left="1460" w:hanging="642"/>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460" w:hanging="642"/>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460" w:hanging="642"/>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type w:val="continuous"/>
        </w:sectPr>
      </w:pPr>
    </w:p>
    <w:bookmarkStart w:id="23" w:name="page24"/>
    <w:bookmarkEnd w:id="2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36601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24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8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1460" w:hanging="642"/>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460" w:hanging="642"/>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460" w:right="20" w:hanging="642"/>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1460" w:hanging="642"/>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460" w:hanging="642"/>
        <w:spacing w:after="0" w:line="273" w:lineRule="auto"/>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GEO 15 is the record owner of the GEO 15 Shares. As the sole member of GEO 15, NEA 15 may be deemed to own beneficially the GEO 15 Shares. As the general partner of NEA 15, NEA Partners 15 may be deemed to own beneficially the GEO 15 Shares. As the sole general partner of NEA Partners 15, NEA 15 LLC may be deemed to own beneficially the GEO 15 Shares. GEO 17 is the record owner of the GEO 17 Shares. As the sole member of GEO 17, NEA 17 may be deemed to own beneficially the GEO 17 Shares. As the general partner of NEA 17, NEA Partners 17 may be deemed to own beneficially the GEO 17 Shares. As the sole general partner of NEA Partners 17, NEA 17 LLC may be deemed to own beneficially the GEO 17 Shares.</w:t>
      </w:r>
    </w:p>
    <w:p>
      <w:pPr>
        <w:spacing w:after="0" w:line="177" w:lineRule="exact"/>
        <w:rPr>
          <w:rFonts w:ascii="Arial" w:cs="Arial" w:eastAsia="Arial" w:hAnsi="Arial"/>
          <w:sz w:val="17"/>
          <w:szCs w:val="17"/>
          <w:color w:val="auto"/>
        </w:rPr>
      </w:pPr>
    </w:p>
    <w:p>
      <w:pPr>
        <w:jc w:val="both"/>
        <w:ind w:left="1440"/>
        <w:spacing w:after="0" w:line="255" w:lineRule="auto"/>
        <w:rPr>
          <w:rFonts w:ascii="Arial" w:cs="Arial" w:eastAsia="Arial" w:hAnsi="Arial"/>
          <w:sz w:val="17"/>
          <w:szCs w:val="17"/>
          <w:color w:val="auto"/>
        </w:rPr>
      </w:pPr>
      <w:r>
        <w:rPr>
          <w:rFonts w:ascii="Arial" w:cs="Arial" w:eastAsia="Arial" w:hAnsi="Arial"/>
          <w:sz w:val="18"/>
          <w:szCs w:val="18"/>
          <w:color w:val="auto"/>
        </w:rPr>
        <w:t>By virtue of their relationship as affiliated entities, whose Control Entities have overlapping individual controlling persons, each of the GEO Entities may be deemed to share the power to direct the disposition and vote of the GEO Shares. As sole members of the GEO Entities, each of the Funds may also be deemed to beneficially own the GEO Shares. As general partners of the Funds, each of the GPLPs may also be deemed to own beneficially the GEO Shares. As the sole general partner of NEA Partners 15, NEA 15 LLC may also be deemed to own beneficially the GEO Shares. As the sole general partner of NEA Partners 17, NEA 17 LLC may also be deemed to own beneficially the GEO Shares.</w:t>
      </w:r>
    </w:p>
    <w:p>
      <w:pPr>
        <w:spacing w:after="0" w:line="192" w:lineRule="exact"/>
        <w:rPr>
          <w:rFonts w:ascii="Arial" w:cs="Arial" w:eastAsia="Arial" w:hAnsi="Arial"/>
          <w:sz w:val="17"/>
          <w:szCs w:val="17"/>
          <w:color w:val="auto"/>
        </w:rPr>
      </w:pPr>
    </w:p>
    <w:p>
      <w:pPr>
        <w:jc w:val="both"/>
        <w:ind w:left="1440" w:right="20"/>
        <w:spacing w:after="0" w:line="263" w:lineRule="auto"/>
        <w:rPr>
          <w:rFonts w:ascii="Arial" w:cs="Arial" w:eastAsia="Arial" w:hAnsi="Arial"/>
          <w:sz w:val="17"/>
          <w:szCs w:val="17"/>
          <w:color w:val="auto"/>
        </w:rPr>
      </w:pPr>
      <w:r>
        <w:rPr>
          <w:rFonts w:ascii="Arial" w:cs="Arial" w:eastAsia="Arial" w:hAnsi="Arial"/>
          <w:sz w:val="18"/>
          <w:szCs w:val="18"/>
          <w:color w:val="auto"/>
        </w:rPr>
        <w:t>As individual managers of NEA 15 LLC and NEA 17 LLC, each of the Dual Managers may be deemed to own beneficially all of the GEO Shares. As managers of NEA 17 LLC, each of Behbahani, Chang, Landsman, Mathers, Walker and Yang may be deemed to own beneficially the GEO 17 Shares.</w:t>
      </w:r>
    </w:p>
    <w:p>
      <w:pPr>
        <w:spacing w:after="0" w:line="183"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6"/>
          <w:szCs w:val="16"/>
          <w:color w:val="auto"/>
        </w:rPr>
        <w:t>Each Reporting Person disclaims beneficial ownership of the GEO Shares other than those shares which such person owns of record.</w:t>
      </w:r>
    </w:p>
    <w:p>
      <w:pPr>
        <w:spacing w:after="0" w:line="248" w:lineRule="exact"/>
        <w:rPr>
          <w:rFonts w:ascii="Arial" w:cs="Arial" w:eastAsia="Arial" w:hAnsi="Arial"/>
          <w:sz w:val="17"/>
          <w:szCs w:val="17"/>
          <w:color w:val="auto"/>
        </w:rPr>
      </w:pPr>
    </w:p>
    <w:p>
      <w:pPr>
        <w:jc w:val="both"/>
        <w:ind w:left="1440"/>
        <w:spacing w:after="0" w:line="255" w:lineRule="auto"/>
        <w:rPr>
          <w:rFonts w:ascii="Arial" w:cs="Arial" w:eastAsia="Arial" w:hAnsi="Arial"/>
          <w:sz w:val="17"/>
          <w:szCs w:val="17"/>
          <w:color w:val="auto"/>
        </w:rPr>
      </w:pPr>
      <w:r>
        <w:rPr>
          <w:rFonts w:ascii="Arial" w:cs="Arial" w:eastAsia="Arial" w:hAnsi="Arial"/>
          <w:sz w:val="18"/>
          <w:szCs w:val="18"/>
          <w:color w:val="auto"/>
        </w:rPr>
        <w:t>The percentage of outstanding Ordinary Shares of the Issuer which may be deemed to be beneficially owned by each Reporting Person is set forth on Line 13 of such Reporting Person’s cover sheet. Such percentage was calculated based on 416,047,920 Ordinary Shares deemed to be outstanding, which includes (i) 414,278,294 shares of Ordinary Shares reported to be outstanding on the Issuer’s report on Form 6-K filed with the Securities and Exchange Commission on July 22, 2020 (the “Outstanding Shares”) and (ii) the GEO 15 Warrant Shares. The percentage set forth on the cover sheet for each of Behbahani, Chang, Landsman, Mathers, Walker and Yang is calculated based on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24" w:name="page25"/>
    <w:bookmarkEnd w:id="2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36601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25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8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60" w:hanging="642"/>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2080" w:hanging="641"/>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2080" w:hanging="641"/>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2080" w:hanging="641"/>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2080" w:hanging="641"/>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460" w:right="20" w:hanging="642"/>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has effected any transaction in the Ordinary Shares during the last 60 days.</w:t>
      </w:r>
    </w:p>
    <w:p>
      <w:pPr>
        <w:spacing w:after="0" w:line="170" w:lineRule="exact"/>
        <w:rPr>
          <w:rFonts w:ascii="Arial" w:cs="Arial" w:eastAsia="Arial" w:hAnsi="Arial"/>
          <w:sz w:val="18"/>
          <w:szCs w:val="18"/>
          <w:color w:val="auto"/>
        </w:rPr>
      </w:pPr>
    </w:p>
    <w:p>
      <w:pPr>
        <w:ind w:left="1460" w:hanging="642"/>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Shares beneficially owned by any of the Reporting Persons.</w:t>
      </w:r>
    </w:p>
    <w:p>
      <w:pPr>
        <w:spacing w:after="0" w:line="170" w:lineRule="exact"/>
        <w:rPr>
          <w:rFonts w:ascii="Arial" w:cs="Arial" w:eastAsia="Arial" w:hAnsi="Arial"/>
          <w:sz w:val="18"/>
          <w:szCs w:val="18"/>
          <w:color w:val="auto"/>
        </w:rPr>
      </w:pPr>
    </w:p>
    <w:p>
      <w:pPr>
        <w:ind w:left="1460" w:hanging="642"/>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Barris, Mott, Sakoda and Viswanathan has ceased to beneficially own five percent (5%) or more of the Issuer’s Common Stock as a result of ceasing to be managers of NEA 15 LLC.</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Material to be Filed as Exhibits</w:t>
      </w:r>
      <w:r>
        <w:rPr>
          <w:rFonts w:ascii="Arial" w:cs="Arial" w:eastAsia="Arial" w:hAnsi="Arial"/>
          <w:sz w:val="16"/>
          <w:szCs w:val="16"/>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2157730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25" w:name="page26"/>
    <w:bookmarkEnd w:id="2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26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43" w:lineRule="exact"/>
        <w:rPr>
          <w:sz w:val="20"/>
          <w:szCs w:val="20"/>
          <w:color w:val="auto"/>
        </w:rPr>
      </w:pPr>
    </w:p>
    <w:p>
      <w:pPr>
        <w:ind w:right="660" w:firstLine="697"/>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August, 2020.</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NEW ENTERPRISE ASSOCIATES 17, L.P.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Sole Member</w:t>
      </w:r>
    </w:p>
    <w:p>
      <w:pPr>
        <w:spacing w:after="0" w:line="31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NEA PARTNERS 17, L.P.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9160" w:type="dxa"/>
            <w:vAlign w:val="bottom"/>
            <w:gridSpan w:val="6"/>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6"/>
          </w:tcPr>
          <w:p>
            <w:pPr>
              <w:ind w:left="8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864"/>
        </w:trPr>
        <w:tc>
          <w:tcPr>
            <w:tcW w:w="11240" w:type="dxa"/>
            <w:vAlign w:val="bottom"/>
            <w:gridSpan w:val="10"/>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r>
      <w:tr>
        <w:trPr>
          <w:trHeight w:val="864"/>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864"/>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999"/>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type w:val="continuous"/>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925050106</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204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FUND IV,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6"/>
          </w:tcPr>
          <w:p>
            <w:pPr>
              <w:ind w:left="220"/>
              <w:spacing w:after="0"/>
              <w:rPr>
                <w:sz w:val="20"/>
                <w:szCs w:val="20"/>
                <w:color w:val="auto"/>
              </w:rPr>
            </w:pPr>
            <w:r>
              <w:rPr>
                <w:rFonts w:ascii="Arial" w:cs="Arial" w:eastAsia="Arial" w:hAnsi="Arial"/>
                <w:sz w:val="18"/>
                <w:szCs w:val="18"/>
                <w:color w:val="auto"/>
              </w:rPr>
              <w:t>NEW ENTERPRISE ASSOCIATES 15, L.P.</w:t>
            </w: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Sole Member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NEA PARTNERS 15, L.P.</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NEA 15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4500" w:type="dxa"/>
            <w:vAlign w:val="bottom"/>
            <w:gridSpan w:val="7"/>
          </w:tcPr>
          <w:p>
            <w:pPr>
              <w:spacing w:after="0"/>
              <w:rPr>
                <w:sz w:val="20"/>
                <w:szCs w:val="20"/>
                <w:color w:val="auto"/>
              </w:rPr>
            </w:pPr>
            <w:r>
              <w:rPr>
                <w:rFonts w:ascii="Arial" w:cs="Arial" w:eastAsia="Arial" w:hAnsi="Arial"/>
                <w:sz w:val="18"/>
                <w:szCs w:val="18"/>
                <w:color w:val="auto"/>
              </w:rPr>
              <w:t>NEW ENTERPRISE ASSOCIATES 15,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6"/>
          </w:tcPr>
          <w:p>
            <w:pPr>
              <w:ind w:left="220"/>
              <w:spacing w:after="0"/>
              <w:rPr>
                <w:sz w:val="20"/>
                <w:szCs w:val="20"/>
                <w:color w:val="auto"/>
              </w:rPr>
            </w:pPr>
            <w:r>
              <w:rPr>
                <w:rFonts w:ascii="Arial" w:cs="Arial" w:eastAsia="Arial" w:hAnsi="Arial"/>
                <w:sz w:val="18"/>
                <w:szCs w:val="18"/>
                <w:color w:val="auto"/>
              </w:rPr>
              <w:t>NEA PARTNERS 15, L.P.</w:t>
            </w: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NEA 15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General Partner</w:t>
            </w:r>
          </w:p>
        </w:tc>
      </w:tr>
      <w:tr>
        <w:trPr>
          <w:trHeight w:val="392"/>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2140" w:type="dxa"/>
            <w:vAlign w:val="bottom"/>
            <w:gridSpan w:val="4"/>
          </w:tcPr>
          <w:p>
            <w:pPr>
              <w:spacing w:after="0"/>
              <w:rPr>
                <w:sz w:val="20"/>
                <w:szCs w:val="20"/>
                <w:color w:val="auto"/>
              </w:rPr>
            </w:pPr>
            <w:r>
              <w:rPr>
                <w:rFonts w:ascii="Arial" w:cs="Arial" w:eastAsia="Arial" w:hAnsi="Arial"/>
                <w:sz w:val="18"/>
                <w:szCs w:val="18"/>
                <w:color w:val="auto"/>
              </w:rPr>
              <w:t>NEA PARTNERS 15, L.P.</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NEA 15 GP, LLC</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Louis S. Citron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3"/>
              </w:rPr>
              <w:t>Chief Legal Officer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NEA 15 GP, LLC</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-10160</wp:posOffset>
            </wp:positionV>
            <wp:extent cx="14852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Louis S. Citron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27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ectPr>
          <w:pgSz w:w="11900" w:h="16838" w:orient="portrait"/>
          <w:cols w:equalWidth="0" w:num="2">
            <w:col w:w="8760" w:space="720"/>
            <w:col w:w="1500"/>
          </w:cols>
          <w:pgMar w:left="320" w:top="578" w:right="599" w:bottom="1440" w:gutter="0" w:footer="0" w:header="0"/>
        </w:sectPr>
      </w:pPr>
    </w:p>
    <w:bookmarkStart w:id="27" w:name="page28"/>
    <w:bookmarkEnd w:id="2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b w:val="1"/>
          <w:bCs w:val="1"/>
          <w:color w:val="auto"/>
        </w:rPr>
        <w:t>CUSIP No. 925050106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Anthony A. Florence, Jr.</w:t>
      </w:r>
    </w:p>
    <w:p>
      <w:pPr>
        <w:spacing w:after="0" w:line="200" w:lineRule="exact"/>
        <w:rPr>
          <w:sz w:val="20"/>
          <w:szCs w:val="20"/>
          <w:color w:val="auto"/>
        </w:rPr>
      </w:pPr>
    </w:p>
    <w:p>
      <w:pPr>
        <w:spacing w:after="0" w:line="238"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364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Mohamad H. Makhzoumi</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8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6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28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0942" w:lineRule="exact"/>
        <w:rPr>
          <w:sz w:val="20"/>
          <w:szCs w:val="20"/>
          <w:color w:val="auto"/>
        </w:rPr>
      </w:pPr>
    </w:p>
    <w:p>
      <w:pPr>
        <w:sectPr>
          <w:pgSz w:w="11900" w:h="16838" w:orient="portrait"/>
          <w:cols w:equalWidth="0" w:num="3">
            <w:col w:w="4760" w:space="720"/>
            <w:col w:w="3280" w:space="720"/>
            <w:col w:w="1500"/>
          </w:cols>
          <w:pgMar w:left="320" w:top="648" w:right="599" w:bottom="1440" w:gutter="0" w:footer="0" w:header="0"/>
        </w:sect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-19050</wp:posOffset>
            </wp:positionV>
            <wp:extent cx="1675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Amendment No. 1 to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648" w:right="599" w:bottom="1440" w:gutter="0" w:footer="0" w:header="0"/>
          <w:type w:val="continuous"/>
        </w:sectPr>
      </w:pPr>
    </w:p>
    <w:bookmarkStart w:id="28" w:name="page29"/>
    <w:bookmarkEnd w:id="2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29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756" w:right="339" w:bottom="717" w:gutter="0" w:footer="0" w:header="0"/>
        </w:sectPr>
      </w:pPr>
    </w:p>
    <w:p>
      <w:pPr>
        <w:spacing w:after="0" w:line="129"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right="340" w:firstLine="693"/>
        <w:spacing w:after="0" w:line="342"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Verona Pharma plc.</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EXECUTED this 3</w:t>
      </w:r>
      <w:r>
        <w:rPr>
          <w:rFonts w:ascii="Arial" w:cs="Arial" w:eastAsia="Arial" w:hAnsi="Arial"/>
          <w:sz w:val="32"/>
          <w:szCs w:val="32"/>
          <w:color w:val="auto"/>
          <w:vertAlign w:val="superscript"/>
        </w:rPr>
        <w:t>rd</w:t>
      </w:r>
      <w:r>
        <w:rPr>
          <w:rFonts w:ascii="Arial" w:cs="Arial" w:eastAsia="Arial" w:hAnsi="Arial"/>
          <w:sz w:val="20"/>
          <w:szCs w:val="20"/>
          <w:color w:val="auto"/>
        </w:rPr>
        <w:t xml:space="preserve"> day of August, 2020</w:t>
      </w:r>
      <w:r>
        <w:rPr>
          <w:rFonts w:ascii="Arial" w:cs="Arial" w:eastAsia="Arial" w:hAnsi="Arial"/>
          <w:sz w:val="17"/>
          <w:szCs w:val="17"/>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NEW ENTERPRISE ASSOCIATES 17, L.P.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Sole Member</w:t>
      </w:r>
    </w:p>
    <w:p>
      <w:pPr>
        <w:spacing w:after="0" w:line="31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NEA PARTNERS 17, L.P.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0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9160" w:type="dxa"/>
            <w:vAlign w:val="bottom"/>
            <w:gridSpan w:val="6"/>
          </w:tcPr>
          <w:p>
            <w:pPr>
              <w:ind w:left="80"/>
              <w:spacing w:after="0"/>
              <w:rPr>
                <w:sz w:val="20"/>
                <w:szCs w:val="20"/>
                <w:color w:val="auto"/>
              </w:rPr>
            </w:pPr>
            <w:r>
              <w:rPr>
                <w:rFonts w:ascii="Arial" w:cs="Arial" w:eastAsia="Arial" w:hAnsi="Arial"/>
                <w:sz w:val="18"/>
                <w:szCs w:val="18"/>
                <w:color w:val="auto"/>
              </w:rPr>
              <w:t>NEA 17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6"/>
          </w:tcPr>
          <w:p>
            <w:pPr>
              <w:ind w:left="8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864"/>
        </w:trPr>
        <w:tc>
          <w:tcPr>
            <w:tcW w:w="11240" w:type="dxa"/>
            <w:vAlign w:val="bottom"/>
            <w:gridSpan w:val="10"/>
          </w:tcPr>
          <w:p>
            <w:pPr>
              <w:spacing w:after="0"/>
              <w:rPr>
                <w:sz w:val="20"/>
                <w:szCs w:val="20"/>
                <w:color w:val="auto"/>
              </w:rPr>
            </w:pPr>
            <w:r>
              <w:rPr>
                <w:rFonts w:ascii="Arial" w:cs="Arial" w:eastAsia="Arial" w:hAnsi="Arial"/>
                <w:sz w:val="18"/>
                <w:szCs w:val="18"/>
                <w:color w:val="auto"/>
              </w:rPr>
              <w:t>NEW ENTERPRISE ASSOCIATES 17,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5"/>
          </w:tcPr>
          <w:p>
            <w:pPr>
              <w:ind w:left="220"/>
              <w:spacing w:after="0"/>
              <w:rPr>
                <w:sz w:val="20"/>
                <w:szCs w:val="20"/>
                <w:color w:val="auto"/>
              </w:rPr>
            </w:pPr>
            <w:r>
              <w:rPr>
                <w:rFonts w:ascii="Arial" w:cs="Arial" w:eastAsia="Arial" w:hAnsi="Arial"/>
                <w:sz w:val="18"/>
                <w:szCs w:val="18"/>
                <w:color w:val="auto"/>
              </w:rPr>
              <w:t>NEA PARTNERS 17, L.P.</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NEA 17 GP, LLC</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rPr>
              <w:t>Scott D. Sandell</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r>
      <w:tr>
        <w:trPr>
          <w:trHeight w:val="864"/>
        </w:trPr>
        <w:tc>
          <w:tcPr>
            <w:tcW w:w="2080" w:type="dxa"/>
            <w:vAlign w:val="bottom"/>
            <w:gridSpan w:val="4"/>
          </w:tcPr>
          <w:p>
            <w:pPr>
              <w:spacing w:after="0"/>
              <w:rPr>
                <w:sz w:val="20"/>
                <w:szCs w:val="20"/>
                <w:color w:val="auto"/>
              </w:rPr>
            </w:pPr>
            <w:r>
              <w:rPr>
                <w:rFonts w:ascii="Arial" w:cs="Arial" w:eastAsia="Arial" w:hAnsi="Arial"/>
                <w:sz w:val="18"/>
                <w:szCs w:val="18"/>
                <w:color w:val="auto"/>
                <w:w w:val="99"/>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w w:val="98"/>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864"/>
        </w:trPr>
        <w:tc>
          <w:tcPr>
            <w:tcW w:w="1360" w:type="dxa"/>
            <w:vAlign w:val="bottom"/>
            <w:gridSpan w:val="3"/>
          </w:tcPr>
          <w:p>
            <w:pPr>
              <w:spacing w:after="0"/>
              <w:rPr>
                <w:sz w:val="20"/>
                <w:szCs w:val="20"/>
                <w:color w:val="auto"/>
              </w:rPr>
            </w:pPr>
            <w:r>
              <w:rPr>
                <w:rFonts w:ascii="Arial" w:cs="Arial" w:eastAsia="Arial" w:hAnsi="Arial"/>
                <w:sz w:val="18"/>
                <w:szCs w:val="18"/>
                <w:color w:val="auto"/>
                <w:w w:val="98"/>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Scott D. Sandell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999"/>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717" w:gutter="0" w:footer="0" w:header="0"/>
          <w:type w:val="continuous"/>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925050106</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204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FUND IV,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6"/>
          </w:tcPr>
          <w:p>
            <w:pPr>
              <w:ind w:left="220"/>
              <w:spacing w:after="0"/>
              <w:rPr>
                <w:sz w:val="20"/>
                <w:szCs w:val="20"/>
                <w:color w:val="auto"/>
              </w:rPr>
            </w:pPr>
            <w:r>
              <w:rPr>
                <w:rFonts w:ascii="Arial" w:cs="Arial" w:eastAsia="Arial" w:hAnsi="Arial"/>
                <w:sz w:val="18"/>
                <w:szCs w:val="18"/>
                <w:color w:val="auto"/>
              </w:rPr>
              <w:t>NEW ENTERPRISE ASSOCIATES 15, L.P.</w:t>
            </w: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Sole Member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NEA PARTNERS 15, L.P.</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NEA 15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4500" w:type="dxa"/>
            <w:vAlign w:val="bottom"/>
            <w:gridSpan w:val="7"/>
          </w:tcPr>
          <w:p>
            <w:pPr>
              <w:spacing w:after="0"/>
              <w:rPr>
                <w:sz w:val="20"/>
                <w:szCs w:val="20"/>
                <w:color w:val="auto"/>
              </w:rPr>
            </w:pPr>
            <w:r>
              <w:rPr>
                <w:rFonts w:ascii="Arial" w:cs="Arial" w:eastAsia="Arial" w:hAnsi="Arial"/>
                <w:sz w:val="18"/>
                <w:szCs w:val="18"/>
                <w:color w:val="auto"/>
              </w:rPr>
              <w:t>NEW ENTERPRISE ASSOCIATES 15,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6"/>
          </w:tcPr>
          <w:p>
            <w:pPr>
              <w:ind w:left="220"/>
              <w:spacing w:after="0"/>
              <w:rPr>
                <w:sz w:val="20"/>
                <w:szCs w:val="20"/>
                <w:color w:val="auto"/>
              </w:rPr>
            </w:pPr>
            <w:r>
              <w:rPr>
                <w:rFonts w:ascii="Arial" w:cs="Arial" w:eastAsia="Arial" w:hAnsi="Arial"/>
                <w:sz w:val="18"/>
                <w:szCs w:val="18"/>
                <w:color w:val="auto"/>
              </w:rPr>
              <w:t>NEA PARTNERS 15, L.P.</w:t>
            </w: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NEA 15 GP, LLC</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Arial" w:cs="Arial" w:eastAsia="Arial" w:hAnsi="Arial"/>
                <w:sz w:val="18"/>
                <w:szCs w:val="18"/>
                <w:color w:val="auto"/>
              </w:rPr>
              <w:t>General Partner</w:t>
            </w: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2140" w:type="dxa"/>
            <w:vAlign w:val="bottom"/>
            <w:gridSpan w:val="4"/>
          </w:tcPr>
          <w:p>
            <w:pPr>
              <w:spacing w:after="0"/>
              <w:rPr>
                <w:sz w:val="20"/>
                <w:szCs w:val="20"/>
                <w:color w:val="auto"/>
              </w:rPr>
            </w:pPr>
            <w:r>
              <w:rPr>
                <w:rFonts w:ascii="Arial" w:cs="Arial" w:eastAsia="Arial" w:hAnsi="Arial"/>
                <w:sz w:val="18"/>
                <w:szCs w:val="18"/>
                <w:color w:val="auto"/>
              </w:rPr>
              <w:t>NEA PARTNERS 15, L.P.</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NEA 15 GP, LLC</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Louis S. Citron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3"/>
              </w:rPr>
              <w:t>Chief Legal Officer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NEA 15 GP, LLC</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-10160</wp:posOffset>
            </wp:positionV>
            <wp:extent cx="14852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Louis S. Citron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30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ectPr>
          <w:pgSz w:w="11900" w:h="16838" w:orient="portrait"/>
          <w:cols w:equalWidth="0" w:num="2">
            <w:col w:w="8760" w:space="720"/>
            <w:col w:w="1500"/>
          </w:cols>
          <w:pgMar w:left="320" w:top="578" w:right="599" w:bottom="1440" w:gutter="0" w:footer="0" w:header="0"/>
        </w:sectPr>
      </w:pPr>
    </w:p>
    <w:bookmarkStart w:id="30" w:name="page31"/>
    <w:bookmarkEnd w:id="3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b w:val="1"/>
          <w:bCs w:val="1"/>
          <w:color w:val="auto"/>
        </w:rPr>
        <w:t>CUSIP No. 925050106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Anthony A. Florence, Jr.</w:t>
      </w:r>
    </w:p>
    <w:p>
      <w:pPr>
        <w:spacing w:after="0" w:line="200" w:lineRule="exact"/>
        <w:rPr>
          <w:sz w:val="20"/>
          <w:szCs w:val="20"/>
          <w:color w:val="auto"/>
        </w:rPr>
      </w:pPr>
    </w:p>
    <w:p>
      <w:pPr>
        <w:spacing w:after="0" w:line="238"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640"/>
        <w:spacing w:after="0"/>
        <w:rPr>
          <w:sz w:val="20"/>
          <w:szCs w:val="20"/>
          <w:color w:val="auto"/>
        </w:rPr>
      </w:pPr>
      <w:r>
        <w:rPr>
          <w:rFonts w:ascii="Arial" w:cs="Arial" w:eastAsia="Arial" w:hAnsi="Arial"/>
          <w:sz w:val="16"/>
          <w:szCs w:val="16"/>
          <w:color w:val="auto"/>
        </w:rPr>
        <w:t>Liza Landsman</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Mohamad H. Makhzoumi</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00" w:lineRule="exact"/>
        <w:rPr>
          <w:sz w:val="20"/>
          <w:szCs w:val="20"/>
          <w:color w:val="auto"/>
        </w:rPr>
      </w:pPr>
    </w:p>
    <w:p>
      <w:pPr>
        <w:spacing w:after="0" w:line="227"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jc w:val="right"/>
        <w:ind w:right="3580"/>
        <w:spacing w:after="0"/>
        <w:rPr>
          <w:sz w:val="20"/>
          <w:szCs w:val="20"/>
          <w:color w:val="auto"/>
        </w:rPr>
      </w:pPr>
      <w:r>
        <w:rPr>
          <w:rFonts w:ascii="Arial" w:cs="Arial" w:eastAsia="Arial" w:hAnsi="Arial"/>
          <w:sz w:val="16"/>
          <w:szCs w:val="16"/>
          <w:color w:val="auto"/>
        </w:rPr>
        <w:t>Scott D. Sandell</w:t>
      </w:r>
    </w:p>
    <w:p>
      <w:pPr>
        <w:spacing w:after="0" w:line="200" w:lineRule="exact"/>
        <w:rPr>
          <w:sz w:val="20"/>
          <w:szCs w:val="20"/>
          <w:color w:val="auto"/>
        </w:rPr>
      </w:pPr>
    </w:p>
    <w:p>
      <w:pPr>
        <w:spacing w:after="0" w:line="250"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jc w:val="right"/>
        <w:ind w:right="3560"/>
        <w:spacing w:after="0"/>
        <w:rPr>
          <w:sz w:val="20"/>
          <w:szCs w:val="20"/>
          <w:color w:val="auto"/>
        </w:rPr>
      </w:pPr>
      <w:r>
        <w:rPr>
          <w:rFonts w:ascii="Arial" w:cs="Arial" w:eastAsia="Arial" w:hAnsi="Arial"/>
          <w:sz w:val="16"/>
          <w:szCs w:val="16"/>
          <w:color w:val="auto"/>
        </w:rPr>
        <w:t>Peter W. Sonsini</w:t>
      </w: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31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10942" w:lineRule="exact"/>
        <w:rPr>
          <w:sz w:val="20"/>
          <w:szCs w:val="20"/>
          <w:color w:val="auto"/>
        </w:rPr>
      </w:pPr>
    </w:p>
    <w:p>
      <w:pPr>
        <w:sectPr>
          <w:pgSz w:w="11900" w:h="16838" w:orient="portrait"/>
          <w:cols w:equalWidth="0" w:num="3">
            <w:col w:w="4760" w:space="720"/>
            <w:col w:w="3280" w:space="720"/>
            <w:col w:w="1500"/>
          </w:cols>
          <w:pgMar w:left="320" w:top="648" w:right="599" w:bottom="1440" w:gutter="0" w:footer="0" w:header="0"/>
        </w:sect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-19050</wp:posOffset>
            </wp:positionV>
            <wp:extent cx="1675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7576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Agreement relating to Schedule 13D was executed by Sasha O.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8" w:right="599" w:bottom="1440" w:gutter="0" w:footer="0" w:header="0"/>
          <w:type w:val="continuous"/>
        </w:sectPr>
      </w:pPr>
    </w:p>
    <w:bookmarkStart w:id="31" w:name="page32"/>
    <w:bookmarkEnd w:id="3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32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23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3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 James Barrett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37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Peter J. Barris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Forest Baskett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Ali Behbahani</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25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Colin Bryant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34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Carmen Chang</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Anthony A. Florence,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Anthony A. Florence, Jr.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94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Carol G. Gallagher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7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Dayna Grayson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661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Patrick J. Kerins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503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2" w:name="page33"/>
    <w:bookmarkEnd w:id="3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1400"/>
        <w:spacing w:after="0"/>
        <w:rPr>
          <w:sz w:val="20"/>
          <w:szCs w:val="20"/>
          <w:color w:val="auto"/>
        </w:rPr>
      </w:pPr>
      <w:r>
        <w:rPr>
          <w:rFonts w:ascii="Arial" w:cs="Arial" w:eastAsia="Arial" w:hAnsi="Arial"/>
          <w:sz w:val="18"/>
          <w:szCs w:val="18"/>
          <w:b w:val="1"/>
          <w:bCs w:val="1"/>
          <w:color w:val="auto"/>
        </w:rPr>
        <w:t>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255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Vanessa Larco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5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Makower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Mohamad H. Makhzoumi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700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T. Mathers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M. Mott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03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Sara M. Nayeem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3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Jason R. Nunn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3011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Gregory Papadopoulos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3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Chetan Puttagunta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98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Sakoda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20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Brooke Seawell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8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4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Melissa Taunton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680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M. Torti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846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Ravi Viswanathan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50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E. Walker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2452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502920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33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ectPr>
          <w:pgSz w:w="11900" w:h="16838" w:orient="portrait"/>
          <w:cols w:equalWidth="0" w:num="3">
            <w:col w:w="3100" w:space="720"/>
            <w:col w:w="4860" w:space="720"/>
            <w:col w:w="1500"/>
          </w:cols>
          <w:pgMar w:left="400" w:top="648" w:right="599" w:bottom="1440" w:gutter="0" w:footer="0" w:header="0"/>
        </w:sectPr>
      </w:pPr>
    </w:p>
    <w:bookmarkStart w:id="33" w:name="page34"/>
    <w:bookmarkEnd w:id="3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CUSIP No. 925050106</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34 of 34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235712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3280" w:space="720"/>
            <w:col w:w="1760"/>
          </w:cols>
          <w:pgMar w:left="320" w:top="648" w:right="339" w:bottom="1440" w:gutter="0" w:footer="0" w:header="0"/>
        </w:sectPr>
      </w:pPr>
    </w:p>
    <w:p>
      <w:pPr>
        <w:spacing w:after="0" w:line="23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KNOW ALL MEN BY THESE PRESENTS, that the undersigned hereby constitutes and appoints Louis S. Citron, Timothy Schaller, Sasha Keough and Stephanie Brecher, and each of them, with full power to act without the others, her true and lawful attorney-in-fact, with full power of substitution, to sign any and all instruments, certificates and documents that may be necessary, desirable or appropriate to be executed on behalf of herself as an individual or in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she might or could do in person, thereby ratifying and confirming all that said attorney-in-fact,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1st day of April, 2020.</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1868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Liza Landsman</w:t>
      </w:r>
    </w:p>
    <w:sectPr>
      <w:pgSz w:w="11900" w:h="16838" w:orient="portrait"/>
      <w:cols w:equalWidth="0" w:num="1">
        <w:col w:w="11240"/>
      </w:cols>
      <w:pgMar w:left="320" w:top="64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7"/>
    </w:lvl>
    <w:lvl w:ilvl="1">
      <w:lvlJc w:val="left"/>
      <w:lvlText w:val="0"/>
      <w:numFmt w:val="bullet"/>
      <w:start w:val="1"/>
    </w:lvl>
  </w:abstractNum>
  <w:abstractNum w:abstractNumId="2">
    <w:nsid w:val="7FDCC233"/>
    <w:multiLevelType w:val="hybridMultilevel"/>
    <w:lvl w:ilvl="0">
      <w:lvlJc w:val="left"/>
      <w:lvlText w:val="%1."/>
      <w:numFmt w:val="decimal"/>
      <w:start w:val="7"/>
    </w:lvl>
    <w:lvl w:ilvl="1">
      <w:lvlJc w:val="left"/>
      <w:lvlText w:val="0"/>
      <w:numFmt w:val="bullet"/>
      <w:start w:val="1"/>
    </w:lvl>
  </w:abstractNum>
  <w:abstractNum w:abstractNumId="3">
    <w:nsid w:val="1BEFD79F"/>
    <w:multiLevelType w:val="hybridMultilevel"/>
    <w:lvl w:ilvl="0">
      <w:lvlJc w:val="left"/>
      <w:lvlText w:val="%1."/>
      <w:numFmt w:val="decimal"/>
      <w:start w:val="7"/>
    </w:lvl>
    <w:lvl w:ilvl="1">
      <w:lvlJc w:val="left"/>
      <w:lvlText w:val="0"/>
      <w:numFmt w:val="bullet"/>
      <w:start w:val="1"/>
    </w:lvl>
  </w:abstractNum>
  <w:abstractNum w:abstractNumId="4">
    <w:nsid w:val="41A7C4C9"/>
    <w:multiLevelType w:val="hybridMultilevel"/>
    <w:lvl w:ilvl="0">
      <w:lvlJc w:val="left"/>
      <w:lvlText w:val="%1."/>
      <w:numFmt w:val="decimal"/>
      <w:start w:val="7"/>
    </w:lvl>
    <w:lvl w:ilvl="1">
      <w:lvlJc w:val="left"/>
      <w:lvlText w:val="0"/>
      <w:numFmt w:val="bullet"/>
      <w:start w:val="1"/>
    </w:lvl>
  </w:abstractNum>
  <w:abstractNum w:abstractNumId="5">
    <w:nsid w:val="6B68079A"/>
    <w:multiLevelType w:val="hybridMultilevel"/>
    <w:lvl w:ilvl="0">
      <w:lvlJc w:val="left"/>
      <w:lvlText w:val="%1."/>
      <w:numFmt w:val="decimal"/>
      <w:start w:val="7"/>
    </w:lvl>
    <w:lvl w:ilvl="1">
      <w:lvlJc w:val="left"/>
      <w:lvlText w:val="0"/>
      <w:numFmt w:val="bullet"/>
      <w:start w:val="1"/>
    </w:lvl>
  </w:abstractNum>
  <w:abstractNum w:abstractNumId="6">
    <w:nsid w:val="4E6AFB66"/>
    <w:multiLevelType w:val="hybridMultilevel"/>
    <w:lvl w:ilvl="0">
      <w:lvlJc w:val="left"/>
      <w:lvlText w:val="%1."/>
      <w:numFmt w:val="decimal"/>
      <w:start w:val="7"/>
    </w:lvl>
    <w:lvl w:ilvl="1">
      <w:lvlJc w:val="left"/>
      <w:lvlText w:val="0"/>
      <w:numFmt w:val="bullet"/>
      <w:start w:val="1"/>
    </w:lvl>
  </w:abstractNum>
  <w:abstractNum w:abstractNumId="7">
    <w:nsid w:val="25E45D32"/>
    <w:multiLevelType w:val="hybridMultilevel"/>
    <w:lvl w:ilvl="0">
      <w:lvlJc w:val="left"/>
      <w:lvlText w:val="%1."/>
      <w:numFmt w:val="decimal"/>
      <w:start w:val="7"/>
    </w:lvl>
    <w:lvl w:ilvl="1">
      <w:lvlJc w:val="left"/>
      <w:lvlText w:val="0"/>
      <w:numFmt w:val="bullet"/>
      <w:start w:val="1"/>
    </w:lvl>
  </w:abstractNum>
  <w:abstractNum w:abstractNumId="8">
    <w:nsid w:val="519B500D"/>
    <w:multiLevelType w:val="hybridMultilevel"/>
    <w:lvl w:ilvl="0">
      <w:lvlJc w:val="left"/>
      <w:lvlText w:val="%1."/>
      <w:numFmt w:val="decimal"/>
      <w:start w:val="7"/>
    </w:lvl>
    <w:lvl w:ilvl="1">
      <w:lvlJc w:val="left"/>
      <w:lvlText w:val="0"/>
      <w:numFmt w:val="bullet"/>
      <w:start w:val="1"/>
    </w:lvl>
  </w:abstractNum>
  <w:abstractNum w:abstractNumId="9">
    <w:nsid w:val="431BD7B7"/>
    <w:multiLevelType w:val="hybridMultilevel"/>
    <w:lvl w:ilvl="0">
      <w:lvlJc w:val="left"/>
      <w:lvlText w:val="%1."/>
      <w:numFmt w:val="decimal"/>
      <w:start w:val="7"/>
    </w:lvl>
    <w:lvl w:ilvl="1">
      <w:lvlJc w:val="left"/>
      <w:lvlText w:val="0"/>
      <w:numFmt w:val="bullet"/>
      <w:start w:val="1"/>
    </w:lvl>
  </w:abstractNum>
  <w:abstractNum w:abstractNumId="10">
    <w:nsid w:val="3F2DBA31"/>
    <w:multiLevelType w:val="hybridMultilevel"/>
    <w:lvl w:ilvl="0">
      <w:lvlJc w:val="left"/>
      <w:lvlText w:val="%1."/>
      <w:numFmt w:val="decimal"/>
      <w:start w:val="7"/>
    </w:lvl>
    <w:lvl w:ilvl="1">
      <w:lvlJc w:val="left"/>
      <w:lvlText w:val="0"/>
      <w:numFmt w:val="bullet"/>
      <w:start w:val="1"/>
    </w:lvl>
  </w:abstractNum>
  <w:abstractNum w:abstractNumId="11">
    <w:nsid w:val="7C83E458"/>
    <w:multiLevelType w:val="hybridMultilevel"/>
    <w:lvl w:ilvl="0">
      <w:lvlJc w:val="left"/>
      <w:lvlText w:val="%1."/>
      <w:numFmt w:val="decimal"/>
      <w:start w:val="7"/>
    </w:lvl>
    <w:lvl w:ilvl="1">
      <w:lvlJc w:val="left"/>
      <w:lvlText w:val="0"/>
      <w:numFmt w:val="bullet"/>
      <w:start w:val="1"/>
    </w:lvl>
  </w:abstractNum>
  <w:abstractNum w:abstractNumId="12">
    <w:nsid w:val="257130A3"/>
    <w:multiLevelType w:val="hybridMultilevel"/>
    <w:lvl w:ilvl="0">
      <w:lvlJc w:val="left"/>
      <w:lvlText w:val="%1."/>
      <w:numFmt w:val="decimal"/>
      <w:start w:val="7"/>
    </w:lvl>
    <w:lvl w:ilvl="1">
      <w:lvlJc w:val="left"/>
      <w:lvlText w:val="0"/>
      <w:numFmt w:val="bullet"/>
      <w:start w:val="1"/>
    </w:lvl>
  </w:abstractNum>
  <w:abstractNum w:abstractNumId="13">
    <w:nsid w:val="62BBD95A"/>
    <w:multiLevelType w:val="hybridMultilevel"/>
    <w:lvl w:ilvl="0">
      <w:lvlJc w:val="left"/>
      <w:lvlText w:val="%1."/>
      <w:numFmt w:val="decimal"/>
      <w:start w:val="7"/>
    </w:lvl>
    <w:lvl w:ilvl="1">
      <w:lvlJc w:val="left"/>
      <w:lvlText w:val="0"/>
      <w:numFmt w:val="bullet"/>
      <w:start w:val="1"/>
    </w:lvl>
  </w:abstractNum>
  <w:abstractNum w:abstractNumId="14">
    <w:nsid w:val="436C6125"/>
    <w:multiLevelType w:val="hybridMultilevel"/>
    <w:lvl w:ilvl="0">
      <w:lvlJc w:val="left"/>
      <w:lvlText w:val="%1."/>
      <w:numFmt w:val="decimal"/>
      <w:start w:val="7"/>
    </w:lvl>
    <w:lvl w:ilvl="1">
      <w:lvlJc w:val="left"/>
      <w:lvlText w:val="0"/>
      <w:numFmt w:val="bullet"/>
      <w:start w:val="1"/>
    </w:lvl>
  </w:abstractNum>
  <w:abstractNum w:abstractNumId="15">
    <w:nsid w:val="628C895D"/>
    <w:multiLevelType w:val="hybridMultilevel"/>
    <w:lvl w:ilvl="0">
      <w:lvlJc w:val="left"/>
      <w:lvlText w:val="%1."/>
      <w:numFmt w:val="decimal"/>
      <w:start w:val="7"/>
    </w:lvl>
    <w:lvl w:ilvl="1">
      <w:lvlJc w:val="left"/>
      <w:lvlText w:val="0"/>
      <w:numFmt w:val="bullet"/>
      <w:start w:val="1"/>
    </w:lvl>
  </w:abstractNum>
  <w:abstractNum w:abstractNumId="16">
    <w:nsid w:val="333AB105"/>
    <w:multiLevelType w:val="hybridMultilevel"/>
    <w:lvl w:ilvl="0">
      <w:lvlJc w:val="left"/>
      <w:lvlText w:val="%1."/>
      <w:numFmt w:val="decimal"/>
      <w:start w:val="7"/>
    </w:lvl>
    <w:lvl w:ilvl="1">
      <w:lvlJc w:val="left"/>
      <w:lvlText w:val="0"/>
      <w:numFmt w:val="bullet"/>
      <w:start w:val="1"/>
    </w:lvl>
  </w:abstractNum>
  <w:abstractNum w:abstractNumId="17">
    <w:nsid w:val="721DA317"/>
    <w:multiLevelType w:val="hybridMultilevel"/>
    <w:lvl w:ilvl="0">
      <w:lvlJc w:val="left"/>
      <w:lvlText w:val="%1."/>
      <w:numFmt w:val="decimal"/>
      <w:start w:val="7"/>
    </w:lvl>
    <w:lvl w:ilvl="1">
      <w:lvlJc w:val="left"/>
      <w:lvlText w:val="0"/>
      <w:numFmt w:val="bullet"/>
      <w:start w:val="1"/>
    </w:lvl>
  </w:abstractNum>
  <w:abstractNum w:abstractNumId="18">
    <w:nsid w:val="2443A858"/>
    <w:multiLevelType w:val="hybridMultilevel"/>
    <w:lvl w:ilvl="0">
      <w:lvlJc w:val="left"/>
      <w:lvlText w:val="%1."/>
      <w:numFmt w:val="decimal"/>
      <w:start w:val="7"/>
    </w:lvl>
    <w:lvl w:ilvl="1">
      <w:lvlJc w:val="left"/>
      <w:lvlText w:val="0"/>
      <w:numFmt w:val="bullet"/>
      <w:start w:val="1"/>
    </w:lvl>
  </w:abstractNum>
  <w:abstractNum w:abstractNumId="19">
    <w:nsid w:val="2D1D5AE9"/>
    <w:multiLevelType w:val="hybridMultilevel"/>
    <w:lvl w:ilvl="0">
      <w:lvlJc w:val="left"/>
      <w:lvlText w:val="%1."/>
      <w:numFmt w:val="decimal"/>
      <w:start w:val="7"/>
    </w:lvl>
    <w:lvl w:ilvl="1">
      <w:lvlJc w:val="left"/>
      <w:lvlText w:val="0"/>
      <w:numFmt w:val="bullet"/>
      <w:start w:val="1"/>
    </w:lvl>
  </w:abstractNum>
  <w:abstractNum w:abstractNumId="20">
    <w:nsid w:val="6763845E"/>
    <w:multiLevelType w:val="hybridMultilevel"/>
    <w:lvl w:ilvl="0">
      <w:lvlJc w:val="left"/>
      <w:lvlText w:val="%1."/>
      <w:numFmt w:val="decimal"/>
      <w:start w:val="7"/>
    </w:lvl>
    <w:lvl w:ilvl="1">
      <w:lvlJc w:val="left"/>
      <w:lvlText w:val="0"/>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7"/>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2020-08-03T15:20:07Z</dcterms:created>
  <dcterms:modified xsi:type="dcterms:W3CDTF">2020-08-03T15:20:07Z</dcterms:modified>
</cp:coreProperties>
</file>