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4016-1_4seq1.xml.htm"/>
      <w:bookmarkStart w:id="1" w:name="kstm251401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ZACCARDELLI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8"/>
        <w:gridCol w:w="901"/>
        <w:gridCol w:w="773"/>
        <w:gridCol w:w="599"/>
        <w:gridCol w:w="338"/>
        <w:gridCol w:w="995"/>
        <w:gridCol w:w="424"/>
        <w:gridCol w:w="878"/>
        <w:gridCol w:w="1380"/>
        <w:gridCol w:w="961"/>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108,272</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8.9502</w:t>
            </w:r>
            <w:r>
              <w:rPr>
                <w:rFonts w:ascii="Times;serif" w:hAnsi="Times;serif"/>
                <w:color w:val="008000"/>
                <w:position w:val="7"/>
                <w:sz w:val="16"/>
                <w:sz w:val="20"/>
                <w:shd w:fill="FFFFFF" w:val="clear"/>
              </w:rPr>
              <w:t>(3)</w:t>
            </w:r>
            <w:r>
              <w:rPr/>
              <w:t xml:space="preserve"> </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14,268,904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14,468,904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78,736</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8.9502</w:t>
            </w:r>
            <w:r>
              <w:rPr>
                <w:rFonts w:ascii="Times;serif" w:hAnsi="Times;serif"/>
                <w:color w:val="008000"/>
                <w:position w:val="7"/>
                <w:sz w:val="16"/>
                <w:sz w:val="20"/>
                <w:shd w:fill="FFFFFF" w:val="clear"/>
              </w:rPr>
              <w:t>(3)</w:t>
            </w:r>
            <w:r>
              <w:rPr/>
              <w:t xml:space="preserve"> </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14,390,168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9.0938</w:t>
            </w:r>
            <w:r>
              <w:rPr>
                <w:rFonts w:ascii="Times;serif" w:hAnsi="Times;serif"/>
                <w:color w:val="008000"/>
                <w:position w:val="7"/>
                <w:sz w:val="16"/>
                <w:sz w:val="20"/>
                <w:shd w:fill="FFFFFF" w:val="clear"/>
              </w:rPr>
              <w:t>(6)</w:t>
            </w:r>
            <w:r>
              <w:rPr/>
              <w:t xml:space="preserve"> </w:t>
            </w:r>
          </w:p>
        </w:tc>
        <w:tc>
          <w:tcPr>
            <w:tcW w:w="1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13,990,168</w:t>
            </w:r>
            <w:r>
              <w:rPr>
                <w:rFonts w:ascii="Times;serif" w:hAnsi="Times;serif"/>
                <w:color w:val="008000"/>
                <w:position w:val="7"/>
                <w:sz w:val="16"/>
                <w:sz w:val="20"/>
                <w:shd w:fill="FFFFFF" w:val="clear"/>
              </w:rPr>
              <w:t>(7)</w:t>
            </w:r>
            <w:r>
              <w:rPr/>
              <w:t xml:space="preserve"> </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76"/>
        <w:gridCol w:w="906"/>
        <w:gridCol w:w="801"/>
        <w:gridCol w:w="861"/>
        <w:gridCol w:w="921"/>
        <w:gridCol w:w="801"/>
        <w:gridCol w:w="96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200,000</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instruction entered into on May 24, 2022 solely with the intent to cover taxes in connection with the vesting of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represents the sale price of the ADSs divided by eight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reported in this Form 4 was effected pursuant to a Rule 10b5-1 plan adopted on January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represents a weighted average price of the ADSs divided by eight (8). The securities were sold in multiple transactions at prices ranging from $8.91 to $9.2213 per Ordinary Share, inclusive (or $71.28 to $73.77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Consists of (i) 2,450,000 Ordinary Shares underlying Restricted Share Units, each of which represents a contingent right to receive one (1) Ordinary Share of the Issuer (which are represented by 306,250 ADSs); and (ii) 11,540,168 Ordinary Shares underlying 1,442,521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David Zaccardelli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27642"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959</Words>
  <Characters>5185</Characters>
  <CharactersWithSpaces>6058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