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08/01/2024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88,544</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80" w:type="dxa"/>
            <w:vAlign w:val="bottom"/>
            <w:tcBorders>
              <w:bottom w:val="single" w:sz="8" w:color="2C2C2C"/>
            </w:tcBorders>
            <w:gridSpan w:val="5"/>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2.8325</w:t>
            </w:r>
            <w:r>
              <w:rPr>
                <w:rFonts w:ascii="Times New Roman" w:cs="Times New Roman" w:eastAsia="Times New Roman" w:hAnsi="Times New Roman"/>
                <w:sz w:val="22"/>
                <w:szCs w:val="22"/>
                <w:color w:val="008000"/>
                <w:vertAlign w:val="superscript"/>
              </w:rPr>
              <w:t>(3)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14,854,488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July 31, 2024 divided by eight (8).</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12,029,488 Ordinary Shares underlying 1,503,686 ADSs.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Verona Pharma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280" w:hanging="634"/>
        <w:spacing w:after="0" w:line="25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280" w:right="20" w:hanging="634"/>
        <w:spacing w:after="0" w:line="25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61" w:right="459" w:bottom="1440" w:gutter="0" w:footer="0" w:header="0"/>
        </w:sectPr>
      </w:pPr>
    </w:p>
    <w:bookmarkStart w:id="2" w:name="page3"/>
    <w:bookmarkEnd w:id="2"/>
    <w:p>
      <w:pPr>
        <w:jc w:val="center"/>
        <w:ind w:right="-973"/>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33"/>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7" w:lineRule="exact"/>
        <w:rPr>
          <w:sz w:val="20"/>
          <w:szCs w:val="20"/>
          <w:color w:val="auto"/>
        </w:rPr>
      </w:pPr>
    </w:p>
    <w:p>
      <w:pPr>
        <w:jc w:val="center"/>
        <w:ind w:right="-973"/>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12" w:lineRule="exact"/>
        <w:rPr>
          <w:sz w:val="20"/>
          <w:szCs w:val="20"/>
          <w:color w:val="auto"/>
        </w:rPr>
      </w:pPr>
    </w:p>
    <w:p>
      <w:pPr>
        <w:ind w:left="653" w:hanging="653"/>
        <w:spacing w:after="0"/>
        <w:tabs>
          <w:tab w:leader="none" w:pos="6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438785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9993"/>
      </w:cols>
      <w:pgMar w:left="467"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2024-08-05T20:38:58Z</dcterms:created>
  <dcterms:modified xsi:type="dcterms:W3CDTF">2024-08-05T20:38:58Z</dcterms:modified>
</cp:coreProperties>
</file>