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Hahn Mark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10/24/2024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0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LONDON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X0</w:t>
            </w:r>
          </w:p>
        </w:tc>
        <w:tc>
          <w:tcPr>
            <w:tcW w:w="840" w:type="dxa"/>
            <w:vAlign w:val="bottom"/>
          </w:tcPr>
          <w:p>
            <w:pPr>
              <w:spacing w:after="0"/>
              <w:rPr>
                <w:sz w:val="10"/>
                <w:szCs w:val="10"/>
                <w:color w:val="auto"/>
              </w:rPr>
            </w:pPr>
          </w:p>
        </w:tc>
        <w:tc>
          <w:tcPr>
            <w:tcW w:w="14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SE1 2RE</w:t>
            </w: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10/24/2024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141,360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4.3772</w:t>
            </w:r>
            <w:r>
              <w:rPr>
                <w:rFonts w:ascii="Times New Roman" w:cs="Times New Roman" w:eastAsia="Times New Roman" w:hAnsi="Times New Roman"/>
                <w:sz w:val="22"/>
                <w:szCs w:val="22"/>
                <w:color w:val="008000"/>
                <w:w w:val="98"/>
                <w:vertAlign w:val="superscript"/>
              </w:rPr>
              <w:t>(3)</w:t>
            </w:r>
          </w:p>
        </w:tc>
        <w:tc>
          <w:tcPr>
            <w:tcW w:w="1220" w:type="dxa"/>
            <w:vAlign w:val="bottom"/>
            <w:tcBorders>
              <w:bottom w:val="single" w:sz="8" w:color="2C2C2C"/>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0000FF"/>
              </w:rPr>
              <w:t>13,672,560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10/25/2024</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jc w:val="right"/>
              <w:ind w:right="191"/>
              <w:spacing w:after="0"/>
              <w:rPr>
                <w:sz w:val="20"/>
                <w:szCs w:val="20"/>
                <w:color w:val="auto"/>
              </w:rPr>
            </w:pPr>
            <w:r>
              <w:rPr>
                <w:rFonts w:ascii="Times New Roman" w:cs="Times New Roman" w:eastAsia="Times New Roman" w:hAnsi="Times New Roman"/>
                <w:sz w:val="17"/>
                <w:szCs w:val="17"/>
                <w:color w:val="0000FF"/>
              </w:rPr>
              <w:t>3,200</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jc w:val="center"/>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4.375</w:t>
            </w:r>
          </w:p>
        </w:tc>
        <w:tc>
          <w:tcPr>
            <w:tcW w:w="1220" w:type="dxa"/>
            <w:vAlign w:val="bottom"/>
            <w:tcBorders>
              <w:bottom w:val="single" w:sz="8" w:color="2C2C2C"/>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0000FF"/>
              </w:rPr>
              <w:t>13,669,360</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instruction adopted on March 6,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$4.375 to $4.3975 per Ordinary Share, inclusive (or $35.00 to $35.18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2,825,000 Ordinary Shares underlying Restricted Share Units, each of which represents a contingent right to receive one (1) Ordinary Share of the Issuer (which are represented by 353,125 ADSs); and (ii) 10,844,360 Ordinary Shares underlying 1,355,545 ADSs.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Andrew Fisher, Attorney-</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10/25/2024</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Mark Hahn</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850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2024-10-25T18:58:23Z</dcterms:created>
  <dcterms:modified xsi:type="dcterms:W3CDTF">2024-10-25T18:58:23Z</dcterms:modified>
</cp:coreProperties>
</file>