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333-247928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F-1 REGISTRATION STATEMENT NO. 333-247928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00"/>
        <w:spacing w:after="0" w:line="208" w:lineRule="auto"/>
        <w:rPr>
          <w:sz w:val="20"/>
          <w:szCs w:val="20"/>
          <w:color w:val="auto"/>
        </w:rPr>
      </w:pPr>
      <w:r>
        <w:rPr>
          <w:rFonts w:ascii="Times New Roman" w:cs="Times New Roman" w:eastAsia="Times New Roman" w:hAnsi="Times New Roman"/>
          <w:sz w:val="18"/>
          <w:szCs w:val="18"/>
          <w:b w:val="1"/>
          <w:bCs w:val="1"/>
          <w:color w:val="auto"/>
        </w:rPr>
        <w:t>122 East 42nd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160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Peter N. Handrinos</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James Inness</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200 Clarendon Street</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99 Bishopsgate</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London EC2M 3XF</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(617) 948-6000</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r>
      <w:tr>
        <w:trPr>
          <w:trHeight w:val="238"/>
        </w:trPr>
        <w:tc>
          <w:tcPr>
            <w:tcW w:w="2940" w:type="dxa"/>
            <w:vAlign w:val="bottom"/>
          </w:tcPr>
          <w:p>
            <w:pPr>
              <w:spacing w:after="0"/>
              <w:rPr>
                <w:sz w:val="20"/>
                <w:szCs w:val="20"/>
                <w:color w:val="auto"/>
              </w:rPr>
            </w:pP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+44 20 7710-1000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Not applicable.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w:t>
      </w:r>
    </w:p>
    <w:p>
      <w:pPr>
        <w:sectPr>
          <w:pgSz w:w="11900" w:h="16838" w:orient="portrait"/>
          <w:cols w:equalWidth="0" w:num="1">
            <w:col w:w="11240"/>
          </w:cols>
          <w:pgMar w:left="320" w:top="468"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tc>
        <w:tc>
          <w:tcPr>
            <w:tcW w:w="10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7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0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0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Verona Pharma plc, a public limited company incorporated under the laws of England and Wales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filing this post-effective amendment (this “</w:t>
      </w:r>
      <w:r>
        <w:rPr>
          <w:rFonts w:ascii="Times New Roman" w:cs="Times New Roman" w:eastAsia="Times New Roman" w:hAnsi="Times New Roman"/>
          <w:sz w:val="18"/>
          <w:szCs w:val="18"/>
          <w:b w:val="1"/>
          <w:bCs w:val="1"/>
          <w:i w:val="1"/>
          <w:iCs w:val="1"/>
          <w:color w:val="auto"/>
        </w:rPr>
        <w:t>Post-Effective Amendment</w:t>
      </w:r>
      <w:r>
        <w:rPr>
          <w:rFonts w:ascii="Times New Roman" w:cs="Times New Roman" w:eastAsia="Times New Roman" w:hAnsi="Times New Roman"/>
          <w:sz w:val="18"/>
          <w:szCs w:val="18"/>
          <w:color w:val="auto"/>
        </w:rPr>
        <w:t>”) to the following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which was previously filed with the United States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to deregister any and all securities registered but unsold under such Registration Statement as of the date hereof:</w:t>
      </w:r>
    </w:p>
    <w:p>
      <w:pPr>
        <w:spacing w:after="0" w:line="180" w:lineRule="exact"/>
        <w:rPr>
          <w:sz w:val="20"/>
          <w:szCs w:val="20"/>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333-247928, initially filed with the SEC on Form F-1 on August 17, 2020 and as amended by Post-Effective Amendment No. 1 to Form F-1 on Form S-3 filed with the SEC on March 19, 2021, pertaining to the registration of 355,831,184 ordinary shares, nominal value £0.05 per share, of which 307,520,072 ordinary shares are in the form of the Company’s American Depositary Shares and 48,088,896 ordinary shares may be re-designated from the Company’s non-voting ordinary shares.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8, 2025, the Company entered into a transaction agreement (the “</w:t>
      </w:r>
      <w:r>
        <w:rPr>
          <w:rFonts w:ascii="Times New Roman" w:cs="Times New Roman" w:eastAsia="Times New Roman" w:hAnsi="Times New Roman"/>
          <w:sz w:val="18"/>
          <w:szCs w:val="18"/>
          <w:b w:val="1"/>
          <w:bCs w:val="1"/>
          <w:i w:val="1"/>
          <w:iCs w:val="1"/>
          <w:color w:val="auto"/>
        </w:rPr>
        <w:t>Transaction Agreement</w:t>
      </w:r>
      <w:r>
        <w:rPr>
          <w:rFonts w:ascii="Times New Roman" w:cs="Times New Roman" w:eastAsia="Times New Roman" w:hAnsi="Times New Roman"/>
          <w:sz w:val="18"/>
          <w:szCs w:val="18"/>
          <w:color w:val="auto"/>
        </w:rPr>
        <w:t>”) with Merck Sharp &amp; Dohme LLC, a New Jersey limited liability company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Vol Holdings LLC, a Delaware limited liability company and wholly owned subsidiary of Parent (“</w:t>
      </w:r>
      <w:r>
        <w:rPr>
          <w:rFonts w:ascii="Times New Roman" w:cs="Times New Roman" w:eastAsia="Times New Roman" w:hAnsi="Times New Roman"/>
          <w:sz w:val="18"/>
          <w:szCs w:val="18"/>
          <w:b w:val="1"/>
          <w:bCs w:val="1"/>
          <w:i w:val="1"/>
          <w:iCs w:val="1"/>
          <w:color w:val="auto"/>
        </w:rPr>
        <w:t>Bidco</w:t>
      </w:r>
      <w:r>
        <w:rPr>
          <w:rFonts w:ascii="Times New Roman" w:cs="Times New Roman" w:eastAsia="Times New Roman" w:hAnsi="Times New Roman"/>
          <w:sz w:val="18"/>
          <w:szCs w:val="18"/>
          <w:color w:val="auto"/>
        </w:rPr>
        <w:t>”), pursuant to which Bidco agreed to acquire the entire issued and to be issued share capital of the Company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by means of a court-sanctioned English law scheme of arrangement (the “</w:t>
      </w:r>
      <w:r>
        <w:rPr>
          <w:rFonts w:ascii="Times New Roman" w:cs="Times New Roman" w:eastAsia="Times New Roman" w:hAnsi="Times New Roman"/>
          <w:sz w:val="18"/>
          <w:szCs w:val="18"/>
          <w:b w:val="1"/>
          <w:bCs w:val="1"/>
          <w:i w:val="1"/>
          <w:iCs w:val="1"/>
          <w:color w:val="auto"/>
        </w:rPr>
        <w:t>Scheme of Arrangement</w:t>
      </w:r>
      <w:r>
        <w:rPr>
          <w:rFonts w:ascii="Times New Roman" w:cs="Times New Roman" w:eastAsia="Times New Roman" w:hAnsi="Times New Roman"/>
          <w:sz w:val="18"/>
          <w:szCs w:val="18"/>
          <w:color w:val="auto"/>
        </w:rPr>
        <w:t>”) under Part 26 of the Companies Act 2006. On October 6, 2025, the High Court of Justice of England and Wales (the “</w:t>
      </w:r>
      <w:r>
        <w:rPr>
          <w:rFonts w:ascii="Times New Roman" w:cs="Times New Roman" w:eastAsia="Times New Roman" w:hAnsi="Times New Roman"/>
          <w:sz w:val="18"/>
          <w:szCs w:val="18"/>
          <w:b w:val="1"/>
          <w:bCs w:val="1"/>
          <w:i w:val="1"/>
          <w:iCs w:val="1"/>
          <w:color w:val="auto"/>
        </w:rPr>
        <w:t>Court</w:t>
      </w:r>
      <w:r>
        <w:rPr>
          <w:rFonts w:ascii="Times New Roman" w:cs="Times New Roman" w:eastAsia="Times New Roman" w:hAnsi="Times New Roman"/>
          <w:sz w:val="18"/>
          <w:szCs w:val="18"/>
          <w:color w:val="auto"/>
        </w:rPr>
        <w:t>”) sanctioned the Scheme of Arrangement at a public hearing convened by the Court and the Company. On October 7, 2025, Merck and Bidco consummated the Transaction in accordance with the Transaction Agreement and the Scheme of Arrangement.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Transaction, the Company has terminated all offerings of the Company’s securities registered pursuant to its existing registration statements under the Securities Act of 1933, as amended, including the Registration Statement. The Company, by filing this Post-Effective Amendment, hereby terminates the effectiveness of the Registration Statement and removes from registration any and all securities registered for issuance under the Registration Statement that remain unsold as of the date hereof. This filing is made in accordance with an undertaking made by the Company in the Registration Statement to remove from registration by means of a post-effective amendment any securities that had been registered for issuance that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Post-Effective Amendment to the Registration Statement on Form S-3 to be signed on its behalf by the undersigned, thereunto duly authorized, in the City of London, United Kingdom on October 7, 2025.</w:t>
      </w:r>
    </w:p>
    <w:p>
      <w:pPr>
        <w:spacing w:after="0" w:line="3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Benjamin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Benjamin Lucas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Principal Executive Officer and Director</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to the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220" w:type="dxa"/>
            <w:vAlign w:val="bottom"/>
          </w:tcPr>
          <w:p>
            <w:pPr>
              <w:spacing w:after="0"/>
              <w:rPr>
                <w:sz w:val="21"/>
                <w:szCs w:val="21"/>
                <w:color w:val="auto"/>
              </w:rPr>
            </w:pPr>
          </w:p>
        </w:tc>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2"/>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Lucas</w:t>
            </w:r>
          </w:p>
        </w:tc>
        <w:tc>
          <w:tcPr>
            <w:tcW w:w="10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2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Benjamin Lucas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Ebru Can Temucin</w:t>
            </w:r>
          </w:p>
        </w:tc>
        <w:tc>
          <w:tcPr>
            <w:tcW w:w="10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Accounting Officer, Principal Financial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2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Ebru Can Temucin</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300" w:type="dxa"/>
            <w:vAlign w:val="bottom"/>
          </w:tcPr>
          <w:p>
            <w:pPr>
              <w:spacing w:after="0"/>
              <w:rPr>
                <w:sz w:val="24"/>
                <w:szCs w:val="24"/>
                <w:color w:val="auto"/>
              </w:rPr>
            </w:pPr>
          </w:p>
        </w:tc>
        <w:tc>
          <w:tcPr>
            <w:tcW w:w="67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tc>
        <w:tc>
          <w:tcPr>
            <w:tcW w:w="22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undersigned, the duly authorized representative in the United States of Verona Pharma plc, has signed this Post-Effective Amendment to the Registration Statement on Form S-3, in the City of New York, State of New York, on October 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p>
      <w:pPr>
        <w:spacing w:after="0" w:line="200" w:lineRule="exact"/>
        <w:rPr>
          <w:sz w:val="20"/>
          <w:szCs w:val="20"/>
          <w:color w:val="auto"/>
        </w:rPr>
      </w:pP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2025-10-07T11:58:26Z</dcterms:created>
  <dcterms:modified xsi:type="dcterms:W3CDTF">2025-10-07T11:58:26Z</dcterms:modified>
</cp:coreProperties>
</file>