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April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5"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00" w:lineRule="exact"/>
        <w:rPr>
          <w:sz w:val="20"/>
          <w:szCs w:val="20"/>
          <w:color w:val="auto"/>
        </w:rPr>
      </w:pPr>
    </w:p>
    <w:p>
      <w:pPr>
        <w:spacing w:after="0" w:line="263"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On April 16, 2020, Verona Pharma plc (the "Company") issued a press release (the "AGM Results Announcement") announcing that all resolutions proposed at the Annual General Meeting held on April 16, 2020, were duly approved by shareholders by way of a poll. The results of the poll are available on the "Investors" section of the Company’s website under "Shareholder Information", at www.veronapharma.com.</w:t>
      </w:r>
    </w:p>
    <w:p>
      <w:pPr>
        <w:spacing w:after="0" w:line="20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This report on Form 6-K, excluding Exhibit 1.1, is hereby incorporated by reference into the Company's Registration Statement on Form F-3 (File No. 333-225107) and Registration Statement on Form S-8 (File No. 333-217521).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AGM Results Announcement is furnished herewith as Exhibit 1.1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Exhibit</w:t>
            </w:r>
          </w:p>
        </w:tc>
        <w:tc>
          <w:tcPr>
            <w:tcW w:w="9420" w:type="dxa"/>
            <w:vAlign w:val="bottom"/>
          </w:tcPr>
          <w:p>
            <w:pPr>
              <w:spacing w:after="0"/>
              <w:rPr>
                <w:sz w:val="17"/>
                <w:szCs w:val="17"/>
                <w:color w:val="auto"/>
              </w:rPr>
            </w:pPr>
          </w:p>
        </w:tc>
      </w:tr>
      <w:tr>
        <w:trPr>
          <w:trHeight w:val="237"/>
        </w:trPr>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w:t>
            </w:r>
          </w:p>
        </w:tc>
        <w:tc>
          <w:tcPr>
            <w:tcW w:w="9420" w:type="dxa"/>
            <w:vAlign w:val="bottom"/>
          </w:tcPr>
          <w:p>
            <w:pPr>
              <w:ind w:left="4260"/>
              <w:spacing w:after="0"/>
              <w:rPr>
                <w:sz w:val="20"/>
                <w:szCs w:val="20"/>
                <w:color w:val="auto"/>
              </w:rPr>
            </w:pPr>
            <w:r>
              <w:rPr>
                <w:rFonts w:ascii="Arial" w:cs="Arial" w:eastAsia="Arial" w:hAnsi="Arial"/>
                <w:sz w:val="18"/>
                <w:szCs w:val="18"/>
                <w:color w:val="auto"/>
              </w:rPr>
              <w:t>Description</w:t>
            </w:r>
          </w:p>
        </w:tc>
      </w:tr>
      <w:tr>
        <w:trPr>
          <w:trHeight w:val="419"/>
        </w:trPr>
        <w:tc>
          <w:tcPr>
            <w:tcW w:w="1580" w:type="dxa"/>
            <w:vAlign w:val="bottom"/>
            <w:tcBorders>
              <w:top w:val="single" w:sz="8" w:color="auto"/>
            </w:tcBorders>
          </w:tcPr>
          <w:p>
            <w:pPr>
              <w:jc w:val="right"/>
              <w:ind w:right="121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1.1</w:t>
              </w:r>
            </w:hyperlink>
          </w:p>
        </w:tc>
        <w:tc>
          <w:tcPr>
            <w:tcW w:w="240" w:type="dxa"/>
            <w:vAlign w:val="bottom"/>
          </w:tcPr>
          <w:p>
            <w:pPr>
              <w:spacing w:after="0"/>
              <w:rPr>
                <w:sz w:val="24"/>
                <w:szCs w:val="24"/>
                <w:color w:val="auto"/>
              </w:rPr>
            </w:pPr>
          </w:p>
        </w:tc>
        <w:tc>
          <w:tcPr>
            <w:tcW w:w="94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AGM Results Announcement</w:t>
              </w:r>
            </w:hyperlink>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080" w:type="dxa"/>
        <w:tblCellMar>
          <w:top w:w="0" w:type="dxa"/>
          <w:left w:w="0" w:type="dxa"/>
          <w:bottom w:w="0" w:type="dxa"/>
          <w:right w:w="0" w:type="dxa"/>
        </w:tblCellMar>
      </w:tblPr>
      <w:tr>
        <w:trPr>
          <w:trHeight w:val="224"/>
        </w:trPr>
        <w:tc>
          <w:tcPr>
            <w:tcW w:w="2540" w:type="dxa"/>
            <w:vAlign w:val="bottom"/>
          </w:tcPr>
          <w:p>
            <w:pPr>
              <w:spacing w:after="0"/>
              <w:rPr>
                <w:sz w:val="20"/>
                <w:szCs w:val="20"/>
                <w:color w:val="auto"/>
              </w:rPr>
            </w:pPr>
            <w:r>
              <w:rPr>
                <w:rFonts w:ascii="Arial" w:cs="Arial" w:eastAsia="Arial" w:hAnsi="Arial"/>
                <w:sz w:val="18"/>
                <w:szCs w:val="18"/>
                <w:color w:val="auto"/>
              </w:rPr>
              <w:t>Date: April 16, 2020</w:t>
            </w:r>
          </w:p>
        </w:tc>
        <w:tc>
          <w:tcPr>
            <w:tcW w:w="1540" w:type="dxa"/>
            <w:vAlign w:val="bottom"/>
          </w:tcPr>
          <w:p>
            <w:pPr>
              <w:ind w:left="92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Claire Poll</w:t>
            </w:r>
          </w:p>
        </w:tc>
        <w:tc>
          <w:tcPr>
            <w:tcW w:w="3760" w:type="dxa"/>
            <w:vAlign w:val="bottom"/>
            <w:tcBorders>
              <w:bottom w:val="single" w:sz="8" w:color="auto"/>
            </w:tcBorders>
          </w:tcPr>
          <w:p>
            <w:pPr>
              <w:spacing w:after="0"/>
              <w:rPr>
                <w:sz w:val="19"/>
                <w:szCs w:val="19"/>
                <w:color w:val="auto"/>
              </w:rPr>
            </w:pPr>
          </w:p>
        </w:tc>
      </w:tr>
      <w:tr>
        <w:trPr>
          <w:trHeight w:val="243"/>
        </w:trPr>
        <w:tc>
          <w:tcPr>
            <w:tcW w:w="2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Name:</w:t>
            </w:r>
          </w:p>
        </w:tc>
        <w:tc>
          <w:tcPr>
            <w:tcW w:w="3760" w:type="dxa"/>
            <w:vAlign w:val="bottom"/>
          </w:tcPr>
          <w:p>
            <w:pPr>
              <w:ind w:left="140"/>
              <w:spacing w:after="0"/>
              <w:rPr>
                <w:sz w:val="20"/>
                <w:szCs w:val="20"/>
                <w:color w:val="auto"/>
              </w:rPr>
            </w:pPr>
            <w:r>
              <w:rPr>
                <w:rFonts w:ascii="Arial" w:cs="Arial" w:eastAsia="Arial" w:hAnsi="Arial"/>
                <w:sz w:val="18"/>
                <w:szCs w:val="18"/>
                <w:color w:val="auto"/>
              </w:rPr>
              <w:t>Claire Poll</w:t>
            </w:r>
          </w:p>
        </w:tc>
      </w:tr>
      <w:tr>
        <w:trPr>
          <w:trHeight w:val="270"/>
        </w:trPr>
        <w:tc>
          <w:tcPr>
            <w:tcW w:w="25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Title:</w:t>
            </w:r>
          </w:p>
        </w:tc>
        <w:tc>
          <w:tcPr>
            <w:tcW w:w="3760" w:type="dxa"/>
            <w:vAlign w:val="bottom"/>
          </w:tcPr>
          <w:p>
            <w:pPr>
              <w:ind w:left="14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240"/>
          </w:cols>
          <w:pgMar w:left="320" w:top="54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1666240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5574665</wp:posOffset>
            </wp:positionH>
            <wp:positionV relativeFrom="page">
              <wp:posOffset>774700</wp:posOffset>
            </wp:positionV>
            <wp:extent cx="1765935" cy="69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659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AGM</w:t>
      </w:r>
    </w:p>
    <w:p>
      <w:pPr>
        <w:spacing w:after="0" w:line="200" w:lineRule="exact"/>
        <w:rPr>
          <w:sz w:val="20"/>
          <w:szCs w:val="20"/>
          <w:color w:val="auto"/>
        </w:rPr>
      </w:pP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LONDON, April 16, 2020, - Verona Pharma plc (AIM: VRP) (Nasdaq: VRNA) (“Verona Pharma”), a clinical-stage biopharmaceutical company focused on developing and commercializing innovative therapies for respiratory diseases,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Verona Pharma is currently evaluating three formulations of ensifentrine for the treatment of COPD in Phase 2 clinical trials: nebulized, dry powder inhaler, and pressurized metered-dose inhaler. Ensifentrine also has potential applications in cystic fibrosis, asthma and other respiratory diseases. For more information, please visit www.veronapharma.com.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0" w:type="dxa"/>
            <w:vAlign w:val="bottom"/>
            <w:tcBorders>
              <w:right w:val="single" w:sz="8" w:color="BFBFBF"/>
            </w:tcBorders>
          </w:tcPr>
          <w:p>
            <w:pPr>
              <w:spacing w:after="0"/>
              <w:rPr>
                <w:sz w:val="22"/>
                <w:szCs w:val="22"/>
                <w:color w:val="auto"/>
              </w:rPr>
            </w:pPr>
          </w:p>
        </w:tc>
        <w:tc>
          <w:tcPr>
            <w:tcW w:w="6280" w:type="dxa"/>
            <w:vAlign w:val="bottom"/>
            <w:tcBorders>
              <w:top w:val="single" w:sz="8" w:color="BFBFBF"/>
              <w:bottom w:val="single" w:sz="8" w:color="BFBFBF"/>
              <w:right w:val="single" w:sz="8" w:color="BFBFBF"/>
            </w:tcBorders>
          </w:tcPr>
          <w:p>
            <w:pPr>
              <w:spacing w:after="0"/>
              <w:rPr>
                <w:sz w:val="20"/>
                <w:szCs w:val="20"/>
                <w:color w:val="auto"/>
              </w:rPr>
            </w:pPr>
            <w:r>
              <w:rPr>
                <w:rFonts w:ascii="Arial" w:cs="Arial" w:eastAsia="Arial" w:hAnsi="Arial"/>
                <w:sz w:val="18"/>
                <w:szCs w:val="18"/>
                <w:b w:val="1"/>
                <w:bCs w:val="1"/>
                <w:color w:val="auto"/>
              </w:rPr>
              <w:t>Verona Pharma plc</w:t>
            </w:r>
          </w:p>
        </w:tc>
        <w:tc>
          <w:tcPr>
            <w:tcW w:w="660" w:type="dxa"/>
            <w:vAlign w:val="bottom"/>
            <w:tcBorders>
              <w:top w:val="single" w:sz="8" w:color="BFBFBF"/>
              <w:bottom w:val="single" w:sz="8" w:color="BFBFBF"/>
            </w:tcBorders>
          </w:tcPr>
          <w:p>
            <w:pPr>
              <w:spacing w:after="0"/>
              <w:rPr>
                <w:sz w:val="20"/>
                <w:szCs w:val="20"/>
                <w:color w:val="auto"/>
              </w:rPr>
            </w:pPr>
            <w:r>
              <w:rPr>
                <w:rFonts w:ascii="Arial" w:cs="Arial" w:eastAsia="Arial" w:hAnsi="Arial"/>
                <w:sz w:val="18"/>
                <w:szCs w:val="18"/>
                <w:color w:val="auto"/>
                <w:w w:val="97"/>
              </w:rPr>
              <w:t>Tel: +44</w:t>
            </w:r>
          </w:p>
        </w:tc>
        <w:tc>
          <w:tcPr>
            <w:tcW w:w="3000" w:type="dxa"/>
            <w:vAlign w:val="bottom"/>
            <w:tcBorders>
              <w:top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(0)20 3283 4200</w:t>
            </w:r>
          </w:p>
        </w:tc>
        <w:tc>
          <w:tcPr>
            <w:tcW w:w="620" w:type="dxa"/>
            <w:vAlign w:val="bottom"/>
          </w:tcPr>
          <w:p>
            <w:pPr>
              <w:spacing w:after="0"/>
              <w:rPr>
                <w:sz w:val="22"/>
                <w:szCs w:val="22"/>
                <w:color w:val="auto"/>
              </w:rPr>
            </w:pPr>
          </w:p>
        </w:tc>
      </w:tr>
      <w:tr>
        <w:trPr>
          <w:trHeight w:val="250"/>
        </w:trPr>
        <w:tc>
          <w:tcPr>
            <w:tcW w:w="680" w:type="dxa"/>
            <w:vAlign w:val="bottom"/>
            <w:tcBorders>
              <w:right w:val="single" w:sz="8" w:color="BFBFBF"/>
            </w:tcBorders>
          </w:tcPr>
          <w:p>
            <w:pPr>
              <w:spacing w:after="0"/>
              <w:rPr>
                <w:sz w:val="21"/>
                <w:szCs w:val="21"/>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Victoria Stewart, Director of Communications</w:t>
            </w:r>
          </w:p>
        </w:tc>
        <w:tc>
          <w:tcPr>
            <w:tcW w:w="3660" w:type="dxa"/>
            <w:vAlign w:val="bottom"/>
            <w:tcBorders>
              <w:bottom w:val="single" w:sz="8" w:color="BFBFBF"/>
              <w:right w:val="single" w:sz="8" w:color="BFBFBF"/>
            </w:tcBorders>
            <w:gridSpan w:val="2"/>
          </w:tcPr>
          <w:p>
            <w:pPr>
              <w:spacing w:after="0"/>
              <w:rPr>
                <w:sz w:val="20"/>
                <w:szCs w:val="20"/>
                <w:color w:val="auto"/>
              </w:rPr>
            </w:pPr>
            <w:r>
              <w:rPr>
                <w:rFonts w:ascii="Arial" w:cs="Arial" w:eastAsia="Arial" w:hAnsi="Arial"/>
                <w:sz w:val="18"/>
                <w:szCs w:val="18"/>
                <w:color w:val="auto"/>
              </w:rPr>
              <w:t>info@veronapharma.com</w:t>
            </w:r>
          </w:p>
        </w:tc>
        <w:tc>
          <w:tcPr>
            <w:tcW w:w="620" w:type="dxa"/>
            <w:vAlign w:val="bottom"/>
          </w:tcPr>
          <w:p>
            <w:pPr>
              <w:spacing w:after="0"/>
              <w:rPr>
                <w:sz w:val="21"/>
                <w:szCs w:val="21"/>
                <w:color w:val="auto"/>
              </w:rPr>
            </w:pPr>
          </w:p>
        </w:tc>
      </w:tr>
      <w:tr>
        <w:trPr>
          <w:trHeight w:val="216"/>
        </w:trPr>
        <w:tc>
          <w:tcPr>
            <w:tcW w:w="680" w:type="dxa"/>
            <w:vAlign w:val="bottom"/>
            <w:tcBorders>
              <w:right w:val="single" w:sz="8" w:color="BFBFBF"/>
            </w:tcBorders>
          </w:tcPr>
          <w:p>
            <w:pPr>
              <w:spacing w:after="0"/>
              <w:rPr>
                <w:sz w:val="18"/>
                <w:szCs w:val="18"/>
                <w:color w:val="auto"/>
              </w:rPr>
            </w:pPr>
          </w:p>
        </w:tc>
        <w:tc>
          <w:tcPr>
            <w:tcW w:w="6280" w:type="dxa"/>
            <w:vAlign w:val="bottom"/>
            <w:tcBorders>
              <w:bottom w:val="single" w:sz="8" w:color="BFBFBF"/>
              <w:right w:val="single" w:sz="8" w:color="BFBFBF"/>
            </w:tcBorders>
          </w:tcPr>
          <w:p>
            <w:pPr>
              <w:spacing w:after="0"/>
              <w:rPr>
                <w:sz w:val="18"/>
                <w:szCs w:val="18"/>
                <w:color w:val="auto"/>
              </w:rPr>
            </w:pPr>
          </w:p>
        </w:tc>
        <w:tc>
          <w:tcPr>
            <w:tcW w:w="660" w:type="dxa"/>
            <w:vAlign w:val="bottom"/>
            <w:tcBorders>
              <w:bottom w:val="single" w:sz="8" w:color="BFBFBF"/>
            </w:tcBorders>
          </w:tcPr>
          <w:p>
            <w:pPr>
              <w:spacing w:after="0"/>
              <w:rPr>
                <w:sz w:val="18"/>
                <w:szCs w:val="18"/>
                <w:color w:val="auto"/>
              </w:rPr>
            </w:pPr>
          </w:p>
        </w:tc>
        <w:tc>
          <w:tcPr>
            <w:tcW w:w="3000" w:type="dxa"/>
            <w:vAlign w:val="bottom"/>
            <w:tcBorders>
              <w:bottom w:val="single" w:sz="8" w:color="BFBFBF"/>
              <w:right w:val="single" w:sz="8" w:color="BFBFBF"/>
            </w:tcBorders>
          </w:tcPr>
          <w:p>
            <w:pPr>
              <w:spacing w:after="0"/>
              <w:rPr>
                <w:sz w:val="18"/>
                <w:szCs w:val="18"/>
                <w:color w:val="auto"/>
              </w:rPr>
            </w:pPr>
          </w:p>
        </w:tc>
        <w:tc>
          <w:tcPr>
            <w:tcW w:w="620" w:type="dxa"/>
            <w:vAlign w:val="bottom"/>
          </w:tcPr>
          <w:p>
            <w:pPr>
              <w:spacing w:after="0"/>
              <w:rPr>
                <w:sz w:val="18"/>
                <w:szCs w:val="18"/>
                <w:color w:val="auto"/>
              </w:rPr>
            </w:pPr>
          </w:p>
        </w:tc>
      </w:tr>
      <w:tr>
        <w:trPr>
          <w:trHeight w:val="243"/>
        </w:trPr>
        <w:tc>
          <w:tcPr>
            <w:tcW w:w="680" w:type="dxa"/>
            <w:vAlign w:val="bottom"/>
            <w:tcBorders>
              <w:right w:val="single" w:sz="8" w:color="BFBFBF"/>
            </w:tcBorders>
          </w:tcPr>
          <w:p>
            <w:pPr>
              <w:spacing w:after="0"/>
              <w:rPr>
                <w:sz w:val="21"/>
                <w:szCs w:val="21"/>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b w:val="1"/>
                <w:bCs w:val="1"/>
                <w:color w:val="auto"/>
              </w:rPr>
              <w:t>N+1 Singer</w:t>
            </w:r>
          </w:p>
        </w:tc>
        <w:tc>
          <w:tcPr>
            <w:tcW w:w="66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w w:val="97"/>
              </w:rPr>
              <w:t>Tel: +44</w:t>
            </w:r>
          </w:p>
        </w:tc>
        <w:tc>
          <w:tcPr>
            <w:tcW w:w="3000" w:type="dxa"/>
            <w:vAlign w:val="bottom"/>
            <w:tcBorders>
              <w:bottom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(0)20 3283 4200</w:t>
            </w:r>
          </w:p>
        </w:tc>
        <w:tc>
          <w:tcPr>
            <w:tcW w:w="620" w:type="dxa"/>
            <w:vAlign w:val="bottom"/>
          </w:tcPr>
          <w:p>
            <w:pPr>
              <w:spacing w:after="0"/>
              <w:rPr>
                <w:sz w:val="21"/>
                <w:szCs w:val="21"/>
                <w:color w:val="auto"/>
              </w:rPr>
            </w:pPr>
          </w:p>
        </w:tc>
      </w:tr>
      <w:tr>
        <w:trPr>
          <w:trHeight w:val="229"/>
        </w:trPr>
        <w:tc>
          <w:tcPr>
            <w:tcW w:w="680" w:type="dxa"/>
            <w:vAlign w:val="bottom"/>
            <w:tcBorders>
              <w:right w:val="single" w:sz="8" w:color="BFBFBF"/>
            </w:tcBorders>
          </w:tcPr>
          <w:p>
            <w:pPr>
              <w:spacing w:after="0"/>
              <w:rPr>
                <w:sz w:val="19"/>
                <w:szCs w:val="19"/>
                <w:color w:val="auto"/>
              </w:rPr>
            </w:pPr>
          </w:p>
        </w:tc>
        <w:tc>
          <w:tcPr>
            <w:tcW w:w="6280" w:type="dxa"/>
            <w:vAlign w:val="bottom"/>
            <w:tcBorders>
              <w:right w:val="single" w:sz="8" w:color="BFBFBF"/>
            </w:tcBorders>
          </w:tcPr>
          <w:p>
            <w:pPr>
              <w:spacing w:after="0"/>
              <w:rPr>
                <w:sz w:val="20"/>
                <w:szCs w:val="20"/>
                <w:color w:val="auto"/>
              </w:rPr>
            </w:pPr>
            <w:r>
              <w:rPr>
                <w:rFonts w:ascii="Arial" w:cs="Arial" w:eastAsia="Arial" w:hAnsi="Arial"/>
                <w:sz w:val="18"/>
                <w:szCs w:val="18"/>
                <w:color w:val="auto"/>
              </w:rPr>
              <w:t>(Nominated Adviser and UK Broker)</w:t>
            </w:r>
          </w:p>
        </w:tc>
        <w:tc>
          <w:tcPr>
            <w:tcW w:w="660" w:type="dxa"/>
            <w:vAlign w:val="bottom"/>
          </w:tcPr>
          <w:p>
            <w:pPr>
              <w:spacing w:after="0"/>
              <w:rPr>
                <w:sz w:val="19"/>
                <w:szCs w:val="19"/>
                <w:color w:val="auto"/>
              </w:rPr>
            </w:pPr>
          </w:p>
        </w:tc>
        <w:tc>
          <w:tcPr>
            <w:tcW w:w="3000" w:type="dxa"/>
            <w:vAlign w:val="bottom"/>
            <w:tcBorders>
              <w:right w:val="single" w:sz="8" w:color="BFBFBF"/>
            </w:tcBorders>
          </w:tcPr>
          <w:p>
            <w:pPr>
              <w:spacing w:after="0"/>
              <w:rPr>
                <w:sz w:val="19"/>
                <w:szCs w:val="19"/>
                <w:color w:val="auto"/>
              </w:rPr>
            </w:pPr>
          </w:p>
        </w:tc>
        <w:tc>
          <w:tcPr>
            <w:tcW w:w="620" w:type="dxa"/>
            <w:vAlign w:val="bottom"/>
          </w:tcPr>
          <w:p>
            <w:pPr>
              <w:spacing w:after="0"/>
              <w:rPr>
                <w:sz w:val="19"/>
                <w:szCs w:val="19"/>
                <w:color w:val="auto"/>
              </w:rPr>
            </w:pPr>
          </w:p>
        </w:tc>
      </w:tr>
      <w:tr>
        <w:trPr>
          <w:trHeight w:val="203"/>
        </w:trPr>
        <w:tc>
          <w:tcPr>
            <w:tcW w:w="680" w:type="dxa"/>
            <w:vAlign w:val="bottom"/>
            <w:tcBorders>
              <w:right w:val="single" w:sz="8" w:color="BFBFBF"/>
            </w:tcBorders>
          </w:tcPr>
          <w:p>
            <w:pPr>
              <w:spacing w:after="0"/>
              <w:rPr>
                <w:sz w:val="17"/>
                <w:szCs w:val="17"/>
                <w:color w:val="auto"/>
              </w:rPr>
            </w:pPr>
          </w:p>
        </w:tc>
        <w:tc>
          <w:tcPr>
            <w:tcW w:w="628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Aubrey Powell / George Tzimas / Iqra</w:t>
            </w:r>
          </w:p>
        </w:tc>
        <w:tc>
          <w:tcPr>
            <w:tcW w:w="660" w:type="dxa"/>
            <w:vAlign w:val="bottom"/>
          </w:tcPr>
          <w:p>
            <w:pPr>
              <w:spacing w:after="0"/>
              <w:rPr>
                <w:sz w:val="17"/>
                <w:szCs w:val="17"/>
                <w:color w:val="auto"/>
              </w:rPr>
            </w:pPr>
          </w:p>
        </w:tc>
        <w:tc>
          <w:tcPr>
            <w:tcW w:w="3000" w:type="dxa"/>
            <w:vAlign w:val="bottom"/>
            <w:tcBorders>
              <w:right w:val="single" w:sz="8" w:color="BFBFBF"/>
            </w:tcBorders>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680" w:type="dxa"/>
            <w:vAlign w:val="bottom"/>
            <w:tcBorders>
              <w:right w:val="single" w:sz="8" w:color="BFBFBF"/>
            </w:tcBorders>
          </w:tcPr>
          <w:p>
            <w:pPr>
              <w:spacing w:after="0"/>
              <w:rPr>
                <w:sz w:val="17"/>
                <w:szCs w:val="17"/>
                <w:color w:val="auto"/>
              </w:rPr>
            </w:pPr>
          </w:p>
        </w:tc>
        <w:tc>
          <w:tcPr>
            <w:tcW w:w="628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Amin (Corporate Finance)</w:t>
            </w:r>
          </w:p>
        </w:tc>
        <w:tc>
          <w:tcPr>
            <w:tcW w:w="660" w:type="dxa"/>
            <w:vAlign w:val="bottom"/>
          </w:tcPr>
          <w:p>
            <w:pPr>
              <w:spacing w:after="0"/>
              <w:rPr>
                <w:sz w:val="17"/>
                <w:szCs w:val="17"/>
                <w:color w:val="auto"/>
              </w:rPr>
            </w:pPr>
          </w:p>
        </w:tc>
        <w:tc>
          <w:tcPr>
            <w:tcW w:w="3000" w:type="dxa"/>
            <w:vAlign w:val="bottom"/>
            <w:tcBorders>
              <w:right w:val="single" w:sz="8" w:color="BFBFBF"/>
            </w:tcBorders>
          </w:tcPr>
          <w:p>
            <w:pPr>
              <w:spacing w:after="0"/>
              <w:rPr>
                <w:sz w:val="17"/>
                <w:szCs w:val="17"/>
                <w:color w:val="auto"/>
              </w:rPr>
            </w:pPr>
          </w:p>
        </w:tc>
        <w:tc>
          <w:tcPr>
            <w:tcW w:w="620" w:type="dxa"/>
            <w:vAlign w:val="bottom"/>
          </w:tcPr>
          <w:p>
            <w:pPr>
              <w:spacing w:after="0"/>
              <w:rPr>
                <w:sz w:val="17"/>
                <w:szCs w:val="17"/>
                <w:color w:val="auto"/>
              </w:rPr>
            </w:pPr>
          </w:p>
        </w:tc>
      </w:tr>
      <w:tr>
        <w:trPr>
          <w:trHeight w:val="224"/>
        </w:trPr>
        <w:tc>
          <w:tcPr>
            <w:tcW w:w="680" w:type="dxa"/>
            <w:vAlign w:val="bottom"/>
            <w:tcBorders>
              <w:right w:val="single" w:sz="8" w:color="BFBFBF"/>
            </w:tcBorders>
          </w:tcPr>
          <w:p>
            <w:pPr>
              <w:spacing w:after="0"/>
              <w:rPr>
                <w:sz w:val="19"/>
                <w:szCs w:val="19"/>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Tom Salvesen (Corporate Broking)</w:t>
            </w:r>
          </w:p>
        </w:tc>
        <w:tc>
          <w:tcPr>
            <w:tcW w:w="660" w:type="dxa"/>
            <w:vAlign w:val="bottom"/>
            <w:tcBorders>
              <w:bottom w:val="single" w:sz="8" w:color="BFBFBF"/>
            </w:tcBorders>
          </w:tcPr>
          <w:p>
            <w:pPr>
              <w:spacing w:after="0"/>
              <w:rPr>
                <w:sz w:val="19"/>
                <w:szCs w:val="19"/>
                <w:color w:val="auto"/>
              </w:rPr>
            </w:pPr>
          </w:p>
        </w:tc>
        <w:tc>
          <w:tcPr>
            <w:tcW w:w="3000" w:type="dxa"/>
            <w:vAlign w:val="bottom"/>
            <w:tcBorders>
              <w:bottom w:val="single" w:sz="8" w:color="BFBFBF"/>
              <w:right w:val="single" w:sz="8" w:color="BFBFBF"/>
            </w:tcBorders>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680" w:type="dxa"/>
            <w:vAlign w:val="bottom"/>
            <w:tcBorders>
              <w:right w:val="single" w:sz="8" w:color="BFBFBF"/>
            </w:tcBorders>
          </w:tcPr>
          <w:p>
            <w:pPr>
              <w:spacing w:after="0"/>
              <w:rPr>
                <w:sz w:val="18"/>
                <w:szCs w:val="18"/>
                <w:color w:val="auto"/>
              </w:rPr>
            </w:pPr>
          </w:p>
        </w:tc>
        <w:tc>
          <w:tcPr>
            <w:tcW w:w="6280" w:type="dxa"/>
            <w:vAlign w:val="bottom"/>
            <w:tcBorders>
              <w:bottom w:val="single" w:sz="8" w:color="BFBFBF"/>
              <w:right w:val="single" w:sz="8" w:color="BFBFBF"/>
            </w:tcBorders>
          </w:tcPr>
          <w:p>
            <w:pPr>
              <w:spacing w:after="0"/>
              <w:rPr>
                <w:sz w:val="18"/>
                <w:szCs w:val="18"/>
                <w:color w:val="auto"/>
              </w:rPr>
            </w:pPr>
          </w:p>
        </w:tc>
        <w:tc>
          <w:tcPr>
            <w:tcW w:w="660" w:type="dxa"/>
            <w:vAlign w:val="bottom"/>
            <w:tcBorders>
              <w:bottom w:val="single" w:sz="8" w:color="BFBFBF"/>
            </w:tcBorders>
          </w:tcPr>
          <w:p>
            <w:pPr>
              <w:spacing w:after="0"/>
              <w:rPr>
                <w:sz w:val="18"/>
                <w:szCs w:val="18"/>
                <w:color w:val="auto"/>
              </w:rPr>
            </w:pPr>
          </w:p>
        </w:tc>
        <w:tc>
          <w:tcPr>
            <w:tcW w:w="3000" w:type="dxa"/>
            <w:vAlign w:val="bottom"/>
            <w:tcBorders>
              <w:bottom w:val="single" w:sz="8" w:color="BFBFBF"/>
              <w:right w:val="single" w:sz="8" w:color="BFBFBF"/>
            </w:tcBorders>
          </w:tcPr>
          <w:p>
            <w:pPr>
              <w:spacing w:after="0"/>
              <w:rPr>
                <w:sz w:val="18"/>
                <w:szCs w:val="18"/>
                <w:color w:val="auto"/>
              </w:rPr>
            </w:pPr>
          </w:p>
        </w:tc>
        <w:tc>
          <w:tcPr>
            <w:tcW w:w="620" w:type="dxa"/>
            <w:vAlign w:val="bottom"/>
          </w:tcPr>
          <w:p>
            <w:pPr>
              <w:spacing w:after="0"/>
              <w:rPr>
                <w:sz w:val="18"/>
                <w:szCs w:val="18"/>
                <w:color w:val="auto"/>
              </w:rPr>
            </w:pPr>
          </w:p>
        </w:tc>
      </w:tr>
      <w:tr>
        <w:trPr>
          <w:trHeight w:val="222"/>
        </w:trPr>
        <w:tc>
          <w:tcPr>
            <w:tcW w:w="680" w:type="dxa"/>
            <w:vAlign w:val="bottom"/>
            <w:tcBorders>
              <w:right w:val="single" w:sz="8" w:color="BFBFBF"/>
            </w:tcBorders>
          </w:tcPr>
          <w:p>
            <w:pPr>
              <w:spacing w:after="0"/>
              <w:rPr>
                <w:sz w:val="19"/>
                <w:szCs w:val="19"/>
                <w:color w:val="auto"/>
              </w:rPr>
            </w:pPr>
          </w:p>
        </w:tc>
        <w:tc>
          <w:tcPr>
            <w:tcW w:w="6280" w:type="dxa"/>
            <w:vAlign w:val="bottom"/>
            <w:tcBorders>
              <w:right w:val="single" w:sz="8" w:color="BFBFBF"/>
            </w:tcBorders>
          </w:tcPr>
          <w:p>
            <w:pPr>
              <w:spacing w:after="0"/>
              <w:rPr>
                <w:sz w:val="20"/>
                <w:szCs w:val="20"/>
                <w:color w:val="auto"/>
              </w:rPr>
            </w:pPr>
            <w:r>
              <w:rPr>
                <w:rFonts w:ascii="Arial" w:cs="Arial" w:eastAsia="Arial" w:hAnsi="Arial"/>
                <w:sz w:val="18"/>
                <w:szCs w:val="18"/>
                <w:b w:val="1"/>
                <w:bCs w:val="1"/>
                <w:color w:val="auto"/>
              </w:rPr>
              <w:t>Optimum Strategic Communications</w:t>
            </w:r>
          </w:p>
        </w:tc>
        <w:tc>
          <w:tcPr>
            <w:tcW w:w="660" w:type="dxa"/>
            <w:vAlign w:val="bottom"/>
          </w:tcPr>
          <w:p>
            <w:pPr>
              <w:spacing w:after="0"/>
              <w:rPr>
                <w:sz w:val="20"/>
                <w:szCs w:val="20"/>
                <w:color w:val="auto"/>
              </w:rPr>
            </w:pPr>
            <w:r>
              <w:rPr>
                <w:rFonts w:ascii="Arial" w:cs="Arial" w:eastAsia="Arial" w:hAnsi="Arial"/>
                <w:sz w:val="18"/>
                <w:szCs w:val="18"/>
                <w:color w:val="auto"/>
                <w:w w:val="97"/>
              </w:rPr>
              <w:t>Tel: +44</w:t>
            </w:r>
          </w:p>
        </w:tc>
        <w:tc>
          <w:tcPr>
            <w:tcW w:w="300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(0)20 950 9144</w:t>
            </w:r>
          </w:p>
        </w:tc>
        <w:tc>
          <w:tcPr>
            <w:tcW w:w="620" w:type="dxa"/>
            <w:vAlign w:val="bottom"/>
          </w:tcPr>
          <w:p>
            <w:pPr>
              <w:spacing w:after="0"/>
              <w:rPr>
                <w:sz w:val="19"/>
                <w:szCs w:val="19"/>
                <w:color w:val="auto"/>
              </w:rPr>
            </w:pPr>
          </w:p>
        </w:tc>
      </w:tr>
      <w:tr>
        <w:trPr>
          <w:trHeight w:val="224"/>
        </w:trPr>
        <w:tc>
          <w:tcPr>
            <w:tcW w:w="680" w:type="dxa"/>
            <w:vAlign w:val="bottom"/>
            <w:tcBorders>
              <w:right w:val="single" w:sz="8" w:color="BFBFBF"/>
            </w:tcBorders>
          </w:tcPr>
          <w:p>
            <w:pPr>
              <w:spacing w:after="0"/>
              <w:rPr>
                <w:sz w:val="19"/>
                <w:szCs w:val="19"/>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(European Media and Investor Enquiries)</w:t>
            </w:r>
          </w:p>
        </w:tc>
        <w:tc>
          <w:tcPr>
            <w:tcW w:w="3660" w:type="dxa"/>
            <w:vAlign w:val="bottom"/>
            <w:tcBorders>
              <w:bottom w:val="single" w:sz="8" w:color="BFBFBF"/>
              <w:right w:val="single" w:sz="8" w:color="BFBFBF"/>
            </w:tcBorders>
            <w:gridSpan w:val="2"/>
          </w:tcPr>
          <w:p>
            <w:pPr>
              <w:spacing w:after="0"/>
              <w:rPr>
                <w:sz w:val="20"/>
                <w:szCs w:val="20"/>
                <w:color w:val="auto"/>
              </w:rPr>
            </w:pPr>
            <w:r>
              <w:rPr>
                <w:rFonts w:ascii="Arial" w:cs="Arial" w:eastAsia="Arial" w:hAnsi="Arial"/>
                <w:sz w:val="18"/>
                <w:szCs w:val="18"/>
                <w:color w:val="auto"/>
              </w:rPr>
              <w:t>verona@optimumcomms.com</w:t>
            </w:r>
          </w:p>
        </w:tc>
        <w:tc>
          <w:tcPr>
            <w:tcW w:w="620" w:type="dxa"/>
            <w:vAlign w:val="bottom"/>
          </w:tcPr>
          <w:p>
            <w:pPr>
              <w:spacing w:after="0"/>
              <w:rPr>
                <w:sz w:val="19"/>
                <w:szCs w:val="19"/>
                <w:color w:val="auto"/>
              </w:rPr>
            </w:pPr>
          </w:p>
        </w:tc>
      </w:tr>
      <w:tr>
        <w:trPr>
          <w:trHeight w:val="264"/>
        </w:trPr>
        <w:tc>
          <w:tcPr>
            <w:tcW w:w="680" w:type="dxa"/>
            <w:vAlign w:val="bottom"/>
            <w:tcBorders>
              <w:right w:val="single" w:sz="8" w:color="BFBFBF"/>
            </w:tcBorders>
          </w:tcPr>
          <w:p>
            <w:pPr>
              <w:spacing w:after="0"/>
              <w:rPr>
                <w:sz w:val="22"/>
                <w:szCs w:val="22"/>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Mary Clark / Eva Haas / Hollie Vile</w:t>
            </w:r>
          </w:p>
        </w:tc>
        <w:tc>
          <w:tcPr>
            <w:tcW w:w="660" w:type="dxa"/>
            <w:vAlign w:val="bottom"/>
            <w:tcBorders>
              <w:bottom w:val="single" w:sz="8" w:color="BFBFBF"/>
            </w:tcBorders>
          </w:tcPr>
          <w:p>
            <w:pPr>
              <w:spacing w:after="0"/>
              <w:rPr>
                <w:sz w:val="22"/>
                <w:szCs w:val="22"/>
                <w:color w:val="auto"/>
              </w:rPr>
            </w:pPr>
          </w:p>
        </w:tc>
        <w:tc>
          <w:tcPr>
            <w:tcW w:w="3000" w:type="dxa"/>
            <w:vAlign w:val="bottom"/>
            <w:tcBorders>
              <w:bottom w:val="single" w:sz="8" w:color="BFBFBF"/>
              <w:right w:val="single" w:sz="8" w:color="BFBFBF"/>
            </w:tcBorders>
          </w:tcPr>
          <w:p>
            <w:pPr>
              <w:spacing w:after="0"/>
              <w:rPr>
                <w:sz w:val="22"/>
                <w:szCs w:val="22"/>
                <w:color w:val="auto"/>
              </w:rPr>
            </w:pPr>
          </w:p>
        </w:tc>
        <w:tc>
          <w:tcPr>
            <w:tcW w:w="620" w:type="dxa"/>
            <w:vAlign w:val="bottom"/>
          </w:tcPr>
          <w:p>
            <w:pPr>
              <w:spacing w:after="0"/>
              <w:rPr>
                <w:sz w:val="22"/>
                <w:szCs w:val="22"/>
                <w:color w:val="auto"/>
              </w:rPr>
            </w:pPr>
          </w:p>
        </w:tc>
      </w:tr>
      <w:tr>
        <w:trPr>
          <w:trHeight w:val="216"/>
        </w:trPr>
        <w:tc>
          <w:tcPr>
            <w:tcW w:w="680" w:type="dxa"/>
            <w:vAlign w:val="bottom"/>
            <w:tcBorders>
              <w:right w:val="single" w:sz="8" w:color="BFBFBF"/>
            </w:tcBorders>
          </w:tcPr>
          <w:p>
            <w:pPr>
              <w:spacing w:after="0"/>
              <w:rPr>
                <w:sz w:val="18"/>
                <w:szCs w:val="18"/>
                <w:color w:val="auto"/>
              </w:rPr>
            </w:pPr>
          </w:p>
        </w:tc>
        <w:tc>
          <w:tcPr>
            <w:tcW w:w="6280" w:type="dxa"/>
            <w:vAlign w:val="bottom"/>
            <w:tcBorders>
              <w:bottom w:val="single" w:sz="8" w:color="BFBFBF"/>
              <w:right w:val="single" w:sz="8" w:color="BFBFBF"/>
            </w:tcBorders>
          </w:tcPr>
          <w:p>
            <w:pPr>
              <w:spacing w:after="0"/>
              <w:rPr>
                <w:sz w:val="18"/>
                <w:szCs w:val="18"/>
                <w:color w:val="auto"/>
              </w:rPr>
            </w:pPr>
          </w:p>
        </w:tc>
        <w:tc>
          <w:tcPr>
            <w:tcW w:w="660" w:type="dxa"/>
            <w:vAlign w:val="bottom"/>
            <w:tcBorders>
              <w:bottom w:val="single" w:sz="8" w:color="BFBFBF"/>
            </w:tcBorders>
          </w:tcPr>
          <w:p>
            <w:pPr>
              <w:spacing w:after="0"/>
              <w:rPr>
                <w:sz w:val="18"/>
                <w:szCs w:val="18"/>
                <w:color w:val="auto"/>
              </w:rPr>
            </w:pPr>
          </w:p>
        </w:tc>
        <w:tc>
          <w:tcPr>
            <w:tcW w:w="3000" w:type="dxa"/>
            <w:vAlign w:val="bottom"/>
            <w:tcBorders>
              <w:bottom w:val="single" w:sz="8" w:color="BFBFBF"/>
              <w:right w:val="single" w:sz="8" w:color="BFBFBF"/>
            </w:tcBorders>
          </w:tcPr>
          <w:p>
            <w:pPr>
              <w:spacing w:after="0"/>
              <w:rPr>
                <w:sz w:val="18"/>
                <w:szCs w:val="18"/>
                <w:color w:val="auto"/>
              </w:rPr>
            </w:pPr>
          </w:p>
        </w:tc>
        <w:tc>
          <w:tcPr>
            <w:tcW w:w="620" w:type="dxa"/>
            <w:vAlign w:val="bottom"/>
          </w:tcPr>
          <w:p>
            <w:pPr>
              <w:spacing w:after="0"/>
              <w:rPr>
                <w:sz w:val="18"/>
                <w:szCs w:val="18"/>
                <w:color w:val="auto"/>
              </w:rPr>
            </w:pPr>
          </w:p>
        </w:tc>
      </w:tr>
      <w:tr>
        <w:trPr>
          <w:trHeight w:val="222"/>
        </w:trPr>
        <w:tc>
          <w:tcPr>
            <w:tcW w:w="680" w:type="dxa"/>
            <w:vAlign w:val="bottom"/>
            <w:tcBorders>
              <w:right w:val="single" w:sz="8" w:color="BFBFBF"/>
            </w:tcBorders>
          </w:tcPr>
          <w:p>
            <w:pPr>
              <w:spacing w:after="0"/>
              <w:rPr>
                <w:sz w:val="19"/>
                <w:szCs w:val="19"/>
                <w:color w:val="auto"/>
              </w:rPr>
            </w:pPr>
          </w:p>
        </w:tc>
        <w:tc>
          <w:tcPr>
            <w:tcW w:w="6280" w:type="dxa"/>
            <w:vAlign w:val="bottom"/>
            <w:tcBorders>
              <w:right w:val="single" w:sz="8" w:color="BFBFBF"/>
            </w:tcBorders>
          </w:tcPr>
          <w:p>
            <w:pPr>
              <w:spacing w:after="0"/>
              <w:rPr>
                <w:sz w:val="20"/>
                <w:szCs w:val="20"/>
                <w:color w:val="auto"/>
              </w:rPr>
            </w:pPr>
            <w:r>
              <w:rPr>
                <w:rFonts w:ascii="Arial" w:cs="Arial" w:eastAsia="Arial" w:hAnsi="Arial"/>
                <w:sz w:val="18"/>
                <w:szCs w:val="18"/>
                <w:b w:val="1"/>
                <w:bCs w:val="1"/>
                <w:color w:val="auto"/>
              </w:rPr>
              <w:t>Argot Partners</w:t>
            </w:r>
          </w:p>
        </w:tc>
        <w:tc>
          <w:tcPr>
            <w:tcW w:w="3660" w:type="dxa"/>
            <w:vAlign w:val="bottom"/>
            <w:tcBorders>
              <w:right w:val="single" w:sz="8" w:color="BFBFBF"/>
            </w:tcBorders>
            <w:gridSpan w:val="2"/>
          </w:tcPr>
          <w:p>
            <w:pPr>
              <w:spacing w:after="0"/>
              <w:rPr>
                <w:sz w:val="20"/>
                <w:szCs w:val="20"/>
                <w:color w:val="auto"/>
              </w:rPr>
            </w:pPr>
            <w:r>
              <w:rPr>
                <w:rFonts w:ascii="Arial" w:cs="Arial" w:eastAsia="Arial" w:hAnsi="Arial"/>
                <w:sz w:val="18"/>
                <w:szCs w:val="18"/>
                <w:color w:val="auto"/>
              </w:rPr>
              <w:t>Tel: +1 212-600-1902</w:t>
            </w:r>
          </w:p>
        </w:tc>
        <w:tc>
          <w:tcPr>
            <w:tcW w:w="620" w:type="dxa"/>
            <w:vAlign w:val="bottom"/>
          </w:tcPr>
          <w:p>
            <w:pPr>
              <w:spacing w:after="0"/>
              <w:rPr>
                <w:sz w:val="19"/>
                <w:szCs w:val="19"/>
                <w:color w:val="auto"/>
              </w:rPr>
            </w:pPr>
          </w:p>
        </w:tc>
      </w:tr>
      <w:tr>
        <w:trPr>
          <w:trHeight w:val="224"/>
        </w:trPr>
        <w:tc>
          <w:tcPr>
            <w:tcW w:w="680" w:type="dxa"/>
            <w:vAlign w:val="bottom"/>
            <w:tcBorders>
              <w:right w:val="single" w:sz="8" w:color="BFBFBF"/>
            </w:tcBorders>
          </w:tcPr>
          <w:p>
            <w:pPr>
              <w:spacing w:after="0"/>
              <w:rPr>
                <w:sz w:val="19"/>
                <w:szCs w:val="19"/>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(US Investor Enquiries)</w:t>
            </w:r>
          </w:p>
        </w:tc>
        <w:tc>
          <w:tcPr>
            <w:tcW w:w="3660" w:type="dxa"/>
            <w:vAlign w:val="bottom"/>
            <w:tcBorders>
              <w:bottom w:val="single" w:sz="8" w:color="BFBFBF"/>
              <w:right w:val="single" w:sz="8" w:color="BFBFBF"/>
            </w:tcBorders>
            <w:gridSpan w:val="2"/>
          </w:tcPr>
          <w:p>
            <w:pPr>
              <w:spacing w:after="0"/>
              <w:rPr>
                <w:sz w:val="20"/>
                <w:szCs w:val="20"/>
                <w:color w:val="auto"/>
              </w:rPr>
            </w:pPr>
            <w:r>
              <w:rPr>
                <w:rFonts w:ascii="Arial" w:cs="Arial" w:eastAsia="Arial" w:hAnsi="Arial"/>
                <w:sz w:val="18"/>
                <w:szCs w:val="18"/>
                <w:color w:val="auto"/>
              </w:rPr>
              <w:t>verona@argotpartners.com</w:t>
            </w:r>
          </w:p>
        </w:tc>
        <w:tc>
          <w:tcPr>
            <w:tcW w:w="620" w:type="dxa"/>
            <w:vAlign w:val="bottom"/>
          </w:tcPr>
          <w:p>
            <w:pPr>
              <w:spacing w:after="0"/>
              <w:rPr>
                <w:sz w:val="19"/>
                <w:szCs w:val="19"/>
                <w:color w:val="auto"/>
              </w:rPr>
            </w:pPr>
          </w:p>
        </w:tc>
      </w:tr>
      <w:tr>
        <w:trPr>
          <w:trHeight w:val="229"/>
        </w:trPr>
        <w:tc>
          <w:tcPr>
            <w:tcW w:w="680" w:type="dxa"/>
            <w:vAlign w:val="bottom"/>
            <w:tcBorders>
              <w:right w:val="single" w:sz="8" w:color="BFBFBF"/>
            </w:tcBorders>
          </w:tcPr>
          <w:p>
            <w:pPr>
              <w:spacing w:after="0"/>
              <w:rPr>
                <w:sz w:val="19"/>
                <w:szCs w:val="19"/>
                <w:color w:val="auto"/>
              </w:rPr>
            </w:pPr>
          </w:p>
        </w:tc>
        <w:tc>
          <w:tcPr>
            <w:tcW w:w="6280" w:type="dxa"/>
            <w:vAlign w:val="bottom"/>
            <w:tcBorders>
              <w:right w:val="single" w:sz="8" w:color="BFBFBF"/>
            </w:tcBorders>
          </w:tcPr>
          <w:p>
            <w:pPr>
              <w:spacing w:after="0"/>
              <w:rPr>
                <w:sz w:val="20"/>
                <w:szCs w:val="20"/>
                <w:color w:val="auto"/>
              </w:rPr>
            </w:pPr>
            <w:r>
              <w:rPr>
                <w:rFonts w:ascii="Arial" w:cs="Arial" w:eastAsia="Arial" w:hAnsi="Arial"/>
                <w:sz w:val="18"/>
                <w:szCs w:val="18"/>
                <w:color w:val="auto"/>
              </w:rPr>
              <w:t>Stephanie Marks / Kimberly Minarovich /</w:t>
            </w:r>
          </w:p>
        </w:tc>
        <w:tc>
          <w:tcPr>
            <w:tcW w:w="660" w:type="dxa"/>
            <w:vAlign w:val="bottom"/>
          </w:tcPr>
          <w:p>
            <w:pPr>
              <w:spacing w:after="0"/>
              <w:rPr>
                <w:sz w:val="19"/>
                <w:szCs w:val="19"/>
                <w:color w:val="auto"/>
              </w:rPr>
            </w:pPr>
          </w:p>
        </w:tc>
        <w:tc>
          <w:tcPr>
            <w:tcW w:w="3000" w:type="dxa"/>
            <w:vAlign w:val="bottom"/>
            <w:tcBorders>
              <w:right w:val="single" w:sz="8" w:color="BFBFBF"/>
            </w:tcBorders>
          </w:tcPr>
          <w:p>
            <w:pPr>
              <w:spacing w:after="0"/>
              <w:rPr>
                <w:sz w:val="19"/>
                <w:szCs w:val="19"/>
                <w:color w:val="auto"/>
              </w:rPr>
            </w:pPr>
          </w:p>
        </w:tc>
        <w:tc>
          <w:tcPr>
            <w:tcW w:w="620" w:type="dxa"/>
            <w:vAlign w:val="bottom"/>
          </w:tcPr>
          <w:p>
            <w:pPr>
              <w:spacing w:after="0"/>
              <w:rPr>
                <w:sz w:val="19"/>
                <w:szCs w:val="19"/>
                <w:color w:val="auto"/>
              </w:rPr>
            </w:pPr>
          </w:p>
        </w:tc>
      </w:tr>
      <w:tr>
        <w:trPr>
          <w:trHeight w:val="224"/>
        </w:trPr>
        <w:tc>
          <w:tcPr>
            <w:tcW w:w="680" w:type="dxa"/>
            <w:vAlign w:val="bottom"/>
            <w:tcBorders>
              <w:right w:val="single" w:sz="8" w:color="BFBFBF"/>
            </w:tcBorders>
          </w:tcPr>
          <w:p>
            <w:pPr>
              <w:spacing w:after="0"/>
              <w:rPr>
                <w:sz w:val="19"/>
                <w:szCs w:val="19"/>
                <w:color w:val="auto"/>
              </w:rPr>
            </w:pPr>
          </w:p>
        </w:tc>
        <w:tc>
          <w:tcPr>
            <w:tcW w:w="6280" w:type="dxa"/>
            <w:vAlign w:val="bottom"/>
            <w:tcBorders>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Michael Barron</w:t>
            </w:r>
          </w:p>
        </w:tc>
        <w:tc>
          <w:tcPr>
            <w:tcW w:w="660" w:type="dxa"/>
            <w:vAlign w:val="bottom"/>
            <w:tcBorders>
              <w:bottom w:val="single" w:sz="8" w:color="BFBFBF"/>
            </w:tcBorders>
          </w:tcPr>
          <w:p>
            <w:pPr>
              <w:spacing w:after="0"/>
              <w:rPr>
                <w:sz w:val="19"/>
                <w:szCs w:val="19"/>
                <w:color w:val="auto"/>
              </w:rPr>
            </w:pPr>
          </w:p>
        </w:tc>
        <w:tc>
          <w:tcPr>
            <w:tcW w:w="3000" w:type="dxa"/>
            <w:vAlign w:val="bottom"/>
            <w:tcBorders>
              <w:bottom w:val="single" w:sz="8" w:color="BFBFBF"/>
              <w:right w:val="single" w:sz="8" w:color="BFBFBF"/>
            </w:tcBorders>
          </w:tcPr>
          <w:p>
            <w:pPr>
              <w:spacing w:after="0"/>
              <w:rPr>
                <w:sz w:val="19"/>
                <w:szCs w:val="19"/>
                <w:color w:val="auto"/>
              </w:rPr>
            </w:pPr>
          </w:p>
        </w:tc>
        <w:tc>
          <w:tcPr>
            <w:tcW w:w="620" w:type="dxa"/>
            <w:vAlign w:val="bottom"/>
          </w:tcPr>
          <w:p>
            <w:pPr>
              <w:spacing w:after="0"/>
              <w:rPr>
                <w:sz w:val="19"/>
                <w:szCs w:val="19"/>
                <w:color w:val="auto"/>
              </w:rPr>
            </w:pPr>
          </w:p>
        </w:tc>
      </w:tr>
      <w:tr>
        <w:trPr>
          <w:trHeight w:val="534"/>
        </w:trPr>
        <w:tc>
          <w:tcPr>
            <w:tcW w:w="68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Results of AGM</w:t>
      </w: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LONDON, April 16, 2020, - Verona Pharma plc (AIM: VRP) (Nasdaq: VRNA) (“Verona Pharma”), a clinical-stage biopharmaceutical company focused on developing and commercializing innovative therapies for respiratory diseases, announces that all resolutions proposed at the Annual General Meeting held today were duly approved by shareholders by way of a poll. The results of the poll are available on the Investors section of the Company’s website, www.veronapharma.com.</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Verona Pharma is currently evaluating three formulations of ensifentrine for the treatment of COPD in Phase 2 clinical trials: nebulized, dry powder inhaler, and pressurized metered-dose inhaler. Ensifentrine also has potential applications in cystic fibrosis, asthma and other respiratory diseases. For more information, please visit www.veronapharma.com.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363" w:lineRule="exact"/>
        <w:rPr>
          <w:sz w:val="20"/>
          <w:szCs w:val="20"/>
          <w:color w:val="auto"/>
        </w:rPr>
      </w:pPr>
    </w:p>
    <w:tbl>
      <w:tblPr>
        <w:tblLayout w:type="fixed"/>
        <w:tblInd w:w="670" w:type="dxa"/>
        <w:tblCellMar>
          <w:top w:w="0" w:type="dxa"/>
          <w:left w:w="0" w:type="dxa"/>
          <w:bottom w:w="0" w:type="dxa"/>
          <w:right w:w="0" w:type="dxa"/>
        </w:tblCellMar>
      </w:tblPr>
      <w:tr>
        <w:trPr>
          <w:trHeight w:val="263"/>
        </w:trPr>
        <w:tc>
          <w:tcPr>
            <w:tcW w:w="6300" w:type="dxa"/>
            <w:vAlign w:val="bottom"/>
            <w:tcBorders>
              <w:top w:val="single" w:sz="8" w:color="BFBFBF"/>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b w:val="1"/>
                <w:bCs w:val="1"/>
                <w:color w:val="auto"/>
              </w:rPr>
              <w:t>Verona Pharma plc</w:t>
            </w:r>
          </w:p>
        </w:tc>
        <w:tc>
          <w:tcPr>
            <w:tcW w:w="660" w:type="dxa"/>
            <w:vAlign w:val="bottom"/>
            <w:tcBorders>
              <w:top w:val="single" w:sz="8" w:color="BFBFBF"/>
              <w:bottom w:val="single" w:sz="8" w:color="BFBFBF"/>
            </w:tcBorders>
          </w:tcPr>
          <w:p>
            <w:pPr>
              <w:spacing w:after="0"/>
              <w:rPr>
                <w:sz w:val="20"/>
                <w:szCs w:val="20"/>
                <w:color w:val="auto"/>
              </w:rPr>
            </w:pPr>
            <w:r>
              <w:rPr>
                <w:rFonts w:ascii="Arial" w:cs="Arial" w:eastAsia="Arial" w:hAnsi="Arial"/>
                <w:sz w:val="18"/>
                <w:szCs w:val="18"/>
                <w:color w:val="auto"/>
                <w:w w:val="97"/>
              </w:rPr>
              <w:t>Tel: +44</w:t>
            </w:r>
          </w:p>
        </w:tc>
        <w:tc>
          <w:tcPr>
            <w:tcW w:w="3000" w:type="dxa"/>
            <w:vAlign w:val="bottom"/>
            <w:tcBorders>
              <w:top w:val="single" w:sz="8" w:color="BFBFBF"/>
              <w:bottom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(0)20 3283 4200</w:t>
            </w:r>
          </w:p>
        </w:tc>
      </w:tr>
      <w:tr>
        <w:trPr>
          <w:trHeight w:val="250"/>
        </w:trPr>
        <w:tc>
          <w:tcPr>
            <w:tcW w:w="630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Victoria Stewart, Director of Communications</w:t>
            </w:r>
          </w:p>
        </w:tc>
        <w:tc>
          <w:tcPr>
            <w:tcW w:w="3660" w:type="dxa"/>
            <w:vAlign w:val="bottom"/>
            <w:tcBorders>
              <w:bottom w:val="single" w:sz="8" w:color="BFBFBF"/>
              <w:right w:val="single" w:sz="8" w:color="BFBFBF"/>
            </w:tcBorders>
            <w:gridSpan w:val="2"/>
          </w:tcPr>
          <w:p>
            <w:pPr>
              <w:spacing w:after="0"/>
              <w:rPr>
                <w:sz w:val="20"/>
                <w:szCs w:val="20"/>
                <w:color w:val="auto"/>
              </w:rPr>
            </w:pPr>
            <w:r>
              <w:rPr>
                <w:rFonts w:ascii="Arial" w:cs="Arial" w:eastAsia="Arial" w:hAnsi="Arial"/>
                <w:sz w:val="18"/>
                <w:szCs w:val="18"/>
                <w:color w:val="auto"/>
              </w:rPr>
              <w:t>info@veronapharma.com</w:t>
            </w:r>
          </w:p>
        </w:tc>
      </w:tr>
      <w:tr>
        <w:trPr>
          <w:trHeight w:val="216"/>
        </w:trPr>
        <w:tc>
          <w:tcPr>
            <w:tcW w:w="6300" w:type="dxa"/>
            <w:vAlign w:val="bottom"/>
            <w:tcBorders>
              <w:left w:val="single" w:sz="8" w:color="BFBFBF"/>
              <w:bottom w:val="single" w:sz="8" w:color="BFBFBF"/>
              <w:right w:val="single" w:sz="8" w:color="BFBFBF"/>
            </w:tcBorders>
          </w:tcPr>
          <w:p>
            <w:pPr>
              <w:spacing w:after="0"/>
              <w:rPr>
                <w:sz w:val="18"/>
                <w:szCs w:val="18"/>
                <w:color w:val="auto"/>
              </w:rPr>
            </w:pPr>
          </w:p>
        </w:tc>
        <w:tc>
          <w:tcPr>
            <w:tcW w:w="660" w:type="dxa"/>
            <w:vAlign w:val="bottom"/>
            <w:tcBorders>
              <w:bottom w:val="single" w:sz="8" w:color="BFBFBF"/>
            </w:tcBorders>
          </w:tcPr>
          <w:p>
            <w:pPr>
              <w:spacing w:after="0"/>
              <w:rPr>
                <w:sz w:val="18"/>
                <w:szCs w:val="18"/>
                <w:color w:val="auto"/>
              </w:rPr>
            </w:pPr>
          </w:p>
        </w:tc>
        <w:tc>
          <w:tcPr>
            <w:tcW w:w="3000" w:type="dxa"/>
            <w:vAlign w:val="bottom"/>
            <w:tcBorders>
              <w:bottom w:val="single" w:sz="8" w:color="BFBFBF"/>
              <w:right w:val="single" w:sz="8" w:color="BFBFBF"/>
            </w:tcBorders>
          </w:tcPr>
          <w:p>
            <w:pPr>
              <w:spacing w:after="0"/>
              <w:rPr>
                <w:sz w:val="18"/>
                <w:szCs w:val="18"/>
                <w:color w:val="auto"/>
              </w:rPr>
            </w:pPr>
          </w:p>
        </w:tc>
      </w:tr>
      <w:tr>
        <w:trPr>
          <w:trHeight w:val="243"/>
        </w:trPr>
        <w:tc>
          <w:tcPr>
            <w:tcW w:w="630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b w:val="1"/>
                <w:bCs w:val="1"/>
                <w:color w:val="auto"/>
              </w:rPr>
              <w:t>N+1 Singer</w:t>
            </w:r>
          </w:p>
        </w:tc>
        <w:tc>
          <w:tcPr>
            <w:tcW w:w="66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w w:val="97"/>
              </w:rPr>
              <w:t>Tel: +44</w:t>
            </w:r>
          </w:p>
        </w:tc>
        <w:tc>
          <w:tcPr>
            <w:tcW w:w="3000" w:type="dxa"/>
            <w:vAlign w:val="bottom"/>
            <w:tcBorders>
              <w:bottom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(0)20 3283 4200</w:t>
            </w:r>
          </w:p>
        </w:tc>
      </w:tr>
      <w:tr>
        <w:trPr>
          <w:trHeight w:val="229"/>
        </w:trPr>
        <w:tc>
          <w:tcPr>
            <w:tcW w:w="630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(Nominated Adviser and UK Broker)</w:t>
            </w:r>
          </w:p>
        </w:tc>
        <w:tc>
          <w:tcPr>
            <w:tcW w:w="660" w:type="dxa"/>
            <w:vAlign w:val="bottom"/>
          </w:tcPr>
          <w:p>
            <w:pPr>
              <w:spacing w:after="0"/>
              <w:rPr>
                <w:sz w:val="19"/>
                <w:szCs w:val="19"/>
                <w:color w:val="auto"/>
              </w:rPr>
            </w:pPr>
          </w:p>
        </w:tc>
        <w:tc>
          <w:tcPr>
            <w:tcW w:w="3000" w:type="dxa"/>
            <w:vAlign w:val="bottom"/>
            <w:tcBorders>
              <w:right w:val="single" w:sz="8" w:color="BFBFBF"/>
            </w:tcBorders>
          </w:tcPr>
          <w:p>
            <w:pPr>
              <w:spacing w:after="0"/>
              <w:rPr>
                <w:sz w:val="19"/>
                <w:szCs w:val="19"/>
                <w:color w:val="auto"/>
              </w:rPr>
            </w:pPr>
          </w:p>
        </w:tc>
      </w:tr>
      <w:tr>
        <w:trPr>
          <w:trHeight w:val="203"/>
        </w:trPr>
        <w:tc>
          <w:tcPr>
            <w:tcW w:w="6300" w:type="dxa"/>
            <w:vAlign w:val="bottom"/>
            <w:tcBorders>
              <w:left w:val="single" w:sz="8" w:color="BFBFBF"/>
              <w:right w:val="single" w:sz="8" w:color="BFBFBF"/>
            </w:tcBorders>
          </w:tcPr>
          <w:p>
            <w:pPr>
              <w:ind w:left="20"/>
              <w:spacing w:after="0" w:line="202" w:lineRule="exact"/>
              <w:rPr>
                <w:sz w:val="20"/>
                <w:szCs w:val="20"/>
                <w:color w:val="auto"/>
              </w:rPr>
            </w:pPr>
            <w:r>
              <w:rPr>
                <w:rFonts w:ascii="Arial" w:cs="Arial" w:eastAsia="Arial" w:hAnsi="Arial"/>
                <w:sz w:val="18"/>
                <w:szCs w:val="18"/>
                <w:color w:val="auto"/>
              </w:rPr>
              <w:t>Aubrey Powell / George Tzimas / Iqra</w:t>
            </w:r>
          </w:p>
        </w:tc>
        <w:tc>
          <w:tcPr>
            <w:tcW w:w="660" w:type="dxa"/>
            <w:vAlign w:val="bottom"/>
          </w:tcPr>
          <w:p>
            <w:pPr>
              <w:spacing w:after="0"/>
              <w:rPr>
                <w:sz w:val="17"/>
                <w:szCs w:val="17"/>
                <w:color w:val="auto"/>
              </w:rPr>
            </w:pPr>
          </w:p>
        </w:tc>
        <w:tc>
          <w:tcPr>
            <w:tcW w:w="3000" w:type="dxa"/>
            <w:vAlign w:val="bottom"/>
            <w:tcBorders>
              <w:right w:val="single" w:sz="8" w:color="BFBFBF"/>
            </w:tcBorders>
          </w:tcPr>
          <w:p>
            <w:pPr>
              <w:spacing w:after="0"/>
              <w:rPr>
                <w:sz w:val="17"/>
                <w:szCs w:val="17"/>
                <w:color w:val="auto"/>
              </w:rPr>
            </w:pPr>
          </w:p>
        </w:tc>
      </w:tr>
      <w:tr>
        <w:trPr>
          <w:trHeight w:val="203"/>
        </w:trPr>
        <w:tc>
          <w:tcPr>
            <w:tcW w:w="6300" w:type="dxa"/>
            <w:vAlign w:val="bottom"/>
            <w:tcBorders>
              <w:left w:val="single" w:sz="8" w:color="BFBFBF"/>
              <w:right w:val="single" w:sz="8" w:color="BFBFBF"/>
            </w:tcBorders>
          </w:tcPr>
          <w:p>
            <w:pPr>
              <w:ind w:left="20"/>
              <w:spacing w:after="0" w:line="202" w:lineRule="exact"/>
              <w:rPr>
                <w:sz w:val="20"/>
                <w:szCs w:val="20"/>
                <w:color w:val="auto"/>
              </w:rPr>
            </w:pPr>
            <w:r>
              <w:rPr>
                <w:rFonts w:ascii="Arial" w:cs="Arial" w:eastAsia="Arial" w:hAnsi="Arial"/>
                <w:sz w:val="18"/>
                <w:szCs w:val="18"/>
                <w:color w:val="auto"/>
              </w:rPr>
              <w:t>Amin (Corporate Finance)</w:t>
            </w:r>
          </w:p>
        </w:tc>
        <w:tc>
          <w:tcPr>
            <w:tcW w:w="660" w:type="dxa"/>
            <w:vAlign w:val="bottom"/>
          </w:tcPr>
          <w:p>
            <w:pPr>
              <w:spacing w:after="0"/>
              <w:rPr>
                <w:sz w:val="17"/>
                <w:szCs w:val="17"/>
                <w:color w:val="auto"/>
              </w:rPr>
            </w:pPr>
          </w:p>
        </w:tc>
        <w:tc>
          <w:tcPr>
            <w:tcW w:w="3000" w:type="dxa"/>
            <w:vAlign w:val="bottom"/>
            <w:tcBorders>
              <w:right w:val="single" w:sz="8" w:color="BFBFBF"/>
            </w:tcBorders>
          </w:tcPr>
          <w:p>
            <w:pPr>
              <w:spacing w:after="0"/>
              <w:rPr>
                <w:sz w:val="17"/>
                <w:szCs w:val="17"/>
                <w:color w:val="auto"/>
              </w:rPr>
            </w:pPr>
          </w:p>
        </w:tc>
      </w:tr>
      <w:tr>
        <w:trPr>
          <w:trHeight w:val="224"/>
        </w:trPr>
        <w:tc>
          <w:tcPr>
            <w:tcW w:w="630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Tom Salvesen (Corporate Broking)</w:t>
            </w:r>
          </w:p>
        </w:tc>
        <w:tc>
          <w:tcPr>
            <w:tcW w:w="660" w:type="dxa"/>
            <w:vAlign w:val="bottom"/>
            <w:tcBorders>
              <w:bottom w:val="single" w:sz="8" w:color="BFBFBF"/>
            </w:tcBorders>
          </w:tcPr>
          <w:p>
            <w:pPr>
              <w:spacing w:after="0"/>
              <w:rPr>
                <w:sz w:val="19"/>
                <w:szCs w:val="19"/>
                <w:color w:val="auto"/>
              </w:rPr>
            </w:pPr>
          </w:p>
        </w:tc>
        <w:tc>
          <w:tcPr>
            <w:tcW w:w="3000" w:type="dxa"/>
            <w:vAlign w:val="bottom"/>
            <w:tcBorders>
              <w:bottom w:val="single" w:sz="8" w:color="BFBFBF"/>
              <w:right w:val="single" w:sz="8" w:color="BFBFBF"/>
            </w:tcBorders>
          </w:tcPr>
          <w:p>
            <w:pPr>
              <w:spacing w:after="0"/>
              <w:rPr>
                <w:sz w:val="19"/>
                <w:szCs w:val="19"/>
                <w:color w:val="auto"/>
              </w:rPr>
            </w:pPr>
          </w:p>
        </w:tc>
      </w:tr>
      <w:tr>
        <w:trPr>
          <w:trHeight w:val="216"/>
        </w:trPr>
        <w:tc>
          <w:tcPr>
            <w:tcW w:w="6300" w:type="dxa"/>
            <w:vAlign w:val="bottom"/>
            <w:tcBorders>
              <w:left w:val="single" w:sz="8" w:color="BFBFBF"/>
              <w:bottom w:val="single" w:sz="8" w:color="BFBFBF"/>
              <w:right w:val="single" w:sz="8" w:color="BFBFBF"/>
            </w:tcBorders>
          </w:tcPr>
          <w:p>
            <w:pPr>
              <w:spacing w:after="0"/>
              <w:rPr>
                <w:sz w:val="18"/>
                <w:szCs w:val="18"/>
                <w:color w:val="auto"/>
              </w:rPr>
            </w:pPr>
          </w:p>
        </w:tc>
        <w:tc>
          <w:tcPr>
            <w:tcW w:w="660" w:type="dxa"/>
            <w:vAlign w:val="bottom"/>
            <w:tcBorders>
              <w:bottom w:val="single" w:sz="8" w:color="BFBFBF"/>
            </w:tcBorders>
          </w:tcPr>
          <w:p>
            <w:pPr>
              <w:spacing w:after="0"/>
              <w:rPr>
                <w:sz w:val="18"/>
                <w:szCs w:val="18"/>
                <w:color w:val="auto"/>
              </w:rPr>
            </w:pPr>
          </w:p>
        </w:tc>
        <w:tc>
          <w:tcPr>
            <w:tcW w:w="3000" w:type="dxa"/>
            <w:vAlign w:val="bottom"/>
            <w:tcBorders>
              <w:bottom w:val="single" w:sz="8" w:color="BFBFBF"/>
              <w:right w:val="single" w:sz="8" w:color="BFBFBF"/>
            </w:tcBorders>
          </w:tcPr>
          <w:p>
            <w:pPr>
              <w:spacing w:after="0"/>
              <w:rPr>
                <w:sz w:val="18"/>
                <w:szCs w:val="18"/>
                <w:color w:val="auto"/>
              </w:rPr>
            </w:pPr>
          </w:p>
        </w:tc>
      </w:tr>
      <w:tr>
        <w:trPr>
          <w:trHeight w:val="222"/>
        </w:trPr>
        <w:tc>
          <w:tcPr>
            <w:tcW w:w="630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b w:val="1"/>
                <w:bCs w:val="1"/>
                <w:color w:val="auto"/>
              </w:rPr>
              <w:t>Optimum Strategic Communications</w:t>
            </w:r>
          </w:p>
        </w:tc>
        <w:tc>
          <w:tcPr>
            <w:tcW w:w="660" w:type="dxa"/>
            <w:vAlign w:val="bottom"/>
          </w:tcPr>
          <w:p>
            <w:pPr>
              <w:spacing w:after="0"/>
              <w:rPr>
                <w:sz w:val="20"/>
                <w:szCs w:val="20"/>
                <w:color w:val="auto"/>
              </w:rPr>
            </w:pPr>
            <w:r>
              <w:rPr>
                <w:rFonts w:ascii="Arial" w:cs="Arial" w:eastAsia="Arial" w:hAnsi="Arial"/>
                <w:sz w:val="18"/>
                <w:szCs w:val="18"/>
                <w:color w:val="auto"/>
                <w:w w:val="97"/>
              </w:rPr>
              <w:t>Tel: +44</w:t>
            </w:r>
          </w:p>
        </w:tc>
        <w:tc>
          <w:tcPr>
            <w:tcW w:w="3000" w:type="dxa"/>
            <w:vAlign w:val="bottom"/>
            <w:tcBorders>
              <w:right w:val="single" w:sz="8" w:color="BFBFBF"/>
            </w:tcBorders>
          </w:tcPr>
          <w:p>
            <w:pPr>
              <w:ind w:left="40"/>
              <w:spacing w:after="0"/>
              <w:rPr>
                <w:sz w:val="20"/>
                <w:szCs w:val="20"/>
                <w:color w:val="auto"/>
              </w:rPr>
            </w:pPr>
            <w:r>
              <w:rPr>
                <w:rFonts w:ascii="Arial" w:cs="Arial" w:eastAsia="Arial" w:hAnsi="Arial"/>
                <w:sz w:val="18"/>
                <w:szCs w:val="18"/>
                <w:color w:val="auto"/>
              </w:rPr>
              <w:t>(0)20 950 9144</w:t>
            </w:r>
          </w:p>
        </w:tc>
      </w:tr>
      <w:tr>
        <w:trPr>
          <w:trHeight w:val="224"/>
        </w:trPr>
        <w:tc>
          <w:tcPr>
            <w:tcW w:w="630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(European Media and Investor Enquiries)</w:t>
            </w:r>
          </w:p>
        </w:tc>
        <w:tc>
          <w:tcPr>
            <w:tcW w:w="3660" w:type="dxa"/>
            <w:vAlign w:val="bottom"/>
            <w:tcBorders>
              <w:bottom w:val="single" w:sz="8" w:color="BFBFBF"/>
              <w:right w:val="single" w:sz="8" w:color="BFBFBF"/>
            </w:tcBorders>
            <w:gridSpan w:val="2"/>
          </w:tcPr>
          <w:p>
            <w:pPr>
              <w:spacing w:after="0"/>
              <w:rPr>
                <w:sz w:val="20"/>
                <w:szCs w:val="20"/>
                <w:color w:val="auto"/>
              </w:rPr>
            </w:pPr>
            <w:r>
              <w:rPr>
                <w:rFonts w:ascii="Arial" w:cs="Arial" w:eastAsia="Arial" w:hAnsi="Arial"/>
                <w:sz w:val="18"/>
                <w:szCs w:val="18"/>
                <w:color w:val="auto"/>
              </w:rPr>
              <w:t>verona@optimumcomms.com</w:t>
            </w:r>
          </w:p>
        </w:tc>
      </w:tr>
      <w:tr>
        <w:trPr>
          <w:trHeight w:val="264"/>
        </w:trPr>
        <w:tc>
          <w:tcPr>
            <w:tcW w:w="630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Mary Clark / Eva Haas / Hollie Vile</w:t>
            </w:r>
          </w:p>
        </w:tc>
        <w:tc>
          <w:tcPr>
            <w:tcW w:w="660" w:type="dxa"/>
            <w:vAlign w:val="bottom"/>
            <w:tcBorders>
              <w:bottom w:val="single" w:sz="8" w:color="BFBFBF"/>
            </w:tcBorders>
          </w:tcPr>
          <w:p>
            <w:pPr>
              <w:spacing w:after="0"/>
              <w:rPr>
                <w:sz w:val="22"/>
                <w:szCs w:val="22"/>
                <w:color w:val="auto"/>
              </w:rPr>
            </w:pPr>
          </w:p>
        </w:tc>
        <w:tc>
          <w:tcPr>
            <w:tcW w:w="3000" w:type="dxa"/>
            <w:vAlign w:val="bottom"/>
            <w:tcBorders>
              <w:bottom w:val="single" w:sz="8" w:color="BFBFBF"/>
              <w:right w:val="single" w:sz="8" w:color="BFBFBF"/>
            </w:tcBorders>
          </w:tcPr>
          <w:p>
            <w:pPr>
              <w:spacing w:after="0"/>
              <w:rPr>
                <w:sz w:val="22"/>
                <w:szCs w:val="22"/>
                <w:color w:val="auto"/>
              </w:rPr>
            </w:pPr>
          </w:p>
        </w:tc>
      </w:tr>
      <w:tr>
        <w:trPr>
          <w:trHeight w:val="216"/>
        </w:trPr>
        <w:tc>
          <w:tcPr>
            <w:tcW w:w="6300" w:type="dxa"/>
            <w:vAlign w:val="bottom"/>
            <w:tcBorders>
              <w:left w:val="single" w:sz="8" w:color="BFBFBF"/>
              <w:bottom w:val="single" w:sz="8" w:color="BFBFBF"/>
              <w:right w:val="single" w:sz="8" w:color="BFBFBF"/>
            </w:tcBorders>
          </w:tcPr>
          <w:p>
            <w:pPr>
              <w:spacing w:after="0"/>
              <w:rPr>
                <w:sz w:val="18"/>
                <w:szCs w:val="18"/>
                <w:color w:val="auto"/>
              </w:rPr>
            </w:pPr>
          </w:p>
        </w:tc>
        <w:tc>
          <w:tcPr>
            <w:tcW w:w="660" w:type="dxa"/>
            <w:vAlign w:val="bottom"/>
            <w:tcBorders>
              <w:bottom w:val="single" w:sz="8" w:color="BFBFBF"/>
            </w:tcBorders>
          </w:tcPr>
          <w:p>
            <w:pPr>
              <w:spacing w:after="0"/>
              <w:rPr>
                <w:sz w:val="18"/>
                <w:szCs w:val="18"/>
                <w:color w:val="auto"/>
              </w:rPr>
            </w:pPr>
          </w:p>
        </w:tc>
        <w:tc>
          <w:tcPr>
            <w:tcW w:w="3000" w:type="dxa"/>
            <w:vAlign w:val="bottom"/>
            <w:tcBorders>
              <w:bottom w:val="single" w:sz="8" w:color="BFBFBF"/>
              <w:right w:val="single" w:sz="8" w:color="BFBFBF"/>
            </w:tcBorders>
          </w:tcPr>
          <w:p>
            <w:pPr>
              <w:spacing w:after="0"/>
              <w:rPr>
                <w:sz w:val="18"/>
                <w:szCs w:val="18"/>
                <w:color w:val="auto"/>
              </w:rPr>
            </w:pPr>
          </w:p>
        </w:tc>
      </w:tr>
      <w:tr>
        <w:trPr>
          <w:trHeight w:val="222"/>
        </w:trPr>
        <w:tc>
          <w:tcPr>
            <w:tcW w:w="630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b w:val="1"/>
                <w:bCs w:val="1"/>
                <w:color w:val="auto"/>
              </w:rPr>
              <w:t>Argot Partners</w:t>
            </w:r>
          </w:p>
        </w:tc>
        <w:tc>
          <w:tcPr>
            <w:tcW w:w="3660" w:type="dxa"/>
            <w:vAlign w:val="bottom"/>
            <w:tcBorders>
              <w:right w:val="single" w:sz="8" w:color="BFBFBF"/>
            </w:tcBorders>
            <w:gridSpan w:val="2"/>
          </w:tcPr>
          <w:p>
            <w:pPr>
              <w:spacing w:after="0"/>
              <w:rPr>
                <w:sz w:val="20"/>
                <w:szCs w:val="20"/>
                <w:color w:val="auto"/>
              </w:rPr>
            </w:pPr>
            <w:r>
              <w:rPr>
                <w:rFonts w:ascii="Arial" w:cs="Arial" w:eastAsia="Arial" w:hAnsi="Arial"/>
                <w:sz w:val="18"/>
                <w:szCs w:val="18"/>
                <w:color w:val="auto"/>
              </w:rPr>
              <w:t>Tel: +1 212-600-1902</w:t>
            </w:r>
          </w:p>
        </w:tc>
      </w:tr>
      <w:tr>
        <w:trPr>
          <w:trHeight w:val="224"/>
        </w:trPr>
        <w:tc>
          <w:tcPr>
            <w:tcW w:w="630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(US Investor Enquiries)</w:t>
            </w:r>
          </w:p>
        </w:tc>
        <w:tc>
          <w:tcPr>
            <w:tcW w:w="3660" w:type="dxa"/>
            <w:vAlign w:val="bottom"/>
            <w:tcBorders>
              <w:bottom w:val="single" w:sz="8" w:color="BFBFBF"/>
              <w:right w:val="single" w:sz="8" w:color="BFBFBF"/>
            </w:tcBorders>
            <w:gridSpan w:val="2"/>
          </w:tcPr>
          <w:p>
            <w:pPr>
              <w:spacing w:after="0"/>
              <w:rPr>
                <w:sz w:val="20"/>
                <w:szCs w:val="20"/>
                <w:color w:val="auto"/>
              </w:rPr>
            </w:pPr>
            <w:r>
              <w:rPr>
                <w:rFonts w:ascii="Arial" w:cs="Arial" w:eastAsia="Arial" w:hAnsi="Arial"/>
                <w:sz w:val="18"/>
                <w:szCs w:val="18"/>
                <w:color w:val="auto"/>
              </w:rPr>
              <w:t>verona@argotpartners.com</w:t>
            </w:r>
          </w:p>
        </w:tc>
      </w:tr>
      <w:tr>
        <w:trPr>
          <w:trHeight w:val="229"/>
        </w:trPr>
        <w:tc>
          <w:tcPr>
            <w:tcW w:w="630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Stephanie Marks / Kimberly Minarovich /</w:t>
            </w:r>
          </w:p>
        </w:tc>
        <w:tc>
          <w:tcPr>
            <w:tcW w:w="660" w:type="dxa"/>
            <w:vAlign w:val="bottom"/>
          </w:tcPr>
          <w:p>
            <w:pPr>
              <w:spacing w:after="0"/>
              <w:rPr>
                <w:sz w:val="19"/>
                <w:szCs w:val="19"/>
                <w:color w:val="auto"/>
              </w:rPr>
            </w:pPr>
          </w:p>
        </w:tc>
        <w:tc>
          <w:tcPr>
            <w:tcW w:w="3000" w:type="dxa"/>
            <w:vAlign w:val="bottom"/>
            <w:tcBorders>
              <w:right w:val="single" w:sz="8" w:color="BFBFBF"/>
            </w:tcBorders>
          </w:tcPr>
          <w:p>
            <w:pPr>
              <w:spacing w:after="0"/>
              <w:rPr>
                <w:sz w:val="19"/>
                <w:szCs w:val="19"/>
                <w:color w:val="auto"/>
              </w:rPr>
            </w:pPr>
          </w:p>
        </w:tc>
      </w:tr>
      <w:tr>
        <w:trPr>
          <w:trHeight w:val="224"/>
        </w:trPr>
        <w:tc>
          <w:tcPr>
            <w:tcW w:w="630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Michael Barron</w:t>
            </w:r>
          </w:p>
        </w:tc>
        <w:tc>
          <w:tcPr>
            <w:tcW w:w="660" w:type="dxa"/>
            <w:vAlign w:val="bottom"/>
            <w:tcBorders>
              <w:bottom w:val="single" w:sz="8" w:color="BFBFBF"/>
            </w:tcBorders>
          </w:tcPr>
          <w:p>
            <w:pPr>
              <w:spacing w:after="0"/>
              <w:rPr>
                <w:sz w:val="19"/>
                <w:szCs w:val="19"/>
                <w:color w:val="auto"/>
              </w:rPr>
            </w:pPr>
          </w:p>
        </w:tc>
        <w:tc>
          <w:tcPr>
            <w:tcW w:w="3000" w:type="dxa"/>
            <w:vAlign w:val="bottom"/>
            <w:tcBorders>
              <w:bottom w:val="single" w:sz="8" w:color="BFBFBF"/>
              <w:right w:val="single" w:sz="8" w:color="BFBFBF"/>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2020-04-16T13:58:22Z</dcterms:created>
  <dcterms:modified xsi:type="dcterms:W3CDTF">2020-04-16T13:58:22Z</dcterms:modified>
</cp:coreProperties>
</file>