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3" w:lineRule="exact"/>
        <w:rPr>
          <w:sz w:val="24"/>
          <w:szCs w:val="24"/>
          <w:color w:val="auto"/>
        </w:rPr>
      </w:pPr>
    </w:p>
    <w:p>
      <w:pPr>
        <w:ind w:left="1480" w:hanging="309"/>
        <w:spacing w:after="0"/>
        <w:tabs>
          <w:tab w:leader="none" w:pos="1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quarterly period ended June 30, 2024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6" w:lineRule="exact"/>
        <w:rPr>
          <w:sz w:val="24"/>
          <w:szCs w:val="24"/>
          <w:color w:val="auto"/>
        </w:rPr>
      </w:pPr>
    </w:p>
    <w:p>
      <w:pPr>
        <w:ind w:left="1480" w:hanging="314"/>
        <w:spacing w:after="0"/>
        <w:tabs>
          <w:tab w:leader="none" w:pos="1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 TO 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001-38067</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Verona Pharma plc</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5"/>
                <w:szCs w:val="15"/>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w w:val="99"/>
              </w:rPr>
              <w:t>United Kingdom</w:t>
            </w:r>
          </w:p>
        </w:tc>
        <w:tc>
          <w:tcPr>
            <w:tcW w:w="3640" w:type="dxa"/>
            <w:vAlign w:val="bottom"/>
          </w:tcPr>
          <w:p>
            <w:pPr>
              <w:spacing w:after="0"/>
              <w:rPr>
                <w:sz w:val="16"/>
                <w:szCs w:val="16"/>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4"/>
                <w:szCs w:val="14"/>
                <w:b w:val="1"/>
                <w:bCs w:val="1"/>
                <w:color w:val="auto"/>
              </w:rPr>
              <w:t>98-1489389</w:t>
            </w:r>
          </w:p>
        </w:tc>
      </w:tr>
      <w:tr>
        <w:trPr>
          <w:trHeight w:val="151"/>
        </w:trPr>
        <w:tc>
          <w:tcPr>
            <w:tcW w:w="7420" w:type="dxa"/>
            <w:vAlign w:val="bottom"/>
            <w:gridSpan w:val="2"/>
          </w:tcPr>
          <w:p>
            <w:pPr>
              <w:jc w:val="center"/>
              <w:ind w:right="2155"/>
              <w:spacing w:after="0"/>
              <w:rPr>
                <w:sz w:val="20"/>
                <w:szCs w:val="20"/>
                <w:color w:val="auto"/>
              </w:rPr>
            </w:pPr>
            <w:r>
              <w:rPr>
                <w:rFonts w:ascii="Times New Roman" w:cs="Times New Roman" w:eastAsia="Times New Roman" w:hAnsi="Times New Roman"/>
                <w:sz w:val="11"/>
                <w:szCs w:val="11"/>
                <w:b w:val="1"/>
                <w:bCs w:val="1"/>
                <w:color w:val="auto"/>
              </w:rPr>
              <w:t>(State or other jurisdiction of incorporation or organization)</w:t>
            </w: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40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3 More London Riverside</w:t>
            </w:r>
          </w:p>
        </w:tc>
        <w:tc>
          <w:tcPr>
            <w:tcW w:w="3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86"/>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London SE1 2RE United Kingdom</w:t>
            </w:r>
          </w:p>
        </w:tc>
        <w:tc>
          <w:tcPr>
            <w:tcW w:w="3640" w:type="dxa"/>
            <w:vAlign w:val="bottom"/>
          </w:tcPr>
          <w:p>
            <w:pPr>
              <w:spacing w:after="0"/>
              <w:rPr>
                <w:sz w:val="16"/>
                <w:szCs w:val="16"/>
                <w:color w:val="auto"/>
              </w:rPr>
            </w:pPr>
          </w:p>
        </w:tc>
        <w:tc>
          <w:tcPr>
            <w:tcW w:w="3840" w:type="dxa"/>
            <w:vAlign w:val="bottom"/>
          </w:tcPr>
          <w:p>
            <w:pPr>
              <w:jc w:val="center"/>
              <w:ind w:right="1236"/>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72"/>
        </w:trPr>
        <w:tc>
          <w:tcPr>
            <w:tcW w:w="3780" w:type="dxa"/>
            <w:vAlign w:val="bottom"/>
          </w:tcPr>
          <w:p>
            <w:pPr>
              <w:jc w:val="center"/>
              <w:ind w:left="13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640" w:type="dxa"/>
            <w:vAlign w:val="bottom"/>
          </w:tcPr>
          <w:p>
            <w:pPr>
              <w:spacing w:after="0"/>
              <w:rPr>
                <w:sz w:val="14"/>
                <w:szCs w:val="14"/>
                <w:color w:val="auto"/>
              </w:rPr>
            </w:pPr>
          </w:p>
        </w:tc>
        <w:tc>
          <w:tcPr>
            <w:tcW w:w="3840" w:type="dxa"/>
            <w:vAlign w:val="bottom"/>
          </w:tcPr>
          <w:p>
            <w:pPr>
              <w:jc w:val="center"/>
              <w:ind w:right="1256"/>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15"/>
        </w:trPr>
        <w:tc>
          <w:tcPr>
            <w:tcW w:w="3780" w:type="dxa"/>
            <w:vAlign w:val="bottom"/>
          </w:tcPr>
          <w:p>
            <w:pPr>
              <w:spacing w:after="0"/>
              <w:rPr>
                <w:sz w:val="18"/>
                <w:szCs w:val="18"/>
                <w:color w:val="auto"/>
              </w:rPr>
            </w:pPr>
          </w:p>
        </w:tc>
        <w:tc>
          <w:tcPr>
            <w:tcW w:w="3640" w:type="dxa"/>
            <w:vAlign w:val="bottom"/>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+44 203 283 4200</w:t>
            </w:r>
          </w:p>
        </w:tc>
        <w:tc>
          <w:tcPr>
            <w:tcW w:w="3840" w:type="dxa"/>
            <w:vAlign w:val="bottom"/>
          </w:tcPr>
          <w:p>
            <w:pPr>
              <w:spacing w:after="0"/>
              <w:rPr>
                <w:sz w:val="18"/>
                <w:szCs w:val="18"/>
                <w:color w:val="auto"/>
              </w:rPr>
            </w:pPr>
          </w:p>
        </w:tc>
      </w:tr>
      <w:tr>
        <w:trPr>
          <w:trHeight w:val="186"/>
        </w:trPr>
        <w:tc>
          <w:tcPr>
            <w:tcW w:w="3780" w:type="dxa"/>
            <w:vAlign w:val="bottom"/>
          </w:tcPr>
          <w:p>
            <w:pPr>
              <w:spacing w:after="0"/>
              <w:rPr>
                <w:sz w:val="16"/>
                <w:szCs w:val="16"/>
                <w:color w:val="auto"/>
              </w:rPr>
            </w:pPr>
          </w:p>
        </w:tc>
        <w:tc>
          <w:tcPr>
            <w:tcW w:w="364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40" w:type="dxa"/>
            <w:vAlign w:val="bottom"/>
          </w:tcPr>
          <w:p>
            <w:pPr>
              <w:spacing w:after="0"/>
              <w:rPr>
                <w:sz w:val="16"/>
                <w:szCs w:val="16"/>
                <w:color w:val="auto"/>
              </w:rPr>
            </w:pPr>
          </w:p>
        </w:tc>
      </w:tr>
      <w:tr>
        <w:trPr>
          <w:trHeight w:val="319"/>
        </w:trPr>
        <w:tc>
          <w:tcPr>
            <w:tcW w:w="3780" w:type="dxa"/>
            <w:vAlign w:val="bottom"/>
            <w:tcBorders>
              <w:bottom w:val="single" w:sz="8" w:color="auto"/>
            </w:tcBorders>
          </w:tcPr>
          <w:p>
            <w:pPr>
              <w:jc w:val="center"/>
              <w:ind w:left="109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40" w:type="dxa"/>
            <w:vAlign w:val="bottom"/>
            <w:tcBorders>
              <w:bottom w:val="single" w:sz="8" w:color="auto"/>
            </w:tcBorders>
          </w:tcPr>
          <w:p>
            <w:pPr>
              <w:jc w:val="center"/>
              <w:ind w:right="103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80" w:type="dxa"/>
            <w:vAlign w:val="bottom"/>
          </w:tcPr>
          <w:p>
            <w:pPr>
              <w:jc w:val="center"/>
              <w:ind w:left="1115"/>
              <w:spacing w:after="0"/>
              <w:rPr>
                <w:sz w:val="20"/>
                <w:szCs w:val="20"/>
                <w:color w:val="auto"/>
              </w:rPr>
            </w:pPr>
            <w:r>
              <w:rPr>
                <w:rFonts w:ascii="Times New Roman" w:cs="Times New Roman" w:eastAsia="Times New Roman" w:hAnsi="Times New Roman"/>
                <w:sz w:val="11"/>
                <w:szCs w:val="11"/>
                <w:color w:val="auto"/>
              </w:rPr>
              <w:t>Ordinary shares, nominal value £0.05 per share*</w:t>
            </w:r>
          </w:p>
        </w:tc>
        <w:tc>
          <w:tcPr>
            <w:tcW w:w="3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VRNA</w:t>
            </w:r>
          </w:p>
        </w:tc>
        <w:tc>
          <w:tcPr>
            <w:tcW w:w="3840" w:type="dxa"/>
            <w:vAlign w:val="bottom"/>
          </w:tcPr>
          <w:p>
            <w:pPr>
              <w:jc w:val="center"/>
              <w:ind w:right="1056"/>
              <w:spacing w:after="0"/>
              <w:rPr>
                <w:sz w:val="20"/>
                <w:szCs w:val="20"/>
                <w:color w:val="auto"/>
              </w:rPr>
            </w:pPr>
            <w:r>
              <w:rPr>
                <w:rFonts w:ascii="Times New Roman" w:cs="Times New Roman" w:eastAsia="Times New Roman" w:hAnsi="Times New Roman"/>
                <w:sz w:val="11"/>
                <w:szCs w:val="11"/>
                <w:color w:val="auto"/>
              </w:rPr>
              <w:t>The Nasdaq Stock Market LLC (Nasdaq Global Market)</w:t>
            </w:r>
          </w:p>
        </w:tc>
      </w:tr>
    </w:tbl>
    <w:p>
      <w:pPr>
        <w:spacing w:after="0" w:line="150" w:lineRule="exact"/>
        <w:rPr>
          <w:sz w:val="24"/>
          <w:szCs w:val="24"/>
          <w:color w:val="auto"/>
        </w:rPr>
      </w:pPr>
    </w:p>
    <w:p>
      <w:pPr>
        <w:ind w:right="440" w:firstLine="5"/>
        <w:spacing w:after="0" w:line="300" w:lineRule="auto"/>
        <w:tabs>
          <w:tab w:leader="none" w:pos="85"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53" w:lineRule="exact"/>
        <w:rPr>
          <w:sz w:val="24"/>
          <w:szCs w:val="24"/>
          <w:color w:val="auto"/>
        </w:rPr>
      </w:pPr>
    </w:p>
    <w:p>
      <w:pPr>
        <w:ind w:right="1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4"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August 2, 2024, the registrant had 649,881,246 ordinary shares, nominal value £0.05 per share, outstanding, which if all held in ADS form, would be represented by 81,235,156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728980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1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20" w:type="dxa"/>
            <w:vAlign w:val="bottom"/>
          </w:tcPr>
          <w:p>
            <w:pPr>
              <w:spacing w:after="0"/>
              <w:rPr>
                <w:sz w:val="13"/>
                <w:szCs w:val="13"/>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PART I - FINANCIAL INFORMATION</w:t>
            </w:r>
          </w:p>
        </w:tc>
        <w:tc>
          <w:tcPr>
            <w:tcW w:w="1080" w:type="dxa"/>
            <w:vAlign w:val="bottom"/>
          </w:tcPr>
          <w:p>
            <w:pPr>
              <w:spacing w:after="0"/>
              <w:rPr>
                <w:sz w:val="13"/>
                <w:szCs w:val="13"/>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Financial Statements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0"/>
        </w:trPr>
        <w:tc>
          <w:tcPr>
            <w:tcW w:w="20" w:type="dxa"/>
            <w:vAlign w:val="bottom"/>
            <w:shd w:val="clear" w:color="auto" w:fill="CCEEFF"/>
          </w:tcPr>
          <w:p>
            <w:pPr>
              <w:spacing w:after="0"/>
              <w:rPr>
                <w:sz w:val="15"/>
                <w:szCs w:val="15"/>
                <w:color w:val="auto"/>
              </w:rPr>
            </w:pPr>
          </w:p>
        </w:tc>
        <w:tc>
          <w:tcPr>
            <w:tcW w:w="10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1080" w:type="dxa"/>
            <w:vAlign w:val="bottom"/>
            <w:shd w:val="clear" w:color="auto" w:fill="CCEEFF"/>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1</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1A.</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2</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Unregistered Sales of Equity Securities, Use of Proceeds, and Issuer Purchases of Equity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3</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Mine Safety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5</w:t>
            </w: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6</w:t>
            </w:r>
          </w:p>
        </w:tc>
        <w:tc>
          <w:tcPr>
            <w:tcW w:w="9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Exhibits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r>
      <w:tr>
        <w:trPr>
          <w:trHeight w:val="97"/>
        </w:trPr>
        <w:tc>
          <w:tcPr>
            <w:tcW w:w="20" w:type="dxa"/>
            <w:vAlign w:val="bottom"/>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1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233"/>
        </w:trPr>
        <w:tc>
          <w:tcPr>
            <w:tcW w:w="2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916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w:t>
            </w:r>
          </w:p>
        </w:tc>
      </w:tr>
      <w:tr>
        <w:trPr>
          <w:trHeight w:val="97"/>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0000FF"/>
            </w:tcBorders>
            <w:shd w:val="clear" w:color="auto" w:fill="CCEEFF"/>
          </w:tcPr>
          <w:p>
            <w:pPr>
              <w:spacing w:after="0"/>
              <w:rPr>
                <w:sz w:val="8"/>
                <w:szCs w:val="8"/>
                <w:color w:val="auto"/>
              </w:rPr>
            </w:pPr>
          </w:p>
        </w:tc>
        <w:tc>
          <w:tcPr>
            <w:tcW w:w="14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91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II, Item 1A. “Risk Factors” in this Quarterly Report on Form 10-Q. You should carefully consider these risks and uncertainties when investing in our common shares. The principal risks and uncertainties affecting our business include the following:</w:t>
      </w:r>
    </w:p>
    <w:p>
      <w:pPr>
        <w:spacing w:after="0" w:line="40" w:lineRule="exact"/>
        <w:rPr>
          <w:sz w:val="20"/>
          <w:szCs w:val="20"/>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have never generated any product revenue.</w:t>
      </w:r>
    </w:p>
    <w:p>
      <w:pPr>
        <w:spacing w:after="0" w:line="72"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additional funding to complete development and commercialization of any future product candidates and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4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solely on the success of ensifentrine, which was recently approved by the FDA as Ohtuvayre. If we are unable to commercialize Ohtuvayre, or successfully develop ensifentrine for other indications, our ability to generate revenue and our financial condition will be adversely affected.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credit facility place restrictions on our operating and financial flexibility, and our existing and any future indebtedness could adversely affect our ability to operate our business.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revenue interest purchase and sale agreement ("RIPSA”) place restrictions on our operating and financial flexibility, and if we fail to comply with certain covenants in the RIPSA, our results of operations and financial condition may be harmed.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drug development and regulatory approval involve a lengthy and expensive process, with uncertain outcomes.</w:t>
      </w:r>
    </w:p>
    <w:p>
      <w:pPr>
        <w:spacing w:after="0" w:line="72"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4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2" w:name="page3"/>
    <w:bookmarkEnd w:id="2"/>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29" w:lineRule="exact"/>
        <w:rPr>
          <w:rFonts w:ascii="Times New Roman" w:cs="Times New Roman" w:eastAsia="Times New Roman" w:hAnsi="Times New Roman"/>
          <w:sz w:val="14"/>
          <w:szCs w:val="14"/>
          <w:color w:val="auto"/>
        </w:rPr>
      </w:pPr>
    </w:p>
    <w:p>
      <w:pPr>
        <w:jc w:val="both"/>
        <w:ind w:left="260" w:hanging="255"/>
        <w:spacing w:after="0" w:line="254"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ensiftentrine for additional targeted indications and formulations, our business will be substantially harmed.</w:t>
      </w:r>
    </w:p>
    <w:p>
      <w:pPr>
        <w:spacing w:after="0" w:line="4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never obtain approval or commercialize ensifentrine in other major markets outside of the U.S., which would limit our ability to realize its full market potential.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Enacted and future legislation and regulation may increase the difficulty and cost for us to commercialize our products and may affect the prices we may set.</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and rapidly changing industry, which may result in others discovering, developing or commercializing competing products before or more successfully than we do.</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products, including Ohtuvayre, do not gain market acceptance or if we fail to accurately forecast demand or manage our inventories, our business will suffer because we might not be able to fund future operations.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 capabilities and infrastructure, including sales, marketing, operations, distribution, and reimbursement infrastructure, may not be adequate to successfully commercialize Ohtuvayre.</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including independent clinical investigators and CROs, to conduct our pre-clinical studies and clinical trials.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50"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and ability to compete depends on our ability to retain our key personnel and recruit additional qualified personnel.</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shareholders, members of our board of directors, and senior management who own our ordinary shares (including ordinary shares represented by ADSs) may be able to exercise significant control over us.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ADSs may be volatile and may fluctuate due to factors beyond our control.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could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3" w:name="page4"/>
    <w:bookmarkEnd w:id="3"/>
    <w:p>
      <w:pPr>
        <w:jc w:val="right"/>
        <w:ind w:right="303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4"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20" w:type="dxa"/>
            <w:vAlign w:val="bottom"/>
          </w:tcPr>
          <w:p>
            <w:pPr>
              <w:spacing w:after="0"/>
              <w:rPr>
                <w:sz w:val="12"/>
                <w:szCs w:val="12"/>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404,599</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 incentive receivable</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416,292</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289,708</w:t>
            </w:r>
          </w:p>
        </w:tc>
        <w:tc>
          <w:tcPr>
            <w:tcW w:w="0" w:type="dxa"/>
            <w:vAlign w:val="bottom"/>
          </w:tcPr>
          <w:p>
            <w:pPr>
              <w:spacing w:after="0"/>
              <w:rPr>
                <w:sz w:val="1"/>
                <w:szCs w:val="1"/>
                <w:color w:val="auto"/>
              </w:rPr>
            </w:pPr>
          </w:p>
        </w:tc>
      </w:tr>
      <w:tr>
        <w:trPr>
          <w:trHeight w:val="170"/>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Furniture and equipment, net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Right-of-use assets</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434,123</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308,124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408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w:t>
            </w: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License agreement obligations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Taxes payable</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48,346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w:t>
            </w:r>
          </w:p>
        </w:tc>
        <w:tc>
          <w:tcPr>
            <w:tcW w:w="0" w:type="dxa"/>
            <w:vAlign w:val="bottom"/>
          </w:tcPr>
          <w:p>
            <w:pPr>
              <w:spacing w:after="0"/>
              <w:rPr>
                <w:sz w:val="1"/>
                <w:szCs w:val="1"/>
                <w:color w:val="auto"/>
              </w:rPr>
            </w:pPr>
          </w:p>
        </w:tc>
      </w:tr>
      <w:tr>
        <w:trPr>
          <w:trHeight w:val="170"/>
        </w:trPr>
        <w:tc>
          <w:tcPr>
            <w:tcW w:w="8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Term loan</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119,687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Revenue interest purchase security agreement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96,338</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217,503</w:t>
            </w:r>
          </w:p>
        </w:tc>
        <w:tc>
          <w:tcPr>
            <w:tcW w:w="1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50,149</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265,849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58,841</w:t>
            </w: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Ordinary £0.05 par value shares; 667,659,630 and 667,659,630 issued, and 648,654,174 and 643,536,094 outstanding, at June 30, 2024 and</w:t>
            </w:r>
          </w:p>
        </w:tc>
        <w:tc>
          <w:tcPr>
            <w:tcW w:w="30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0" w:type="dxa"/>
            <w:vAlign w:val="bottom"/>
          </w:tcPr>
          <w:p>
            <w:pPr>
              <w:spacing w:after="0"/>
              <w:rPr>
                <w:sz w:val="1"/>
                <w:szCs w:val="1"/>
                <w:color w:val="auto"/>
              </w:rPr>
            </w:pPr>
          </w:p>
        </w:tc>
      </w:tr>
      <w:tr>
        <w:trPr>
          <w:trHeight w:val="116"/>
        </w:trPr>
        <w:tc>
          <w:tcPr>
            <w:tcW w:w="8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30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30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8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616,618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601,063</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Ordinary shares held in treasury</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80"/>
        </w:trPr>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(485,311)</w:t>
            </w: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(388,433)</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168,274</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249,283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434,123</w:t>
            </w:r>
          </w:p>
        </w:tc>
        <w:tc>
          <w:tcPr>
            <w:tcW w:w="1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308,124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300" w:type="dxa"/>
            <w:vAlign w:val="bottom"/>
          </w:tcPr>
          <w:p>
            <w:pPr>
              <w:spacing w:after="0"/>
              <w:rPr>
                <w:sz w:val="12"/>
                <w:szCs w:val="12"/>
                <w:color w:val="auto"/>
              </w:rPr>
            </w:pPr>
          </w:p>
        </w:tc>
        <w:tc>
          <w:tcPr>
            <w:tcW w:w="2340" w:type="dxa"/>
            <w:vAlign w:val="bottom"/>
            <w:gridSpan w:val="4"/>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4"/>
          </w:tcPr>
          <w:p>
            <w:pPr>
              <w:jc w:val="right"/>
              <w:ind w:right="73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3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tcPr>
          <w:p>
            <w:pPr>
              <w:jc w:val="right"/>
              <w:ind w:right="69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19,388</w:t>
            </w:r>
          </w:p>
        </w:tc>
        <w:tc>
          <w:tcPr>
            <w:tcW w:w="100" w:type="dxa"/>
            <w:vAlign w:val="bottom"/>
          </w:tcPr>
          <w:p>
            <w:pPr>
              <w:spacing w:after="0"/>
              <w:rPr>
                <w:sz w:val="15"/>
                <w:szCs w:val="15"/>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26,152</w:t>
            </w:r>
          </w:p>
        </w:tc>
        <w:tc>
          <w:tcPr>
            <w:tcW w:w="1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68,423</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95,621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32,164</w:t>
            </w:r>
          </w:p>
        </w:tc>
        <w:tc>
          <w:tcPr>
            <w:tcW w:w="0" w:type="dxa"/>
            <w:vAlign w:val="bottom"/>
          </w:tcPr>
          <w:p>
            <w:pPr>
              <w:spacing w:after="0"/>
              <w:rPr>
                <w:sz w:val="1"/>
                <w:szCs w:val="1"/>
                <w:color w:val="auto"/>
              </w:rPr>
            </w:pPr>
          </w:p>
        </w:tc>
      </w:tr>
      <w:tr>
        <w:trPr>
          <w:trHeight w:val="17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(68,423)</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(32,164)</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w:t>
            </w:r>
          </w:p>
        </w:tc>
        <w:tc>
          <w:tcPr>
            <w:tcW w:w="0" w:type="dxa"/>
            <w:vAlign w:val="bottom"/>
          </w:tcPr>
          <w:p>
            <w:pPr>
              <w:spacing w:after="0"/>
              <w:rPr>
                <w:sz w:val="1"/>
                <w:szCs w:val="1"/>
                <w:color w:val="auto"/>
              </w:rPr>
            </w:pPr>
          </w:p>
        </w:tc>
      </w:tr>
      <w:tr>
        <w:trPr>
          <w:trHeight w:val="180"/>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85"/>
        </w:trPr>
        <w:tc>
          <w:tcPr>
            <w:tcW w:w="530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(expense)/income, net</w:t>
            </w: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0" w:type="dxa"/>
            <w:vAlign w:val="bottom"/>
          </w:tcPr>
          <w:p>
            <w:pPr>
              <w:spacing w:after="0"/>
              <w:rPr>
                <w:sz w:val="1"/>
                <w:szCs w:val="1"/>
                <w:color w:val="auto"/>
              </w:rPr>
            </w:pPr>
          </w:p>
        </w:tc>
      </w:tr>
      <w:tr>
        <w:trPr>
          <w:trHeight w:val="85"/>
        </w:trPr>
        <w:tc>
          <w:tcPr>
            <w:tcW w:w="530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(25,067)</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75"/>
        </w:trPr>
        <w:tc>
          <w:tcPr>
            <w:tcW w:w="530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40" w:type="dxa"/>
            <w:vAlign w:val="bottom"/>
            <w:tcBorders>
              <w:bottom w:val="single" w:sz="8" w:color="auto"/>
            </w:tcBorders>
            <w:shd w:val="clear" w:color="auto" w:fill="CCEEFF"/>
          </w:tcPr>
          <w:p>
            <w:pPr>
              <w:jc w:val="right"/>
              <w:ind w:right="695"/>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(70,835)</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93"/>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(8,807)</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(96,629)</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Loss per ordinary share - basic and diluted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300" w:type="dxa"/>
            <w:vAlign w:val="bottom"/>
            <w:vMerge w:val="continue"/>
          </w:tcPr>
          <w:p>
            <w:pPr>
              <w:spacing w:after="0"/>
              <w:rPr>
                <w:sz w:val="10"/>
                <w:szCs w:val="10"/>
                <w:color w:val="auto"/>
              </w:rPr>
            </w:pPr>
          </w:p>
        </w:tc>
        <w:tc>
          <w:tcPr>
            <w:tcW w:w="840" w:type="dxa"/>
            <w:vAlign w:val="bottom"/>
            <w:tcBorders>
              <w:bottom w:val="single" w:sz="8" w:color="auto"/>
            </w:tcBorders>
          </w:tcPr>
          <w:p>
            <w:pPr>
              <w:jc w:val="right"/>
              <w:ind w:right="695"/>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0"/>
                <w:szCs w:val="10"/>
                <w:color w:val="auto"/>
              </w:rPr>
            </w:pPr>
          </w:p>
        </w:tc>
        <w:tc>
          <w:tcPr>
            <w:tcW w:w="840" w:type="dxa"/>
            <w:vAlign w:val="bottom"/>
            <w:tcBorders>
              <w:bottom w:val="single" w:sz="8" w:color="auto"/>
            </w:tcBorders>
          </w:tcPr>
          <w:p>
            <w:pPr>
              <w:jc w:val="right"/>
              <w:ind w:right="693"/>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0"/>
                <w:szCs w:val="10"/>
                <w:color w:val="auto"/>
              </w:rPr>
            </w:pPr>
          </w:p>
        </w:tc>
        <w:tc>
          <w:tcPr>
            <w:tcW w:w="320" w:type="dxa"/>
            <w:vAlign w:val="bottom"/>
            <w:tcBorders>
              <w:bottom w:val="single" w:sz="8" w:color="auto"/>
            </w:tcBorders>
          </w:tcPr>
          <w:p>
            <w:pPr>
              <w:jc w:val="right"/>
              <w:ind w:right="169"/>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(0.15)</w:t>
            </w:r>
          </w:p>
        </w:tc>
        <w:tc>
          <w:tcPr>
            <w:tcW w:w="120" w:type="dxa"/>
            <w:vAlign w:val="bottom"/>
          </w:tcPr>
          <w:p>
            <w:pPr>
              <w:spacing w:after="0"/>
              <w:rPr>
                <w:sz w:val="10"/>
                <w:szCs w:val="10"/>
                <w:color w:val="auto"/>
              </w:rPr>
            </w:pPr>
          </w:p>
        </w:tc>
        <w:tc>
          <w:tcPr>
            <w:tcW w:w="320" w:type="dxa"/>
            <w:vAlign w:val="bottom"/>
            <w:tcBorders>
              <w:bottom w:val="single" w:sz="8" w:color="auto"/>
            </w:tcBorders>
          </w:tcPr>
          <w:p>
            <w:pPr>
              <w:jc w:val="right"/>
              <w:ind w:right="169"/>
              <w:spacing w:after="0" w:line="12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8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648,217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646,959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627,996</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0" w:lineRule="exact"/>
        <w:rPr>
          <w:sz w:val="20"/>
          <w:szCs w:val="20"/>
          <w:color w:val="auto"/>
        </w:r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2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2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20" w:type="dxa"/>
            <w:vAlign w:val="bottom"/>
          </w:tcPr>
          <w:p>
            <w:pPr>
              <w:spacing w:after="0"/>
              <w:rPr>
                <w:sz w:val="12"/>
                <w:szCs w:val="12"/>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60" w:type="dxa"/>
            <w:vAlign w:val="bottom"/>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2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40" w:type="dxa"/>
            <w:vAlign w:val="bottom"/>
          </w:tcPr>
          <w:p>
            <w:pPr>
              <w:spacing w:after="0"/>
              <w:rPr>
                <w:sz w:val="12"/>
                <w:szCs w:val="12"/>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2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667,659,630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7"/>
              </w:rPr>
              <w:t>(4,601)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249,283</w:t>
            </w:r>
          </w:p>
        </w:tc>
        <w:tc>
          <w:tcPr>
            <w:tcW w:w="0" w:type="dxa"/>
            <w:vAlign w:val="bottom"/>
          </w:tcPr>
          <w:p>
            <w:pPr>
              <w:spacing w:after="0"/>
              <w:rPr>
                <w:sz w:val="1"/>
                <w:szCs w:val="1"/>
                <w:color w:val="auto"/>
              </w:rPr>
            </w:pPr>
          </w:p>
        </w:tc>
      </w:tr>
      <w:tr>
        <w:trPr>
          <w:trHeight w:val="85"/>
        </w:trPr>
        <w:tc>
          <w:tcPr>
            <w:tcW w:w="220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options exercised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shares withheld for</w:t>
            </w: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0" w:type="dxa"/>
            <w:vAlign w:val="bottom"/>
          </w:tcPr>
          <w:p>
            <w:pPr>
              <w:spacing w:after="0"/>
              <w:rPr>
                <w:sz w:val="1"/>
                <w:szCs w:val="1"/>
                <w:color w:val="auto"/>
              </w:rPr>
            </w:pPr>
          </w:p>
        </w:tc>
      </w:tr>
      <w:tr>
        <w:trPr>
          <w:trHeight w:val="116"/>
        </w:trPr>
        <w:tc>
          <w:tcPr>
            <w:tcW w:w="2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on vested stock awards</w:t>
            </w:r>
          </w:p>
        </w:tc>
        <w:tc>
          <w:tcPr>
            <w:tcW w:w="138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Equity settled share-based</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44"/>
        </w:trPr>
        <w:tc>
          <w:tcPr>
            <w:tcW w:w="220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 reclassified as</w:t>
            </w: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cash-settled</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24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667,659,630</w:t>
            </w: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602,497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w w:val="97"/>
              </w:rPr>
              <w:t>(4,601)</w:t>
            </w:r>
          </w:p>
        </w:tc>
        <w:tc>
          <w:tcPr>
            <w:tcW w:w="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(414,397)</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224,988</w:t>
            </w:r>
          </w:p>
        </w:tc>
        <w:tc>
          <w:tcPr>
            <w:tcW w:w="0" w:type="dxa"/>
            <w:vAlign w:val="bottom"/>
          </w:tcPr>
          <w:p>
            <w:pPr>
              <w:spacing w:after="0"/>
              <w:rPr>
                <w:sz w:val="1"/>
                <w:szCs w:val="1"/>
                <w:color w:val="auto"/>
              </w:rPr>
            </w:pPr>
          </w:p>
        </w:tc>
      </w:tr>
      <w:tr>
        <w:trPr>
          <w:trHeight w:val="64"/>
        </w:trPr>
        <w:tc>
          <w:tcPr>
            <w:tcW w:w="22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(70,835)</w:t>
            </w:r>
          </w:p>
        </w:tc>
        <w:tc>
          <w:tcPr>
            <w:tcW w:w="0" w:type="dxa"/>
            <w:vAlign w:val="bottom"/>
          </w:tcPr>
          <w:p>
            <w:pPr>
              <w:spacing w:after="0"/>
              <w:rPr>
                <w:sz w:val="1"/>
                <w:szCs w:val="1"/>
                <w:color w:val="auto"/>
              </w:rPr>
            </w:pPr>
          </w:p>
        </w:tc>
      </w:tr>
      <w:tr>
        <w:trPr>
          <w:trHeight w:val="18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Common shares withheld for</w:t>
            </w: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0" w:type="dxa"/>
            <w:vAlign w:val="bottom"/>
          </w:tcPr>
          <w:p>
            <w:pPr>
              <w:spacing w:after="0"/>
              <w:rPr>
                <w:sz w:val="1"/>
                <w:szCs w:val="1"/>
                <w:color w:val="auto"/>
              </w:rPr>
            </w:pPr>
          </w:p>
        </w:tc>
      </w:tr>
      <w:tr>
        <w:trPr>
          <w:trHeight w:val="116"/>
        </w:trPr>
        <w:tc>
          <w:tcPr>
            <w:tcW w:w="2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 on vested stock awards</w:t>
            </w:r>
          </w:p>
        </w:tc>
        <w:tc>
          <w:tcPr>
            <w:tcW w:w="138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200" w:type="dxa"/>
            <w:vAlign w:val="bottom"/>
            <w:vMerge w:val="continue"/>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2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Equity settled share-based</w:t>
            </w: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4"/>
        </w:trPr>
        <w:tc>
          <w:tcPr>
            <w:tcW w:w="220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compensation reclassified as</w:t>
            </w: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cash-settled</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0" w:type="dxa"/>
            <w:vAlign w:val="bottom"/>
          </w:tcPr>
          <w:p>
            <w:pPr>
              <w:spacing w:after="0"/>
              <w:rPr>
                <w:sz w:val="1"/>
                <w:szCs w:val="1"/>
                <w:color w:val="auto"/>
              </w:rPr>
            </w:pPr>
          </w:p>
        </w:tc>
      </w:tr>
      <w:tr>
        <w:trPr>
          <w:trHeight w:val="24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667,659,630</w:t>
            </w: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42,771</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616,618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w w:val="97"/>
              </w:rPr>
              <w:t>(4,601)</w:t>
            </w:r>
          </w:p>
        </w:tc>
        <w:tc>
          <w:tcPr>
            <w:tcW w:w="8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(485,311)</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168,274</w:t>
            </w:r>
          </w:p>
        </w:tc>
        <w:tc>
          <w:tcPr>
            <w:tcW w:w="0" w:type="dxa"/>
            <w:vAlign w:val="bottom"/>
          </w:tcPr>
          <w:p>
            <w:pPr>
              <w:spacing w:after="0"/>
              <w:rPr>
                <w:sz w:val="1"/>
                <w:szCs w:val="1"/>
                <w:color w:val="auto"/>
              </w:rPr>
            </w:pPr>
          </w:p>
        </w:tc>
      </w:tr>
      <w:tr>
        <w:trPr>
          <w:trHeight w:val="64"/>
        </w:trPr>
        <w:tc>
          <w:tcPr>
            <w:tcW w:w="22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80"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0" w:type="dxa"/>
            <w:vAlign w:val="bottom"/>
          </w:tcPr>
          <w:p>
            <w:pPr>
              <w:spacing w:after="0"/>
              <w:rPr>
                <w:sz w:val="12"/>
                <w:szCs w:val="12"/>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Ordinary shares held</w:t>
            </w:r>
          </w:p>
        </w:tc>
        <w:tc>
          <w:tcPr>
            <w:tcW w:w="1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30"/>
        </w:trPr>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6"/>
        </w:trPr>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treasury</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0"/>
        </w:trPr>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222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loss</w:t>
      </w:r>
    </w:p>
    <w:p>
      <w:pPr>
        <w:spacing w:after="0" w:line="23"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4"/>
          <w:szCs w:val="14"/>
          <w:color w:val="auto"/>
        </w:rPr>
        <w:t>Issuance of common shares under at-the-market sales agreement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9"/>
              </w:rPr>
              <w:t>631,338,246</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40,526</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529,187</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56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w:t>
            </w:r>
          </w:p>
        </w:tc>
        <w:tc>
          <w:tcPr>
            <w:tcW w:w="42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(333,097)</w:t>
            </w:r>
          </w:p>
        </w:tc>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230,466</w:t>
            </w:r>
          </w:p>
        </w:tc>
      </w:tr>
      <w:tr>
        <w:trPr>
          <w:trHeight w:val="265"/>
        </w:trPr>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(16,743)</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(16,743)</w:t>
            </w:r>
          </w:p>
        </w:tc>
      </w:tr>
      <w:tr>
        <w:trPr>
          <w:trHeight w:val="255"/>
        </w:trPr>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20,321,384</w:t>
            </w:r>
          </w:p>
        </w:tc>
        <w:tc>
          <w:tcPr>
            <w:tcW w:w="440" w:type="dxa"/>
            <w:vAlign w:val="bottom"/>
          </w:tcPr>
          <w:p>
            <w:pPr>
              <w:spacing w:after="0"/>
              <w:rPr>
                <w:sz w:val="22"/>
                <w:szCs w:val="22"/>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1,227</w:t>
            </w:r>
          </w:p>
        </w:tc>
        <w:tc>
          <w:tcPr>
            <w:tcW w:w="360" w:type="dxa"/>
            <w:vAlign w:val="bottom"/>
          </w:tcPr>
          <w:p>
            <w:pPr>
              <w:spacing w:after="0"/>
              <w:rPr>
                <w:sz w:val="22"/>
                <w:szCs w:val="22"/>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55,682</w:t>
            </w:r>
          </w:p>
        </w:tc>
        <w:tc>
          <w:tcPr>
            <w:tcW w:w="42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2"/>
                <w:szCs w:val="22"/>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-160655</wp:posOffset>
            </wp:positionV>
            <wp:extent cx="7161530" cy="208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120" w:space="720"/>
            <w:col w:w="8440"/>
          </w:cols>
          <w:pgMar w:left="30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options exercised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0" w:type="dxa"/>
            <w:vAlign w:val="bottom"/>
          </w:tcPr>
          <w:p>
            <w:pPr>
              <w:spacing w:after="0"/>
              <w:rPr>
                <w:sz w:val="1"/>
                <w:szCs w:val="1"/>
                <w:color w:val="auto"/>
              </w:rPr>
            </w:pPr>
          </w:p>
        </w:tc>
      </w:tr>
      <w:tr>
        <w:trPr>
          <w:trHeight w:val="180"/>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0" w:type="dxa"/>
            <w:vAlign w:val="bottom"/>
          </w:tcPr>
          <w:p>
            <w:pPr>
              <w:spacing w:after="0"/>
              <w:rPr>
                <w:sz w:val="1"/>
                <w:szCs w:val="1"/>
                <w:color w:val="auto"/>
              </w:rPr>
            </w:pPr>
          </w:p>
        </w:tc>
      </w:tr>
      <w:tr>
        <w:trPr>
          <w:trHeight w:val="245"/>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651,659,630</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41,753</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590,915</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8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(350,110)</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276,749</w:t>
            </w:r>
          </w:p>
        </w:tc>
        <w:tc>
          <w:tcPr>
            <w:tcW w:w="0" w:type="dxa"/>
            <w:vAlign w:val="bottom"/>
          </w:tcPr>
          <w:p>
            <w:pPr>
              <w:spacing w:after="0"/>
              <w:rPr>
                <w:sz w:val="1"/>
                <w:szCs w:val="1"/>
                <w:color w:val="auto"/>
              </w:rPr>
            </w:pPr>
          </w:p>
        </w:tc>
      </w:tr>
      <w:tr>
        <w:trPr>
          <w:trHeight w:val="89"/>
        </w:trPr>
        <w:tc>
          <w:tcPr>
            <w:tcW w:w="230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300" w:type="dxa"/>
            <w:vAlign w:val="bottom"/>
            <w:tcBorders>
              <w:top w:val="single" w:sz="8" w:color="CCEEFF"/>
            </w:tcBorders>
            <w:vMerge w:val="continue"/>
          </w:tcPr>
          <w:p>
            <w:pPr>
              <w:spacing w:after="0"/>
              <w:rPr>
                <w:sz w:val="12"/>
                <w:szCs w:val="12"/>
                <w:color w:val="auto"/>
              </w:rPr>
            </w:pPr>
          </w:p>
        </w:tc>
        <w:tc>
          <w:tcPr>
            <w:tcW w:w="13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6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(8,807)</w:t>
            </w: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(8,807)</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share units vested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options exercised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0" w:type="dxa"/>
            <w:vAlign w:val="bottom"/>
          </w:tcPr>
          <w:p>
            <w:pPr>
              <w:spacing w:after="0"/>
              <w:rPr>
                <w:sz w:val="1"/>
                <w:szCs w:val="1"/>
                <w:color w:val="auto"/>
              </w:rPr>
            </w:pPr>
          </w:p>
        </w:tc>
      </w:tr>
      <w:tr>
        <w:trPr>
          <w:trHeight w:val="24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651,659,630</w:t>
            </w: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41,753</w:t>
            </w:r>
          </w:p>
        </w:tc>
        <w:tc>
          <w:tcPr>
            <w:tcW w:w="80" w:type="dxa"/>
            <w:vAlign w:val="bottom"/>
          </w:tcPr>
          <w:p>
            <w:pPr>
              <w:spacing w:after="0"/>
              <w:rPr>
                <w:sz w:val="21"/>
                <w:szCs w:val="21"/>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596,059</w:t>
            </w:r>
          </w:p>
        </w:tc>
        <w:tc>
          <w:tcPr>
            <w:tcW w:w="80" w:type="dxa"/>
            <w:vAlign w:val="bottom"/>
          </w:tcPr>
          <w:p>
            <w:pPr>
              <w:spacing w:after="0"/>
              <w:rPr>
                <w:sz w:val="21"/>
                <w:szCs w:val="21"/>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21"/>
                <w:szCs w:val="21"/>
                <w:color w:val="auto"/>
              </w:rPr>
            </w:pPr>
          </w:p>
        </w:tc>
        <w:tc>
          <w:tcPr>
            <w:tcW w:w="52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(4,601)</w:t>
            </w:r>
          </w:p>
        </w:tc>
        <w:tc>
          <w:tcPr>
            <w:tcW w:w="80" w:type="dxa"/>
            <w:vAlign w:val="bottom"/>
          </w:tcPr>
          <w:p>
            <w:pPr>
              <w:spacing w:after="0"/>
              <w:rPr>
                <w:sz w:val="21"/>
                <w:szCs w:val="21"/>
                <w:color w:val="auto"/>
              </w:rPr>
            </w:pP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(359,143)</w:t>
            </w:r>
          </w:p>
        </w:tc>
        <w:tc>
          <w:tcPr>
            <w:tcW w:w="80" w:type="dxa"/>
            <w:vAlign w:val="bottom"/>
          </w:tcPr>
          <w:p>
            <w:pPr>
              <w:spacing w:after="0"/>
              <w:rPr>
                <w:sz w:val="21"/>
                <w:szCs w:val="21"/>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273,093</w:t>
            </w:r>
          </w:p>
        </w:tc>
        <w:tc>
          <w:tcPr>
            <w:tcW w:w="0" w:type="dxa"/>
            <w:vAlign w:val="bottom"/>
          </w:tcPr>
          <w:p>
            <w:pPr>
              <w:spacing w:after="0"/>
              <w:rPr>
                <w:sz w:val="1"/>
                <w:szCs w:val="1"/>
                <w:color w:val="auto"/>
              </w:rPr>
            </w:pPr>
          </w:p>
        </w:tc>
      </w:tr>
      <w:tr>
        <w:trPr>
          <w:trHeight w:val="64"/>
        </w:trPr>
        <w:tc>
          <w:tcPr>
            <w:tcW w:w="230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340" w:type="dxa"/>
            <w:vAlign w:val="bottom"/>
            <w:gridSpan w:val="4"/>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to net cash used in operating activities:</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85"/>
        </w:trPr>
        <w:tc>
          <w:tcPr>
            <w:tcW w:w="83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items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redemption premium on debt</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9,364</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Tax incentive receivable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0"/>
        </w:trPr>
        <w:tc>
          <w:tcPr>
            <w:tcW w:w="8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80"/>
        </w:trPr>
        <w:tc>
          <w:tcPr>
            <w:tcW w:w="8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11,617</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License agreement obligations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85"/>
        </w:trPr>
        <w:tc>
          <w:tcPr>
            <w:tcW w:w="8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(27,093)</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furniture and equipment</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8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56,909</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Term Loans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122,500</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9,996</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RIPSA</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2023 Term Loans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withholding taxes from share-based awards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163,709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68,809</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132,827</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42,900</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404,599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270,727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paid</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8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Organization and description of business operations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is a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June 26, 2024, the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is developing a fixed-dose combination formulation with ensifentrine and glycopyrrolate, a Long-Acting Muscarinic Antagonist (“LAMA”), for the maintenance treatment of patients with COPD via delivery in a nebulizer. The Company has filed patent applications in multiple jurisdictions including the U.S. In July 2024, the Company submitted an investigational new drug application (“IND”) to the FDA to allow initiation of the clinical program. Subject to clearance of the IND, the Company intends to initiate a Phase 2 dose-ranging trial in the third quarter of 2024.</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based on the clinical results of ensifentrine observed in patients with COPD, including improvements in lung function and symptoms of cough and sputum, the Company believes ensifentrine could potentially be an effective treatment for non-cystic fibrosis bronchiectasis (“NCFBE”). The Company plans to commence a Phase 2 clinical trial to assess the efficacy and safety of nebulized ensifentrine in patients with NCFBE in the third quarter of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incurred recurring losses and negative cash flows from operations since inception, and has an accumulated deficit of $485.3 million as of June 30, 2024. The Company expects to incur additional losses and negative cash flows from operations until its products reach commercial profitability, if at all.</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expects that its cash and cash equivalents as of June 30, 2024 will be sufficient to fund its operating expenses and capital expenditure requirements for at least the next 12 months from the date of issuance.</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Additionally, the Company may enter into out-licensing transactions from time to time but there can be no assurance that the Company can secure such transactions in the future. Accordingly, the Company may need to obtain substantial additional funds to achieve its business objectives including to further advance clinical and regulatory activities, to fund launch related costs and to create an effective sales and marketing organization to commercialize Ohtuvayre.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summary of significant accounting policies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unaudited condensed consolidated financial statements include the accounts of Verona Pharma plc and its wholly-owned subsidiary Verona Pharma, Inc. All inter-company balances and transactions have been eliminated.</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included in this Quarterly Report on Form 10-Q have been prepared in conformity with accounting principles generally accepted in the U.S. (“U.S. GAAP”) and should be read in conjunction with the consolidated financial statements and accompanying notes included in the Company’s Annual Report on Form 10-K filed on February 29, 2024 (the “2023 Form 10-K”). The Consolidated Balance Sheet as of December 31, 2023, was derived from audited consolidated financial statements included in the 2023 Form 10-K but does not include all disclosures required by U.S. GAAP for complete financial statements. The Company’s significant accounting policies are described in Note 2 to those consolidated financial statements.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shareholders'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the development and commercialization of ensifentrine.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Inventories, including Pre-Launch Inventories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Prior to obtaining regulatory approval for Ohtuvayre, the Company expensed costs relating to production of pre-launch inventory as research and development expense in its condensed consolidated statements of operations and comprehensive loss in the period incurred. Inventory acquired and the related costs after June 26, 2024, the date of the FDA’s approval of Ohtuvayre, will be capitalized. Products used in clinical trials are expensed as research and development expense in the statement of operations and comprehensive loss.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will value its inventories at the lower-of-actual cost or net realizable value. Due to the timing of the approval of Ohtuvayre, the Company did not capitalize any inventory costs in the three or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Interest Purchase and Sale Agreement</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revenue interest purchase and sale agreement (the “RIPSA”) liability is eligible to be repaid based on royalties from net sales of Ohtuvayre (ensifentrine) and any other future products. Interest expense is accrued using the effective interest rate method over the estimated period the related liability will be paid. This requires the Company to estimate the total amount of future royalty payments to be generated from product sales over the life of the agreement. The Company imputes interest on the carrying value of the RIPSA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that the Company make estimates that could impact the carrying value of the liability,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 not yet adopted</w:t>
      </w:r>
    </w:p>
    <w:p>
      <w:pPr>
        <w:spacing w:after="0" w:line="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on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on December 15, 2023 and interim periods beginning on December 15, 2024 and should be applied on a retrospective basis for all periods presented. This ASU will have no impact on the Company's Consolidated Balance Sheets or Consolidated Statements of Operations and Comprehensive Loss. The Company is currently evaluating the impact to its segment disclosures.</w:t>
      </w:r>
    </w:p>
    <w:p>
      <w:pPr>
        <w:sectPr>
          <w:pgSz w:w="11900" w:h="16838" w:orient="portrait"/>
          <w:cols w:equalWidth="0" w:num="1">
            <w:col w:w="11280"/>
          </w:cols>
          <w:pgMar w:left="300" w:top="123" w:right="319" w:bottom="443"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78"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Equity interest</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six months ended June 30,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Accrued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293"/>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30"/>
        </w:trPr>
        <w:tc>
          <w:tcPr>
            <w:tcW w:w="8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8400" w:type="dxa"/>
            <w:vAlign w:val="bottom"/>
          </w:tcPr>
          <w:p>
            <w:pPr>
              <w:spacing w:after="0"/>
              <w:rPr>
                <w:sz w:val="12"/>
                <w:szCs w:val="12"/>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Clinical trial and other development costs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180"/>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 and general corporate costs</w:t>
            </w: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18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People related costs</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r>
      <w:tr>
        <w:trPr>
          <w:trHeight w:val="18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accrued expenses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Ligand license agreement obligations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contingent liability assumed included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time of the acquisition the contingent liability was not recognized as part of the acquisition accounting as it was immaterial.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the FDA approval of Ohtuvayre on June 26, 2024, the Company has recognized the following in the three and six months ended June 30, 2024:</w:t>
      </w:r>
    </w:p>
    <w:p>
      <w:pPr>
        <w:spacing w:after="0" w:line="72"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 million in research and development costs related to a milestone payment for first approval of any regulatory authority for the commercialization of ensifentrine; and</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 million related to a milestone payment for first commercial sale of ensifentrine. The Company has classified this as selling, general and administrative expense as it relates to the resolution of the 2021 dispute with Ligand.</w:t>
      </w:r>
    </w:p>
    <w:p>
      <w:pPr>
        <w:spacing w:after="0" w:line="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Company has recognized the milestone payment for first commercial sale of ensifentrine in the three and six months ended June 30, 2024 as it considers the payment of this milestone probable due to the approval of ensifentrine and the progress towards commercialization including the first sale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Term Loan</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December 27, 2023 (the “2023 Effective Date”), Verona Pharma, Inc.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was repaid in full as of May 9, 2024. Verona Pharma, Inc. and the Company did not incur any penalties, but did incur a prepayment fee and final payment fee in the aggregate amount of $2.3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Term Loans</w:t>
      </w:r>
    </w:p>
    <w:p>
      <w:pPr>
        <w:spacing w:after="0" w:line="1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May 9, 2024 (the “2024 Effective Date”), Verona Pharma, Inc. (the “Borrower”) entered into a term loan facility of up to $400.0 million (the “2024 Term Loans” or “2024 Loan Agreement”),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2023 Term Loan.</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 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 shall be an aggregate amount at least equal to $5.0 million in a denomination that is a whole number multiple of $1.0 million in excess thereof.</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2024 Term Loans are secured by a lien on substantially all of the assets of the Borrower and the Company, including intellectual property, subject to customary exclusions and exceptions.</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As of June 30, 2024, the effective interest rate was approximately 13% per annum and there was no material difference between the carrying value and the estimated fair value of the 2024 Term Loans.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Interest Purchase and Sale Agreement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 The Sellers will begin payment of the Royalty Interest Payments and Ex-U.S. Payments in the first fiscal quarter after receipt of the Tranche A Purchase Price. The Sellers will also have a right to receive an additional funding tranche equal to $150 million (the “Tranche B Purchase Price”) upon achievement of a specified net sales milestone in any trailing six-month period after receipt of the Tranche A Purchase Price and subject to certain terms and conditions. The Royalty Interest Payments and Ex-U.S. Payments will cease upon reaching a multiple of 1.75 times the amounts actually funded by the Purchasers. The RIPSA includes a buy-out option, which provides the Sellers with the right to settle all outstanding liabilities at any time by paying a buy-out amount under various terms and conditions. As of any date of determination, the aggregate amount of payments received by the Purchasers under the RIPSA, divided by the amount funded as of such date (the “MOIC”) equals 1.20x, if such date is on or before the one-year anniversary of the funding of the first tranche of the RIPSA, the MOIC equals 1.40x if such date is after the one-year anniversary of the Tranche A Funding Date and on or before the two-year anniversary of the Tranche A Funding Date, the MOIC equals 1.55x if such date is after the two-year anniversary of the Tranche A Funding Date and on or before the three-year anniversary of the Tranche A Funding Date, and the MOIC equals 1.75x if such date is after the three-year anniversary of the Tranche A Funding Date. The Purchasers have the right to terminate the RIPSA under certain conditions, including the Company’s insolvency, and the Company’s divestment of ensifentrine, in which case the Sellers must pay the Purchasers up to 1.75 times the amounts actually funded by the Purchasers as of such default determination date.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 agreement signed in connection with the RIPSA, the Sellers granted to the Purchasers a security interest in certain assets to secure obligations under the RIPSA.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June 28, 2024, the Company received the Tranche A Purchase Price of $100.0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the effective interest rate was approximately 20% per annum and there was no material difference between the carrying value and the estimated fair value of the RIPSA.</w:t>
      </w:r>
    </w:p>
    <w:p>
      <w:pPr>
        <w:spacing w:after="0" w:line="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As of June 30, 2024, the Company had $4.6 million in accrued debt issuance costs related to the 2024 Term Loans and RIPSA which are considered non-cash financing activities for purposes of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Share-based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allocation of share-based compensation between research and development and selling,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2420" w:type="dxa"/>
            <w:vAlign w:val="bottom"/>
            <w:gridSpan w:val="4"/>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gridSpan w:val="4"/>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30"/>
        </w:trPr>
        <w:tc>
          <w:tcPr>
            <w:tcW w:w="5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1"/>
        </w:trPr>
        <w:tc>
          <w:tcPr>
            <w:tcW w:w="54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w:t>
            </w:r>
          </w:p>
        </w:tc>
      </w:tr>
      <w:tr>
        <w:trPr>
          <w:trHeight w:val="18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w:t>
            </w:r>
          </w:p>
        </w:tc>
      </w:tr>
      <w:tr>
        <w:trPr>
          <w:trHeight w:val="196"/>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tables show the activity of each type of share-based compensation and are presented in ordinary shares. The Company’s ADSs that are listed on Nasdaq each represent eight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options activity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90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share options</w:t>
            </w:r>
          </w:p>
        </w:tc>
        <w:tc>
          <w:tcPr>
            <w:tcW w:w="0" w:type="dxa"/>
            <w:vAlign w:val="bottom"/>
          </w:tcPr>
          <w:p>
            <w:pPr>
              <w:spacing w:after="0"/>
              <w:rPr>
                <w:sz w:val="1"/>
                <w:szCs w:val="1"/>
                <w:color w:val="auto"/>
              </w:rPr>
            </w:pPr>
          </w:p>
        </w:tc>
      </w:tr>
      <w:tr>
        <w:trPr>
          <w:trHeight w:val="149"/>
        </w:trPr>
        <w:tc>
          <w:tcPr>
            <w:tcW w:w="99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9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24,689,624</w:t>
            </w:r>
          </w:p>
        </w:tc>
        <w:tc>
          <w:tcPr>
            <w:tcW w:w="0" w:type="dxa"/>
            <w:vAlign w:val="bottom"/>
          </w:tcPr>
          <w:p>
            <w:pPr>
              <w:spacing w:after="0"/>
              <w:rPr>
                <w:sz w:val="1"/>
                <w:szCs w:val="1"/>
                <w:color w:val="auto"/>
              </w:rPr>
            </w:pP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2,432,000</w:t>
            </w:r>
          </w:p>
        </w:tc>
        <w:tc>
          <w:tcPr>
            <w:tcW w:w="0" w:type="dxa"/>
            <w:vAlign w:val="bottom"/>
          </w:tcPr>
          <w:p>
            <w:pPr>
              <w:spacing w:after="0"/>
              <w:rPr>
                <w:sz w:val="1"/>
                <w:szCs w:val="1"/>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0" w:type="dxa"/>
            <w:vAlign w:val="bottom"/>
          </w:tcPr>
          <w:p>
            <w:pPr>
              <w:spacing w:after="0"/>
              <w:rPr>
                <w:sz w:val="1"/>
                <w:szCs w:val="1"/>
                <w:color w:val="auto"/>
              </w:rPr>
            </w:pPr>
          </w:p>
        </w:tc>
      </w:tr>
      <w:tr>
        <w:trPr>
          <w:trHeight w:val="180"/>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(1,037,424)</w:t>
            </w:r>
          </w:p>
        </w:tc>
        <w:tc>
          <w:tcPr>
            <w:tcW w:w="0" w:type="dxa"/>
            <w:vAlign w:val="bottom"/>
          </w:tcPr>
          <w:p>
            <w:pPr>
              <w:spacing w:after="0"/>
              <w:rPr>
                <w:sz w:val="1"/>
                <w:szCs w:val="1"/>
                <w:color w:val="auto"/>
              </w:rPr>
            </w:pP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26,020,200</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900" w:type="dxa"/>
            <w:vAlign w:val="bottom"/>
            <w:vMerge w:val="continue"/>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7,924,000</w:t>
            </w:r>
          </w:p>
        </w:tc>
        <w:tc>
          <w:tcPr>
            <w:tcW w:w="0" w:type="dxa"/>
            <w:vAlign w:val="bottom"/>
          </w:tcPr>
          <w:p>
            <w:pPr>
              <w:spacing w:after="0"/>
              <w:rPr>
                <w:sz w:val="1"/>
                <w:szCs w:val="1"/>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(72,000)</w:t>
            </w:r>
          </w:p>
        </w:tc>
        <w:tc>
          <w:tcPr>
            <w:tcW w:w="0" w:type="dxa"/>
            <w:vAlign w:val="bottom"/>
          </w:tcPr>
          <w:p>
            <w:pPr>
              <w:spacing w:after="0"/>
              <w:rPr>
                <w:sz w:val="1"/>
                <w:szCs w:val="1"/>
                <w:color w:val="auto"/>
              </w:rPr>
            </w:pPr>
          </w:p>
        </w:tc>
      </w:tr>
      <w:tr>
        <w:trPr>
          <w:trHeight w:val="180"/>
        </w:trPr>
        <w:tc>
          <w:tcPr>
            <w:tcW w:w="9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0" w:type="dxa"/>
            <w:vAlign w:val="bottom"/>
          </w:tcPr>
          <w:p>
            <w:pPr>
              <w:spacing w:after="0"/>
              <w:rPr>
                <w:sz w:val="1"/>
                <w:szCs w:val="1"/>
                <w:color w:val="auto"/>
              </w:rPr>
            </w:pPr>
          </w:p>
        </w:tc>
      </w:tr>
      <w:tr>
        <w:trPr>
          <w:trHeight w:val="196"/>
        </w:trPr>
        <w:tc>
          <w:tcPr>
            <w:tcW w:w="9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33,712,200</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 (“RSU”) activity</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90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99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RSUs</w:t>
            </w:r>
          </w:p>
        </w:tc>
        <w:tc>
          <w:tcPr>
            <w:tcW w:w="0" w:type="dxa"/>
            <w:vAlign w:val="bottom"/>
          </w:tcPr>
          <w:p>
            <w:pPr>
              <w:spacing w:after="0"/>
              <w:rPr>
                <w:sz w:val="1"/>
                <w:szCs w:val="1"/>
                <w:color w:val="auto"/>
              </w:rPr>
            </w:pPr>
          </w:p>
        </w:tc>
      </w:tr>
      <w:tr>
        <w:trPr>
          <w:trHeight w:val="149"/>
        </w:trPr>
        <w:tc>
          <w:tcPr>
            <w:tcW w:w="990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9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19,502,624</w:t>
            </w:r>
          </w:p>
        </w:tc>
        <w:tc>
          <w:tcPr>
            <w:tcW w:w="0" w:type="dxa"/>
            <w:vAlign w:val="bottom"/>
          </w:tcPr>
          <w:p>
            <w:pPr>
              <w:spacing w:after="0"/>
              <w:rPr>
                <w:sz w:val="1"/>
                <w:szCs w:val="1"/>
                <w:color w:val="auto"/>
              </w:rPr>
            </w:pPr>
          </w:p>
        </w:tc>
      </w:tr>
      <w:tr>
        <w:trPr>
          <w:trHeight w:val="180"/>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0" w:type="dxa"/>
            <w:vAlign w:val="bottom"/>
          </w:tcPr>
          <w:p>
            <w:pPr>
              <w:spacing w:after="0"/>
              <w:rPr>
                <w:sz w:val="1"/>
                <w:szCs w:val="1"/>
                <w:color w:val="auto"/>
              </w:rPr>
            </w:pPr>
          </w:p>
        </w:tc>
      </w:tr>
      <w:tr>
        <w:trPr>
          <w:trHeight w:val="180"/>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(4,357,208)</w:t>
            </w:r>
          </w:p>
        </w:tc>
        <w:tc>
          <w:tcPr>
            <w:tcW w:w="0" w:type="dxa"/>
            <w:vAlign w:val="bottom"/>
          </w:tcPr>
          <w:p>
            <w:pPr>
              <w:spacing w:after="0"/>
              <w:rPr>
                <w:sz w:val="1"/>
                <w:szCs w:val="1"/>
                <w:color w:val="auto"/>
              </w:rPr>
            </w:pPr>
          </w:p>
        </w:tc>
      </w:tr>
      <w:tr>
        <w:trPr>
          <w:trHeight w:val="150"/>
        </w:trPr>
        <w:tc>
          <w:tcPr>
            <w:tcW w:w="990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13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15,143,664</w:t>
            </w:r>
          </w:p>
        </w:tc>
        <w:tc>
          <w:tcPr>
            <w:tcW w:w="0" w:type="dxa"/>
            <w:vAlign w:val="bottom"/>
          </w:tcPr>
          <w:p>
            <w:pPr>
              <w:spacing w:after="0"/>
              <w:rPr>
                <w:sz w:val="1"/>
                <w:szCs w:val="1"/>
                <w:color w:val="auto"/>
              </w:rPr>
            </w:pPr>
          </w:p>
        </w:tc>
      </w:tr>
      <w:tr>
        <w:trPr>
          <w:trHeight w:val="20"/>
        </w:trPr>
        <w:tc>
          <w:tcPr>
            <w:tcW w:w="99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(2,045,384)</w:t>
            </w:r>
          </w:p>
        </w:tc>
        <w:tc>
          <w:tcPr>
            <w:tcW w:w="0" w:type="dxa"/>
            <w:vAlign w:val="bottom"/>
          </w:tcPr>
          <w:p>
            <w:pPr>
              <w:spacing w:after="0"/>
              <w:rPr>
                <w:sz w:val="1"/>
                <w:szCs w:val="1"/>
                <w:color w:val="auto"/>
              </w:rPr>
            </w:pPr>
          </w:p>
        </w:tc>
      </w:tr>
      <w:tr>
        <w:trPr>
          <w:trHeight w:val="171"/>
        </w:trPr>
        <w:tc>
          <w:tcPr>
            <w:tcW w:w="9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13,098,280</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 (“PRSU”) activity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PRSUs will begin to vest upon achievement of certain performance conditions and are subject to continued service. The fair value of PRSUs will be recognized over the remaining service period using the graded-vesting method once the performance conditions are determined to be probable of occurring. As of June 30, 2024, the performance conditions were assessed by the Company and considered probable of being met under the applicable accounting framework, and accordingly the Company recognized $9.9 million in share-based compensation expense related to the PRSUs in the three and six months ended June 30, 2024. The total compensation cost not yet recognized as of June 30, 2024 related to PRSUs was $7.9 million, which will be recognized over a weighted-average period of approximately one year.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Company’s PRSU activity for the period ended June 30, 2024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8300" w:type="dxa"/>
            <w:vAlign w:val="bottom"/>
            <w:gridSpan w:val="2"/>
          </w:tcPr>
          <w:p>
            <w:pPr>
              <w:jc w:val="center"/>
              <w:ind w:right="2915"/>
              <w:spacing w:after="0"/>
              <w:rPr>
                <w:sz w:val="20"/>
                <w:szCs w:val="20"/>
                <w:color w:val="auto"/>
              </w:rPr>
            </w:pPr>
            <w:r>
              <w:rPr>
                <w:rFonts w:ascii="Times New Roman" w:cs="Times New Roman" w:eastAsia="Times New Roman" w:hAnsi="Times New Roman"/>
                <w:sz w:val="14"/>
                <w:szCs w:val="14"/>
                <w:b w:val="1"/>
                <w:bCs w:val="1"/>
                <w:color w:val="auto"/>
                <w:w w:val="98"/>
              </w:rPr>
              <w:t>Verona Pharma plc</w:t>
            </w:r>
          </w:p>
        </w:tc>
      </w:tr>
      <w:tr>
        <w:trPr>
          <w:trHeight w:val="170"/>
        </w:trPr>
        <w:tc>
          <w:tcPr>
            <w:tcW w:w="2980" w:type="dxa"/>
            <w:vAlign w:val="bottom"/>
          </w:tcPr>
          <w:p>
            <w:pPr>
              <w:spacing w:after="0"/>
              <w:rPr>
                <w:sz w:val="14"/>
                <w:szCs w:val="14"/>
                <w:color w:val="auto"/>
              </w:rPr>
            </w:pPr>
          </w:p>
        </w:tc>
        <w:tc>
          <w:tcPr>
            <w:tcW w:w="8300" w:type="dxa"/>
            <w:vAlign w:val="bottom"/>
            <w:gridSpan w:val="2"/>
          </w:tcPr>
          <w:p>
            <w:pPr>
              <w:jc w:val="center"/>
              <w:ind w:right="2915"/>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tc>
      </w:tr>
      <w:tr>
        <w:trPr>
          <w:trHeight w:val="186"/>
        </w:trPr>
        <w:tc>
          <w:tcPr>
            <w:tcW w:w="2980" w:type="dxa"/>
            <w:vAlign w:val="bottom"/>
          </w:tcPr>
          <w:p>
            <w:pPr>
              <w:spacing w:after="0"/>
              <w:rPr>
                <w:sz w:val="16"/>
                <w:szCs w:val="16"/>
                <w:color w:val="auto"/>
              </w:rPr>
            </w:pPr>
          </w:p>
        </w:tc>
        <w:tc>
          <w:tcPr>
            <w:tcW w:w="8300" w:type="dxa"/>
            <w:vAlign w:val="bottom"/>
            <w:gridSpan w:val="2"/>
          </w:tcPr>
          <w:p>
            <w:pPr>
              <w:jc w:val="center"/>
              <w:ind w:right="2895"/>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756"/>
        </w:trPr>
        <w:tc>
          <w:tcPr>
            <w:tcW w:w="29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8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Number of PRSUs</w:t>
            </w:r>
          </w:p>
        </w:tc>
      </w:tr>
      <w:tr>
        <w:trPr>
          <w:trHeight w:val="149"/>
        </w:trPr>
        <w:tc>
          <w:tcPr>
            <w:tcW w:w="29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38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outstanding</w:t>
            </w:r>
          </w:p>
        </w:tc>
      </w:tr>
      <w:tr>
        <w:trPr>
          <w:trHeight w:val="30"/>
        </w:trPr>
        <w:tc>
          <w:tcPr>
            <w:tcW w:w="29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69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10,730,144</w:t>
            </w: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8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(5,248)</w:t>
            </w:r>
          </w:p>
        </w:tc>
      </w:tr>
      <w:tr>
        <w:trPr>
          <w:trHeight w:val="17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69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10,724,896</w:t>
            </w:r>
          </w:p>
        </w:tc>
      </w:tr>
      <w:tr>
        <w:trPr>
          <w:trHeight w:val="17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69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10,724,896</w:t>
            </w:r>
          </w:p>
        </w:tc>
      </w:tr>
      <w:tr>
        <w:trPr>
          <w:trHeight w:val="20"/>
        </w:trPr>
        <w:tc>
          <w:tcPr>
            <w:tcW w:w="29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Verona Pharma plc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Net loss per share</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Net loss per share is calculated on an ordinary share basis. The Company’s ADSs that are listed on Nasdaq each represent eight ordinary shares. The following table shows the computation of basic and diluted net loss per share for the three and six months ended June 30, 2024 and 2023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800" w:type="dxa"/>
            <w:vAlign w:val="bottom"/>
            <w:gridSpan w:val="6"/>
          </w:tcPr>
          <w:p>
            <w:pPr>
              <w:ind w:left="66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340" w:type="dxa"/>
            <w:vAlign w:val="bottom"/>
          </w:tcPr>
          <w:p>
            <w:pPr>
              <w:spacing w:after="0"/>
              <w:rPr>
                <w:sz w:val="12"/>
                <w:szCs w:val="12"/>
                <w:color w:val="auto"/>
              </w:rPr>
            </w:pPr>
          </w:p>
        </w:tc>
        <w:tc>
          <w:tcPr>
            <w:tcW w:w="2520" w:type="dxa"/>
            <w:vAlign w:val="bottom"/>
            <w:gridSpan w:val="4"/>
          </w:tcPr>
          <w:p>
            <w:pPr>
              <w:jc w:val="right"/>
              <w:ind w:right="713"/>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30"/>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1"/>
        </w:trPr>
        <w:tc>
          <w:tcPr>
            <w:tcW w:w="5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5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(70,835)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(96,629)</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(25,550)</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Weighted-average shares outstanding - basic and diluted</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648,217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634,469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646,959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627,996</w:t>
            </w: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basic and diluted</w:t>
            </w:r>
          </w:p>
        </w:tc>
        <w:tc>
          <w:tcPr>
            <w:tcW w:w="8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During the three and six months ended June 30, 2024 and 2023, outstanding share options, RSUs and PRSUs over 57.5 million and 48.5 million ordinary shares,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2023 filed with the Securities and Exchange Commission on February 29, 2024 (the “2023 Form 10-K”).</w:t>
      </w:r>
    </w:p>
    <w:p>
      <w:pPr>
        <w:spacing w:after="0" w:line="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commercialization of Ohtuvayre, the development of our product candidates, including statements regarding the expected initiation, timing, progress and availability of data from our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our various financing agreements and from cash receipts from U.K. tax credits, and the sufficiency of our cash and cash equivalents to fund operations, are forward-looking statements.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i w:val="1"/>
          <w:iCs w:val="1"/>
          <w:color w:val="auto"/>
        </w:rPr>
        <w:t>The forward-looking statements in this Quarterly Report on Form 10-Q are only predictions and are based largely on our management’s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II, Item 1A of this Quarterly Report on Form 10-Q under the heading “Risk Factors” and Part I, Item 1A of the 2023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a biopharmaceutical company focused on developing and commercializing innovative therapeutics for the treatment of respiratory diseases with significant unmet medical needs. Our product candidate, ensifentrine, is an novel, inhaled, selective, small molecule and dual inhibitor of the enzymes phosphodiesterase 3 and 4 (“PDE3” and “PDE4”), combining bronchodilator and non-steroidal anti-inflammatory activities in one molecule.</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June 26, 2024, the FDA approved Ohtuvayre (ensifentrine) for the maintenance treatment of chronic obstructive pulmonary disease (“COPD”) in adult patients. Ohtuvayre is our first commercial product and the first inhaled therapy with a novel mechanism of action available for the maintenance treatment of COPD in more than 20 years. We believe Ohtuvayre is an important advancement in the treatment of COPD and will redefine the treatment paradigm for COPD.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launched Ohtuvayre in the U.S. through an exclusive network of accredited specialty pharmacies in August 2024.</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approval of Ohtuvayre in the United States (“U.S.”) was based on extensive data including the Phase 3 ENHANCE (“Ensifentrine as a Novel inHAled Nebulized COPD thErapy”) trials, the results of which were published in the American Journal of Respiratory and Critical Care Medicine.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commercializing Ohtuvayre for the maintenance treatment of COPD in the U.S. Ohtuvayre is not considered a drug device combination because patients use a readily available standard jet nebulizer to take Ohtuvayre. Outside the U.S., we intend to license Ohtuvayre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including Ohtuvayre, in Greater China.</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and have an accumulated deficit of $485.3 million as of June 30, 2024. We expect to incur additional losses and negative cash flows from operations until our product or product candidates potentially reach commercial profitability, if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significant expenses in connection with our ongoing activities, if and as we:</w:t>
      </w:r>
    </w:p>
    <w:p>
      <w:pPr>
        <w:spacing w:after="0" w:line="83" w:lineRule="exact"/>
        <w:rPr>
          <w:sz w:val="20"/>
          <w:szCs w:val="20"/>
          <w:color w:val="auto"/>
        </w:rPr>
      </w:pPr>
    </w:p>
    <w:p>
      <w:pPr>
        <w:ind w:left="260" w:hanging="255"/>
        <w:spacing w:after="0" w:line="255"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a fixed-dose combination of ensifentrine and a long-acting muscarinic antagonist as well as our DPI and pMDI formulations of ensifentrine and research and development of other formulations of ensifentrine;</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further clinical trials for ensifentrine for the treatment of NCFBE, acute COPD, CF or any other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progress pre-clinical studies relating to other potential indications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additional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of our product candidates that successfully complete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19" w:name="page20"/>
    <w:bookmarkEnd w:id="19"/>
    <w:p>
      <w:pPr>
        <w:jc w:val="both"/>
        <w:spacing w:after="0" w:line="238" w:lineRule="auto"/>
        <w:rPr>
          <w:sz w:val="20"/>
          <w:szCs w:val="20"/>
          <w:color w:val="auto"/>
        </w:rPr>
      </w:pPr>
      <w:r>
        <w:rPr>
          <w:rFonts w:ascii="Times New Roman" w:cs="Times New Roman" w:eastAsia="Times New Roman" w:hAnsi="Times New Roman"/>
          <w:sz w:val="14"/>
          <w:szCs w:val="14"/>
          <w:color w:val="auto"/>
        </w:rPr>
        <w:t>On May 9, 2024, we entered into a term loan facility (the “2024 Term Loans”) of up to $400.0 million with Oaktree Fund Administration, LLC, a Delaware limited liability company, as administrative agent, and certain funds managed by each of Oaktree Capital Management, L.P. and OCM Life Sciences Portfolio LP party thereto (collectively, the “2024 Lenders”). At closing, we received net proceeds of $52.8 million and up to four additional advances of an aggregate $345.0 million were available subject to meeting certain commercial milestones and other specified conditions. On June 28, 2024, we received net proceeds of $68.6 million related to the second tranche of the 2024 Term Loans, which was available upon FDA approval for Ohtuvayre, as well as proceeds from the $100.0 million first tranche of the RIPSA. Refer to Note 6 - Debt to our unaudited condensed consolidated financial statements and related notes included elsewhere in this Quarterly Report on Form 10-Q for additional information regarding the 2024 Term Loans and the RIPSA.</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believe that our cash and cash equivalents as of June 30, 2024 and funding expected to become available under the 2024 Term Loans and the RIPSA will enable us to fund our planned operating expenses and capital expenditure requirements through at least the end of 2026, including the commercial launch of Ohtuvayre in the U.S. The remaining advances under the 2024 Term Loans and the RIPSA are contingent upon the achievement of commercial milestones and other specified conditions, and in the case of the Tranche E Term Loan under the 2024 Term Loans, at the sole discretion of the 2024 Lenders. No additional advances are available under the 2023 Term Loan following our termination and repayment in full of the 2023 Term Loan on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Clinical development update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Phase 3 ENHANCE program</w:t>
      </w:r>
    </w:p>
    <w:p>
      <w:pPr>
        <w:spacing w:after="0" w:line="1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U.S. approval of Ohtuvayre was based on extensive data including the Phase 3 ENHANCE trials, the results of which were published in the American Journal of Respiratory and Critical Care Medicine.</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demographics and disease characteristics were well balanced between treatment groups in both trials.</w:t>
      </w:r>
    </w:p>
    <w:p>
      <w:pPr>
        <w:spacing w:after="0" w:line="83" w:lineRule="exact"/>
        <w:rPr>
          <w:sz w:val="20"/>
          <w:szCs w:val="20"/>
          <w:color w:val="auto"/>
        </w:rPr>
      </w:pPr>
    </w:p>
    <w:p>
      <w:pPr>
        <w:ind w:left="260" w:hanging="255"/>
        <w:spacing w:after="0" w:line="271"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ENHANCE-1 approximately 69% of subjects received background COPD therapy, either a long-acting muscarinic antagonist (“LAMA”) or a long-acting beta-antagonist (“LABA”). Additionally, approximately 20% of all subjects received inhaled corticosteroids (“ICS”) with concomitant LAMA or LABA.</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ENHANCE-2 approximately 55% of subjects received background COPD therapy, either a LAMA or a LABA. Additionally, approximately 15% of all subjects received ICS with concomitant LAMA or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48260</wp:posOffset>
            </wp:positionV>
            <wp:extent cx="4911725" cy="2890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1725" cy="289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Clinical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Ensifentrine / Long-Acting Muscarinic Antagonist (“LAMA”) fixed-dose combination</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are developing a fixed-dose combination formulation with ensifentrine and glycopyrrolate, a LAMA, for the maintenance treatment of patients with COPD via delivery in a nebulizer. We have filed patent applications in multiple jurisdictions including the U.S. In July 2024, we submitted an investigational new drug application (“IND”) to the FDA to allow initiation of the clinical program. Subject to clearance of the IND, we intend to initiate a Phase 2 dose-ranging trial in the third quarter of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Non-cystic fibrosis bronchiectasis (“NCFBE”)</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NCFBE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Based on the clinical results of ensifentrine observed in patients with COPD, including improvements in lung function and symptoms of cough and sputum, we believe that ensifentrine could potentially be an effective treatment for NCFBE. We plan to commence a Phase 2 clinical trial to assess the efficacy and safety of nebulized ensifentrine in patients with NCFBE in the third quarter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Nuance Pharma</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2021, we entered into an agreement with Nuance Pharma for exclusive rights to develop and commercialize ensifentrine in Greater China, with future potential milestone payments up to $179 million plus royalties. In August 2022, Nuance Pharma received clearance from the Center of Drug Evaluation for its IND application to conduct both Phase 1 and Phase 3 studies with ensifentrine for the maintenance treatment of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changes to the Company’s critical accounting estimates described in the Company’s 2023 Form 10-K during the six months ended June 30,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the Company expensed costs relating to production of pre-launch inventory as research and development expense in its condensed consolidated statements of operations and comprehensive loss in the period incurred. All other research and development costs are expensed as incurred.</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our research and development costs to increase in the second half of 2024 and into future years related to our planned additional trials for a fixed-dose combination formulation for COPD patients and nebulized ensifentrine in patients with NCFBE.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to the nature of research and development, the expected costs are inherently uncertain and may vary significantly from our current expectations.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expect commercial costs to significantly increase as we commercially launch Ohtuvayre including costs related to our sales force, marketing and other launch related costs. As we develop our knowledge of the market and refine our commercial launch plans, expected costs may vary significantly from our current expectations.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Other income/(expense) are driven by interest income and expense, foreign exchange movements on cash and cash equivalents and taxes receivable, and the U.K. research and development tax credits (the “R&amp;D tax credit”).</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participate in the U.K. Small and Medium Enterprises research and development tax relief program. The tax credits are calculated as a percentage of qualifying research and development expenditure and are payable in cash by the U.K. government to us. The credit recorded related to the 2022 financial year was received in the three months ended June 30, 2024, and the credit recorded in the 2023 financial year is expected to be received in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Taxation</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subject to corporate taxation in the U.S. and the U.K. We have generated losses since inception and have therefore not paid U.K. corporation tax. The income taxes presented in our Condensed Consolidated Statements of Operations and Comprehensive Loss represent the tax impact from our financing and operating activities in the U.S.</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U.K.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June 30, 2024 and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statements of operations for the three months ended June 30, 2024 and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2380" w:type="dxa"/>
            <w:vAlign w:val="bottom"/>
            <w:gridSpan w:val="4"/>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9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vMerge w:val="restart"/>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19,388</w:t>
            </w:r>
          </w:p>
        </w:tc>
        <w:tc>
          <w:tcPr>
            <w:tcW w:w="100" w:type="dxa"/>
            <w:vAlign w:val="bottom"/>
          </w:tcPr>
          <w:p>
            <w:pPr>
              <w:spacing w:after="0"/>
              <w:rPr>
                <w:sz w:val="23"/>
                <w:szCs w:val="23"/>
                <w:color w:val="auto"/>
              </w:rPr>
            </w:pPr>
          </w:p>
        </w:tc>
        <w:tc>
          <w:tcPr>
            <w:tcW w:w="880" w:type="dxa"/>
            <w:vAlign w:val="bottom"/>
            <w:vMerge w:val="restart"/>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Pr>
          <w:p>
            <w:pPr>
              <w:spacing w:after="0"/>
              <w:rPr>
                <w:sz w:val="23"/>
                <w:szCs w:val="23"/>
                <w:color w:val="auto"/>
              </w:rPr>
            </w:pPr>
          </w:p>
        </w:tc>
        <w:tc>
          <w:tcPr>
            <w:tcW w:w="30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21,862</w:t>
            </w:r>
          </w:p>
        </w:tc>
        <w:tc>
          <w:tcPr>
            <w:tcW w:w="0" w:type="dxa"/>
            <w:vAlign w:val="bottom"/>
          </w:tcPr>
          <w:p>
            <w:pPr>
              <w:spacing w:after="0"/>
              <w:rPr>
                <w:sz w:val="1"/>
                <w:szCs w:val="1"/>
                <w:color w:val="auto"/>
              </w:rPr>
            </w:pPr>
          </w:p>
        </w:tc>
      </w:tr>
      <w:tr>
        <w:trPr>
          <w:trHeight w:val="85"/>
        </w:trPr>
        <w:tc>
          <w:tcPr>
            <w:tcW w:w="69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49,035</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36,596</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68,423</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58,458</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(58,458)</w:t>
            </w: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gain/(loss)</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(expense)/income, net</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(69,821)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(61,324)</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(62,028)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Research and development costs were $19.4 million for the three months ended June 30, 2024, compared to a net reversal of costs of $2.5 million for the three months ended June 30, 2023, a change of $21.9 million. This change was primarily due to accrual of the $6.3 million approval milestone due to Ligand, $2.5 million in share-based compensation largely driven by the recognition of PRSU expense and $1.7 million related to pre-launch inventory production. Further, we had $2.5 million in clinical trial and other development costs in the three months ended June 30, 2024 while in the three months ended June 30, 2023, we recorded a reversal of costs of $6.3 million related to the resolution of a supplier matter which resulted in net negative research and development expense for the three months ended June 30,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Selling, general and administrative costs were $49.0 million for the three months ended June 30, 2024, compared to $12.4 million for the three months ended June 30, 2023, an increase of $36.6 million. This increase was driven primarily by an accrual of the $15.0 million first sale milestone payment due to Ligand, an increase of $7.4 million for marketing and other commercial launch related activities and an increase of $2.3 million in other support costs including travel, professional and consulting fees and information technology costs. Additionally, share-based compensation increased by $8.0 million largely driven by the recognition of PRSU expense as well as an increase of $4.3 million in people-related costs as we built out our commercial organization including much of the field sales team.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Other income/(expense), net for the three months ended June 30, 2024 was expense of $1.4 million compared to income of $1.5 million for the three months ended June 30, 2023, a change of $2.9 million. This increase in net expense was primarily due to the recognition of a loss on the extinguishment of our 2023 Term Loan of $3.7 million as well as an increase in interest expense of $1.0 million related to our higher average debt balance. This was partially offset by an increase in our research and development tax credit of $2.8 million primarily relating to the net reversal of expense in the three months ended June 30, 2023 relating to the resolution of the supplier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six months ended June 30, 2024 and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statements of operations for the six months ended June 30, 2024 and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1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47,441</w:t>
            </w: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32,164</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63,457</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(63,457)</w:t>
            </w:r>
          </w:p>
        </w:tc>
        <w:tc>
          <w:tcPr>
            <w:tcW w:w="0" w:type="dxa"/>
            <w:vAlign w:val="bottom"/>
          </w:tcPr>
          <w:p>
            <w:pPr>
              <w:spacing w:after="0"/>
              <w:rPr>
                <w:sz w:val="1"/>
                <w:szCs w:val="1"/>
                <w:color w:val="auto"/>
              </w:rPr>
            </w:pPr>
          </w:p>
        </w:tc>
      </w:tr>
      <w:tr>
        <w:trPr>
          <w:trHeight w:val="18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tax credit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0" w:type="dxa"/>
            <w:vAlign w:val="bottom"/>
          </w:tcPr>
          <w:p>
            <w:pPr>
              <w:spacing w:after="0"/>
              <w:rPr>
                <w:sz w:val="1"/>
                <w:szCs w:val="1"/>
                <w:color w:val="auto"/>
              </w:rPr>
            </w:pP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0" w:type="dxa"/>
            <w:vAlign w:val="bottom"/>
          </w:tcPr>
          <w:p>
            <w:pPr>
              <w:spacing w:after="0"/>
              <w:rPr>
                <w:sz w:val="1"/>
                <w:szCs w:val="1"/>
                <w:color w:val="auto"/>
              </w:rPr>
            </w:pPr>
          </w:p>
        </w:tc>
      </w:tr>
      <w:tr>
        <w:trPr>
          <w:trHeight w:val="265"/>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exchange (loss)/gain</w:t>
            </w:r>
          </w:p>
        </w:tc>
        <w:tc>
          <w:tcPr>
            <w:tcW w:w="34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0" w:type="dxa"/>
            <w:vAlign w:val="bottom"/>
          </w:tcPr>
          <w:p>
            <w:pPr>
              <w:spacing w:after="0"/>
              <w:rPr>
                <w:sz w:val="1"/>
                <w:szCs w:val="1"/>
                <w:color w:val="auto"/>
              </w:rPr>
            </w:pPr>
          </w:p>
        </w:tc>
      </w:tr>
      <w:tr>
        <w:trPr>
          <w:trHeight w:val="85"/>
        </w:trPr>
        <w:tc>
          <w:tcPr>
            <w:tcW w:w="69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 net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0" w:type="dxa"/>
            <w:vAlign w:val="bottom"/>
          </w:tcPr>
          <w:p>
            <w:pPr>
              <w:spacing w:after="0"/>
              <w:rPr>
                <w:sz w:val="1"/>
                <w:szCs w:val="1"/>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(69,794)</w:t>
            </w:r>
          </w:p>
        </w:tc>
        <w:tc>
          <w:tcPr>
            <w:tcW w:w="0" w:type="dxa"/>
            <w:vAlign w:val="bottom"/>
          </w:tcPr>
          <w:p>
            <w:pPr>
              <w:spacing w:after="0"/>
              <w:rPr>
                <w:sz w:val="1"/>
                <w:szCs w:val="1"/>
                <w:color w:val="auto"/>
              </w:rPr>
            </w:pPr>
          </w:p>
        </w:tc>
      </w:tr>
      <w:tr>
        <w:trPr>
          <w:trHeight w:val="18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costs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Research and development costs were $26.2 million for the six months ended June 30, 2024, compared to $10.1 million for the six months ended June 30, 2023, an increase of $16.0 million. This increase was primarily due to accrual of the $6.3 million approval milestone due to Ligand, $2.4 million in share-based compensation largely driven by the recognition of PRSU expense, $1.9 million related to pre-launch inventory production and $1.2 million for people-related costs. Additionally, we recorded a reversal of $1.5 million of costs in the six months ended June 30, 2023, which were expensed in the year ended December 31, 2022 related to the resolution of a supplier matter.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costs</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Selling, general and administrative costs were $69.5 million for the six months ended June 30, 2024 compared to $22.0 million for the six months ended June 30, 2023, an increase of $47.4 million. This increase was driven primarily by a charge of $15.0 million first sale milestone payment due to ligand, an increase of $11.4 million for marketing and other commercial launch related activities and an increase of $4.2 million in other support costs including travel, professional and consulting fees, rent and information technology. Additionally, we had an increase of $8.3 million in people related costs as we built out our commercial organization including much of the field sales team as well as an increase of $8.0 million related to share-based compensation largely driven by the recognition of PRSU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income/(expense)</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Other income for the six months ended June 30, 2024 was $0.8 million compared to $7.1 million for the six months ended June 30, 2023, a decrease of $6.3 million. This decrease was primarily due to the recognition of a loss on the extinguishment of our 2023 Term Loan of $3.7 million as well as an increase in interest expense of $2.3 million related to our higher average debt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six months ended June 30, 2024 and 2023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2340" w:type="dxa"/>
            <w:vAlign w:val="bottom"/>
            <w:gridSpan w:val="4"/>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0"/>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41"/>
        </w:trPr>
        <w:tc>
          <w:tcPr>
            <w:tcW w:w="69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30"/>
        </w:trPr>
        <w:tc>
          <w:tcPr>
            <w:tcW w:w="69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227,827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43,945</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6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163,709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94,900</w:t>
            </w:r>
          </w:p>
        </w:tc>
      </w:tr>
      <w:tr>
        <w:trPr>
          <w:trHeight w:val="18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17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404,599</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270,727</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133,872</w:t>
            </w:r>
          </w:p>
        </w:tc>
      </w:tr>
      <w:tr>
        <w:trPr>
          <w:trHeight w:val="20"/>
        </w:trPr>
        <w:tc>
          <w:tcPr>
            <w:tcW w:w="6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Net cash used in operating activities was $30.7 million in the six months ended June 30, 2024, compared to $27.1 million during the six months ended June 30, 2023, an increase of $3.6 million. The increase in cash used in operating activities was primarily due to the increase of costs incurred in preparation for the commercial launch of Ohtuvayre as well as an increase in people related costs. This was partially offset by the receipt of $8.7 million related to the 2022 R&amp;D tax credit from HMRC.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Net cash provided by financing activities was $163.7 million in the six months ended June 30, 2024, compared to $68.8 million in the six months ended June 30, 2023, an increase of $94.9 million. The increase in cash provided by financing activities was primarily due to net proceeds received of $167.9 million in the six months ended June 30, 2024 from the 2024 Term Loans and RIPSA, partially offset by the repayment of the 2023 Term Loans and debt issuance costs. In the six months ended June 30, 2023, the Company received $56.9 million related to the issuance of ordinary shares and as well as proceeds from the draw under our prior term loan with Oxford Finance Luxembourg S.À R.L.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To date, we have financed our operations primarily through the issuances of our equity securities, including warrants, from borrowings under term loan facilities, from payments under the RIPSA and from a collaboration and license agreement (the “Nuance Agreement”) with Nuance Pharma Limited (“Nuance Pharma”) effective June 9, 2021.</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have incurred recurring losses since inception, including net losses of $96.6 million for the six months ended June 30, 2024, and $54.4 million for the year ended December 31, 2023. As of June 30, 2024, we had an accumulated deficit of $485.3 million. We expect to incur additional losses and negative cash flows from operations until we reach profitability, if at all, and we may continue to incur significant operating losses for the foreseeable future as we have increased our headcount significantly in 2024 and have experienced increasing expenses to support our commercial launch of Ohtuvayre as well as our costs to expand our research and development efforts, advance our clinical development of ensifentrine in other formulations or for other indications, and seek to obtain regulatory approval for and commercialize ensifentrine in various formulations or indications.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no ongoing material financing commitments, such as lines of credit or guarantees, that are expected to affect our liquidity over the next five years, other than leases, the 2024 Term Loans and the RIPSA.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Financing and Capital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six months ended June 30, 2024, we had the following financing transactions:</w:t>
      </w:r>
    </w:p>
    <w:p>
      <w:pPr>
        <w:spacing w:after="0" w:line="168"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the 2024 Term Loans and RIPSA and drew on tranches of $225 million;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Repaid the 2023 Term Loans in full.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also to Note 6 - Debt to the unaudited condensed consolidated financial statements for additional information on the 2024 Term Loans.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Funding requirements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believe that our cash and cash equivalents as of June 30, 2024, together with additional funding expected to become available under the 2024 Term Loans and the RIPSA, will enable us to fund planned operating expenses and capital expenditure requirements, including the commercial launch of Ohtuvayre, through at least the end of 2026. Future advances under the 2024 Term Loans and the RIPSA are contingent upon achievement of certain commercial milestones and other specified conditions, and in the case of the Tranche E Term Loan, at the sole discretion of the 2024 Lenders.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1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may require additional capital to commercialize Ohtuvayre or to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financings, collaboration or licensing agreements and other arrangements. However, there is no guarantee that we will be successful in securing additional capital on acceptable terms, or at all.</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we expect to finance our cash needs through a combination of securities offerings, debt financings, license and collaboration agreements and research grants. If we raise capital through equity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7" w:name="page28"/>
    <w:bookmarkEnd w:id="27"/>
    <w:p>
      <w:pPr>
        <w:jc w:val="both"/>
        <w:spacing w:after="0" w:line="243" w:lineRule="auto"/>
        <w:rPr>
          <w:sz w:val="20"/>
          <w:szCs w:val="20"/>
          <w:color w:val="auto"/>
        </w:rPr>
      </w:pPr>
      <w:r>
        <w:rPr>
          <w:rFonts w:ascii="Times New Roman" w:cs="Times New Roman" w:eastAsia="Times New Roman" w:hAnsi="Times New Roman"/>
          <w:sz w:val="14"/>
          <w:szCs w:val="14"/>
          <w:color w:val="auto"/>
        </w:rPr>
        <w:t>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72" w:lineRule="exact"/>
        <w:rPr>
          <w:sz w:val="20"/>
          <w:szCs w:val="20"/>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studies required to support the commercial positioning of Ohtuvayre for the maintenance treatment of COPD in adult patients and any future product candidates;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decide to in-license and develop;</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clinical trials evaluating ensifentrine for the treatment of NCFBE, CF, asthma or other targeted indications, or for other formulations of ensifentrine, including fixed-dose combination products;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the ensifentrine active ingredient and derived formulated drug products and for other formulations of ensifentrine in development;</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NCFBE, CF, asthma and other respiratory diseases;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commercialization of ensifentrine or any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current and future commercialization activities, including manufacturing, marketing, sales and distribution, for Ohtuvayre;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and availability of adequate third-party coverage and reimbursement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our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50"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we may derive either directly or in the form of royalty payments from future sales of Ohtuvayre or any future product candidates, including ensifentrine in other indications;</w:t>
      </w:r>
    </w:p>
    <w:p>
      <w:pPr>
        <w:spacing w:after="0" w:line="221"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develop a sales, marketing and distribution infrastructure and scale up external manufacturing capabilities to commercialize Ohtuvayre and any product candidates for which we may obtain regulatory approval; and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28" w:name="page29"/>
    <w:bookmarkEnd w:id="28"/>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exposed to market risk related to changes in interest rates. As of June 30, 2024 and December 31, 2023, we had cash and cash equivalents of $404.6 million and $271.8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three months ended June 30,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is exposed to foreign exchange risk as a result of transactions in currencies other than its functional currency, the U.S. dollar. The Company’s expenses in the three months ended June 30, 2024 were incurred primarily in U.S. dollars, but also included euros and pound sterling. As at June 30, 2024, approximately 5% of cash and cash equivalents and 7%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3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Effectiveness of Controls and Procedures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2024, our disclosure controls and procedures were effective at the reasonable assurance level.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15d-15(f) under the Exchange Act) occurred during the quarter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currently subject to any material legal proceedings.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Investing in our ADSs involves a high degree of risk. You should carefully consider the risks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have never generated any product revenue.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a biopharmaceutical company with a limited operating history, and have incurred significant operating losses since our inception. We had net losses of $70.8 million for the three months ended June 30, 2024, and $54.4 million for the year ended December 31, 2023. As of June 30, 2024, we had an accumulated deficit of $485.3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commercially launch ensifentrine under the brand name Ohtuvayre, which was approved by the FDA on June 26, 2024 for the maintenance treatment of chronic obstructive pulmonary disease ("COPD”) in adult patients. We anticipate that our expenses will increase substantially as we:</w:t>
      </w:r>
    </w:p>
    <w:p>
      <w:pPr>
        <w:spacing w:after="0" w:line="61"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trials of ensifentrine for the treatment of non-cystic fibrosis bronchiectasis (“NCFBE”), cystic fibrosis (“CF”), asthma or other indications;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and conduct clinical pharmacology studies with any formulation;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discover and develop or in-license additional respiratory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to support ensifentrine and potentially other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the manufacturing processes and produce clinical and commercial supplies of the ensifentrine active pharmaceutical ingredient and formulated drug products derived from it;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additional regulatory approvals of ensifentrine;</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maintain or obtain freedom to operate for our in-licensed technologies and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clinical, scientific, operational, financial and management information systems and personnel, including personnel to support our product development and commercialization efforts;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operations to support commercialization and research activities in the U.S. and elsewhere.</w:t>
      </w:r>
    </w:p>
    <w:p>
      <w:pPr>
        <w:spacing w:after="0" w:line="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4" w:right="319" w:bottom="1440" w:gutter="0" w:footer="0" w:header="0"/>
        </w:sectPr>
      </w:pPr>
    </w:p>
    <w:bookmarkStart w:id="30" w:name="page31"/>
    <w:bookmarkEnd w:id="30"/>
    <w:p>
      <w:pPr>
        <w:jc w:val="both"/>
        <w:spacing w:after="0" w:line="246" w:lineRule="auto"/>
        <w:rPr>
          <w:sz w:val="20"/>
          <w:szCs w:val="20"/>
          <w:color w:val="auto"/>
        </w:rPr>
      </w:pPr>
      <w:r>
        <w:rPr>
          <w:rFonts w:ascii="Times New Roman" w:cs="Times New Roman" w:eastAsia="Times New Roman" w:hAnsi="Times New Roman"/>
          <w:sz w:val="14"/>
          <w:szCs w:val="14"/>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in other territories, if and when approved in such territories.</w:t>
      </w:r>
    </w:p>
    <w:p>
      <w:pPr>
        <w:spacing w:after="0" w:line="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To become and remain profitable, we must succeed in developing and commercializing products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We are only in the preliminary stages of some of these activities such as the commercial launch of Ohtuvayre. We may never succeed in these activities and, even if we do, we may never generate revenue that is significant enough to achieve profitability.</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planned clinical trials or the development of ensifentrine in additional formulations or for other targeted indications, or any other product candidates, our expenses could increase and revenue could be further delayed.</w:t>
      </w:r>
    </w:p>
    <w:p>
      <w:pPr>
        <w:spacing w:after="0" w:line="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have only had one product candidate recently approved for marketing in the U.S., none in any other jurisdiction, and may never receive approval beyond the one product approved to date. It could be several years, if ever, before we have a commercialized product that generates significant revenues through sales of Ohtuvayre or our product candidates, if approved. Even if we do generate revenue, we may never achieve or sustain profitability on a quarterly or annual basis. The net losses we incur may fluctuate significantly from quarter to quarter and year to year.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may need additional funding to complete development and commercialization of any future product candidates and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expect our expenses to increase in connection with our ongoing and planned activities, particularly as we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We estimate that our existing cash resources and additional funding received and expected to become available under the 2024 Term Loans and the RIPSA will enable us to fund planned operating expenses and capital expenditure requirements through at least the end of 2026, including the commercial launch of Ohtuvayre in the U.S. Future advances under the 2024 Term Loans and the RIPSA are contingent upon achievement of certain regulatory and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w:t>
      </w:r>
    </w:p>
    <w:p>
      <w:pPr>
        <w:spacing w:after="0" w:line="83" w:lineRule="exact"/>
        <w:rPr>
          <w:sz w:val="20"/>
          <w:szCs w:val="20"/>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studies required to support the commercial positioning of Ohtuvayre for the maintenance treatment of COPD in adult patients and any future product candidates;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 new product candidates we decide to in-license and develop;</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progress and results of any clinical trials evaluating ensifentrine for the treatment of NCFBE, CF, asthma or other targeted indications, or for other formulations of ensifentrine, including fixed-dose combination products;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clinical and commercial supplies of the ensifentrine active ingredient and derived formulated drug products and for other formulations of ensifentrine in development;</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NCFBE, CF, asthma and other respiratory diseases;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involved in growing our organization to the size needed to allow for the research, development and commercialization of ensifentrine or any future product candidates;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outcomes of current and future commercialization activities, including manufacturing, marketing, sales and distribution, for Ohtuvayre;</w:t>
      </w:r>
    </w:p>
    <w:p>
      <w:pPr>
        <w:spacing w:after="0" w:line="348"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sales price and availability of adequate third-party coverage and reimbursement for Ohtuvayre;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and technologies, including entering into licensing or collaboration arrangements for our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licensing or milestone fees we might have to pay during future development of ensifentrine or any future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2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we may derive either directly or in the form of royalty payments from future sales of Ohtuvayre or any future product candidates, including ensifentrine in other indications;</w:t>
      </w:r>
    </w:p>
    <w:p>
      <w:pPr>
        <w:spacing w:after="0" w:line="232"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develop a sales, marketing and distribution infrastructure and scale up external manufacturing capabilities to commercialize Ohtuvayre and any product candidates for which we may obtain regulatory approval; and</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operate as a public company.</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depend solely on the success of ensifentrine, which was recently approved by the FDA as Ohtuvayre. If we are unable to commercialize Ohtuvayre, or successfully develop ensifentrine for other indications, or experience significant delays in doing so, our ability to generate revenue and our financial condition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2" w:name="page33"/>
    <w:bookmarkEnd w:id="32"/>
    <w:p>
      <w:pPr>
        <w:jc w:val="both"/>
        <w:spacing w:after="0" w:line="241" w:lineRule="auto"/>
        <w:rPr>
          <w:sz w:val="20"/>
          <w:szCs w:val="20"/>
          <w:color w:val="auto"/>
        </w:rPr>
      </w:pPr>
      <w:r>
        <w:rPr>
          <w:rFonts w:ascii="Times New Roman" w:cs="Times New Roman" w:eastAsia="Times New Roman" w:hAnsi="Times New Roman"/>
          <w:sz w:val="14"/>
          <w:szCs w:val="14"/>
          <w:color w:val="auto"/>
        </w:rPr>
        <w:t>The FDA approved our New Drug Application (“NDA”) for Ohtuvayre for the maintenance treatment of COPD in adult patients on June 26, 2024. We do not currently generate any revenues from sales of Ohtuvayre or any other products. We have invested substantially all of our efforts and financial resources on the development of Ohtuvayre and on preparation for its commercial launch, including costs related to commercial drug supply, sales, and marketing. Our ability to generate royalty and product revenues will depend heavily on its successful commercialization. In addition, we have not submitted a marketing authorization application (“MAA”) to the EMA or comparable applications to other regulatory authorities for Ohtuvayre. The success of Ohtuvayre will depend on many factors, including the following:</w:t>
      </w:r>
    </w:p>
    <w:p>
      <w:pPr>
        <w:spacing w:after="0" w:line="51"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efficacy and potential advantages over alternative treatments, including over direct competitors;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including any limitations or warnings contained in a product’s approved labeling;</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to prescribe these therapies;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 and timing of market introduction of competitive products;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offer Ohtuvayre for sale at a competitive price;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publicity concerning our product, or competing products and treatments;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occurrence of adverse clinical findings or decreased effectiveness of our product over time identified during continued monitoring and evaluation of patients;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 together with other medications;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interactions of our product with other medicines patients are taking; and</w:t>
      </w:r>
    </w:p>
    <w:p>
      <w:pPr>
        <w:spacing w:after="0" w:line="83" w:lineRule="exact"/>
        <w:rPr>
          <w:rFonts w:ascii="Times New Roman" w:cs="Times New Roman" w:eastAsia="Times New Roman" w:hAnsi="Times New Roman"/>
          <w:sz w:val="14"/>
          <w:szCs w:val="14"/>
          <w:color w:val="auto"/>
        </w:rPr>
      </w:pPr>
    </w:p>
    <w:p>
      <w:pPr>
        <w:ind w:left="260" w:hanging="255"/>
        <w:spacing w:after="0" w:line="247" w:lineRule="auto"/>
        <w:tabs>
          <w:tab w:leader="none" w:pos="2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private and governmental payers coverage, particularly if the percentage of patients receiving reimbursement from state Medicaid is high since such process can be slower to reimburse.</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success of any product candidates, including our planned and ongoing development programs for ensifentrine, will depend on many factors, including the following:</w:t>
      </w:r>
    </w:p>
    <w:p>
      <w:pPr>
        <w:spacing w:after="0" w:line="72"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a product candidate is safe and effective as a treatment for our targeted indications to the satisfaction of the applicable regulatory authorities;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additional pre-clinical or clinical trials, which would increase our costs and prolong our development;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of a product candidate may not meet the level of statistical or clinical significance required by the applicable regulatory authorities for marketing approval;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disagree with the number, design, size, conduct or implementation of our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research organizations (“CROs”) that we retain to conduct clinical trials may take actions outside of our control that materially adversely impact our clinical trials;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a non-clinical safety profile that is acceptable to the applicable regulatory authorities;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operational or clinical issues may prevent completion or interpretation of clinical study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3" w:name="page34"/>
    <w:bookmarkEnd w:id="33"/>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manufacturing issues, product performance issues or stability issues may delay or otherwise adversely affect the progress of our clinical development program;</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including war and terrorism, such as the ongoing conflicts in Europe and the Middle East, or travel restrictions, such as those imposed during the COVID-19 pandemic;</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not accept data generated at our clinical trial sites due to Good Clinical Practice (“GCP”) compliance issues, misconduct, or other reasons;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require development of a risk evaluation and mitigation strategy (“REMS”) or similar risk management measures as a condition of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identify deficiencies in the manufacturing processes or facilities of our third-party manufacturers;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authorities may change their approval policies or adopt new regulations;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license a product candidate to others, the efforts of those parties in completing clinical trials of, receiving regulatory approval for, and commercializing that product candidate;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our clinical trials, we may discover factors that limit the commercial viability of a product candidate or make the commercialization of such product candidate unfeasible;</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50"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unfavorable outcome in any of these factors could result in our experiencing significant delays or an inability to successfully commercialize our product candidates.</w:t>
      </w:r>
    </w:p>
    <w:p>
      <w:pPr>
        <w:spacing w:after="0" w:line="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received FDA approval to commercialize ensifentrine in the U.S. for the maintenance treatment of COPD in adult patients under the brand name Ohtuvayre.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for investors to evaluate the success of our business to date and to assess our future viability.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in different formulations of ensifentrine and for different indications, and two registrational Phase 3 clinical trials for nebulized ensifentrine for the maintenance treatment of COPD. While we have received approval for marketing ensifentrine in the U.S. for the maintenance treatment of COPD in adults, we have not yet conducted sales, marketing and distribution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4" w:name="page35"/>
    <w:bookmarkEnd w:id="34"/>
    <w:p>
      <w:pPr>
        <w:jc w:val="both"/>
        <w:spacing w:after="0" w:line="271" w:lineRule="auto"/>
        <w:rPr>
          <w:sz w:val="20"/>
          <w:szCs w:val="20"/>
          <w:color w:val="auto"/>
        </w:rPr>
      </w:pPr>
      <w:r>
        <w:rPr>
          <w:rFonts w:ascii="Times New Roman" w:cs="Times New Roman" w:eastAsia="Times New Roman" w:hAnsi="Times New Roman"/>
          <w:sz w:val="14"/>
          <w:szCs w:val="14"/>
          <w:color w:val="auto"/>
        </w:rPr>
        <w:t>factors, many of which are beyond our control. Consequently, any predictions investors make about our future success or viability may not be as accurate as they could be if we had a longer operating history.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On May 9, 2024 (the “2024 Effective Date”), Verona Pharma, Inc. entered into a term loan facility of up to $400.0 million (the “2024 Term Loans” or the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We received net proceeds of $68.6 million related to the Tranche B Term Loan on June 28, 2024 following FDA approval of Ohtuvayre. Each advance under the 2024 Term Loans accrues interest at a per annum rate equal to 11.00%.</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outstanding indebtedness, including any additional indebtedness incurred beyond our borrowings under the 2024 Term Loans, combined with our other financial obligations and contractual commitments could have significant adverse consequences, including:</w:t>
      </w:r>
    </w:p>
    <w:p>
      <w:pPr>
        <w:spacing w:after="0" w:line="50" w:lineRule="exact"/>
        <w:rPr>
          <w:sz w:val="20"/>
          <w:szCs w:val="20"/>
          <w:color w:val="auto"/>
        </w:rPr>
      </w:pPr>
    </w:p>
    <w:p>
      <w:pPr>
        <w:ind w:left="260" w:hanging="255"/>
        <w:spacing w:after="0" w:line="271" w:lineRule="auto"/>
        <w:tabs>
          <w:tab w:leader="none" w:pos="2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2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market conditions;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us to restrictive covenants that may reduce our ability to take certain corporate actions or obtain further debt or equity financing;</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industry in which we compete;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competitive disadvantage compared to our competitors that have less debt or better debt servicing options.</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intend to satisfy our current and future debt service obligations with our then existing cash and cash equivalents. However, we may not have sufficient funds, and may be unable to arrange for additional financing, to pay the 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The terms of the RIPSA place restrictions on our operating and financial flexibility, and if we fail to comply with certain covenants in the RIPSA, our results of operations and financial condition may be harmed.</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May 2024, Verona Pharma plc and Verona Pharma, Inc. (collectively, the “Sellers”) entered into a revenue interest purchase and sale agreement (the “RIPSA”) with Oaktree Fund Administration, LLC, as administrative agent, and certain funds managed by each of Oaktree and OMERS party thereto (collectively, the “Purchasers”). Under the terms of the RIPSA, in exchange for the Purchasers’ payment to us of a purchase price of $100 million in the aggregate, upon approval of ensifentrine by the FDA by a specified date and subject to certain labeling conditions (the “Tranche A Purchase Price”), the Sellers agreed to a true sale of assigned interested to the Purchasers, including a right for the Purchasers to receive 6.50% on global net sales of ensifentrine by the Sellers and 5% on certain proceeds the Sellers receive from licenses engaged during the term of the RIPSA outside of the U.S. The Tranche A Purchase Price of $100.0 million was received on June 28, 2024 following FDA approval of Ohtuvayre. We are also eligible to receive an additional funding tranche equal to $150 million upon achievement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14"/>
          <w:szCs w:val="14"/>
          <w:color w:val="auto"/>
        </w:rPr>
        <w:t>a specified net sales milestone in any trailing six-month period after receipt of the Tranche A Purchase Price. The RIPSA contains covenants that impose on us certain obligations with respect to payment, diligence, reporting, intellectual property, license agreements, and certain other actions, as well as indemnification obligations. Among other things, these covenants require us to use commercially reasonable efforts to develop and commercialize ensifentrine in the U.S. and each major jurisdiction in which a marketing authorization is obtained, and limit our ability to create or incur liens or dispose of certain assets related to ensifentrine. Compliance with these covenants may limit our flexibility in operating our business and our ability to take actions that might otherwise be advantageous to us and our shareholders, including the holders of our ADSs. Pursuant to the RIPSA and related security agreement, we granted to the Purchasers a second-priority lien in certain of our intellectual property assets and other related assets to secure our obligations under the RIPSA. If we are unable to comply with our obligations, the Purchasers could seek to enforce their security interest in such assets.</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 the RIPSA and our payment obligations to the Purchasers could have important negative consequences to holders of our securities. For example, a portion of our cash flow from operations will be needed to make required payments to the Purchasers and will not be available to fund future operations.</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Payment requirements under the RIPSA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shareholders. There is no assurance that if we are required to secure funding we can do so on terms acceptable to us, or at all. Failure to pay amounts owed to the Purchasers when due would result in a default under the RIPSA and could result in foreclosure on all or substantially all of our assets, which would have a material adverse effect.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holders, restrict our operations or require us to relinquish rights to our technologies or product candidates.</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become subject to economic, political, regulatory and other risks associated with international operations.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pacing w:after="0" w:line="40"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non-U.S. economies and markets;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for drug approvals in non-U.S. countries;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jurisdictions could present different issues for securing, maintaining or obtaining freedom to operate in such jurisdictions;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reduced protection for intellectual property rights;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regulations and customs, tariffs and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6" w:name="page37"/>
    <w:bookmarkEnd w:id="36"/>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non-U.S. currency exchange rates of the euro and currency controls;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country’s or region’s political or economic environment;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reimbursement regimes and price controls in certain non-U.S. markets;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consequences from changes in tax laws;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associated with staffing and managing international operations, including differing labor relations;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or natural disasters including earthquakes, typhoons, floods and fires, or public health emergencies, such as the COVID-19 pandemic.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Exchange rate fluctuations may materially affect our results of operations and financial condition.</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and Regulatory Approval</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7" w:name="page38"/>
    <w:bookmarkEnd w:id="37"/>
    <w:p>
      <w:pPr>
        <w:jc w:val="both"/>
        <w:spacing w:after="0" w:line="246" w:lineRule="auto"/>
        <w:rPr>
          <w:sz w:val="20"/>
          <w:szCs w:val="20"/>
          <w:color w:val="auto"/>
        </w:rPr>
      </w:pPr>
      <w:r>
        <w:rPr>
          <w:rFonts w:ascii="Times New Roman" w:cs="Times New Roman" w:eastAsia="Times New Roman" w:hAnsi="Times New Roman"/>
          <w:sz w:val="14"/>
          <w:szCs w:val="14"/>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57"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generate sufficient preclinical, toxicology, drug product characterizations or other in vivo or in vitro data to support the initiation or continuation of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agreement on clinical trial design or implementation, including dose and frequency of administration;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regulatory authorization to commence a trial;</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a CRO to meet their contracted obligations regarding subject enrollment, data collection, data monitoring, laboratory sample management, programming and analysis or other activities;</w:t>
      </w:r>
    </w:p>
    <w:p>
      <w:pPr>
        <w:spacing w:after="0" w:line="23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obtain institutional review board (“IRB”), or ethics committee approval or positive opinion at each site;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failure to recruit suitable patients to participate in a trial;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have patients complete a trial or return for post-treatment follow-up;</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deviating from trial protocol or dropping out of a trial or committing gross misconduct or fraud;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to the addition of new clinical trial sites;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achieve or maintain doubleblinding, when required by the applicable clinical trial protocol;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technical issues during manufacture;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drug product performance and/or stability;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discoveries that may reduce the commercial viability of the product candidate;</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manufacture sufficient quantities of the applicable product candidates for use in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or stability of the product candidate falling below acceptable standards for either safety or efficacy;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actions claiming infringement by the product candidate in clinical trials and obtaining injunctions interfering with our progress;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such as the ongoing conflicts in Europe and the Middle East, or natural disasters including earthquakes, typhoons, floods and fires;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sanctions imposed by the U.S. or other governments impacting our ability to transfer money to certain countries, such as Russia, to pay clinical trials sites in those countries;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or tolerability concerns causing us or our collaborators, as applicable, to suspend or terminate a trial if we or our collaborators find that the participants are being exposed to unacceptable health risks;</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policies and guidelines;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than anticipated retention rates of patients and volunteers in clinical trials;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research contractors to comply with regulatory requirements or to meet their contractual obligations to us in a timely manner, or at all;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certain countries in identifying the sub-populations that we are trying to evaluate in a particular trial, which may delay enrollment.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8" w:name="page39"/>
    <w:bookmarkEnd w:id="38"/>
    <w:p>
      <w:pPr>
        <w:jc w:val="both"/>
        <w:spacing w:after="0" w:line="271" w:lineRule="auto"/>
        <w:rPr>
          <w:sz w:val="20"/>
          <w:szCs w:val="20"/>
          <w:color w:val="auto"/>
        </w:rPr>
      </w:pPr>
      <w:r>
        <w:rPr>
          <w:rFonts w:ascii="Times New Roman" w:cs="Times New Roman" w:eastAsia="Times New Roman" w:hAnsi="Times New Roman"/>
          <w:sz w:val="14"/>
          <w:szCs w:val="14"/>
          <w:color w:val="auto"/>
        </w:rPr>
        <w:t>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39" w:name="page40"/>
    <w:bookmarkEnd w:id="39"/>
    <w:p>
      <w:pPr>
        <w:jc w:val="both"/>
        <w:spacing w:after="0" w:line="271" w:lineRule="auto"/>
        <w:rPr>
          <w:sz w:val="20"/>
          <w:szCs w:val="20"/>
          <w:color w:val="auto"/>
        </w:rPr>
      </w:pPr>
      <w:r>
        <w:rPr>
          <w:rFonts w:ascii="Times New Roman" w:cs="Times New Roman" w:eastAsia="Times New Roman" w:hAnsi="Times New Roman"/>
          <w:sz w:val="14"/>
          <w:szCs w:val="14"/>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resulting legislative changes will be closely watched and will determine the extent to which the U.K. clinical trials framework aligns with or diverges from the (EU) CTR. Under the terms of the Protocol on Ireland/Northern Ireland, 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compared with other countries.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slow or unable to adapt to changes in existing requirements or the adoption of new requirements or policies governing clinical trials, our development plans may be impacted.</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20 Phase 1, 2 and 3 clinical trials of ensifentrine. In these trials, some patients have experienced mild to moderate adverse reactions, including urinary tract infection, back pain, hypertension, and diarrhea. An increase in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 undesirable or unacceptable side effects following regulatory approval, a number of potentially significant negative consequences could result, including:</w:t>
      </w:r>
    </w:p>
    <w:p>
      <w:pPr>
        <w:spacing w:after="0" w:line="48"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approvals of such products and require us to take them off the market;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specific warnings, a contraindication or field alerts to physicians and pharmacies;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administered, conduct additional clinical trials or change the labeling of the product;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limitations on how we may promote a product;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sales may be adversely impacted;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litigation or product liability claims;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0" w:name="page41"/>
    <w:bookmarkEnd w:id="40"/>
    <w:p>
      <w:pPr>
        <w:ind w:left="260" w:hanging="25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develop ensifentrine in different formulations, including fixed-dose combinations, and/or for other targeted indications, including NCFBE, CF, asthma or other respiratory diseases</w:t>
      </w:r>
      <w:r>
        <w:rPr>
          <w:rFonts w:ascii="Times New Roman" w:cs="Times New Roman" w:eastAsia="Times New Roman" w:hAnsi="Times New Roman"/>
          <w:sz w:val="14"/>
          <w:szCs w:val="14"/>
          <w:color w:val="auto"/>
        </w:rPr>
        <w:t>.</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Part of our strategy is to continue to develop ensifentrine in indications other than COPD, such as NCFBE, CF and asthma and other formulations including fixed-dose combinations, MDI and DPI. Although our research and development efforts to date have suggested that ensifentrine has the potential to treat NCFBE, CF and asthma, we may not be able to develop successfully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pacing w:after="0" w:line="61" w:lineRule="exact"/>
        <w:rPr>
          <w:sz w:val="20"/>
          <w:szCs w:val="20"/>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related litigation;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time and our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1" w:name="page42"/>
    <w:bookmarkEnd w:id="41"/>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 product recalls or withdrawals, or labeling, marketing or promotional restrictions;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or promote any approved products, including Ohtuvayre.</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warnings that identify known potential adverse effects and patients who should not use a product.</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5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 candidates could fail to receive regulatory approval for many reasons, including the following:</w:t>
      </w:r>
    </w:p>
    <w:p>
      <w:pPr>
        <w:spacing w:after="0" w:line="83" w:lineRule="exact"/>
        <w:rPr>
          <w:sz w:val="20"/>
          <w:szCs w:val="20"/>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the EMA or comparable foreign regulatory authorities that a product candidate is safe and effective for its proposed indication;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benefits outweigh its safety risks;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interpretation of data from pre-clinical studies or clinical trials or may find the data to be unacceptable;</w:t>
      </w:r>
    </w:p>
    <w:p>
      <w:pPr>
        <w:spacing w:after="0" w:line="83"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may, for various reasons, be insufficient to support the submission or approval of an NDA or supplemental NDA in the United States, a MAA in the EU, or other comparable submission to obtain regulatory approval in other countries;</w:t>
      </w:r>
    </w:p>
    <w:p>
      <w:pPr>
        <w:spacing w:after="0" w:line="29"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fail to approve the manufacturing processes or facilities of third-party manufacturers with which we contract for clinical and commercial supplies;</w:t>
      </w:r>
    </w:p>
    <w:p>
      <w:pPr>
        <w:spacing w:after="0" w:line="39"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2" w:name="page43"/>
    <w:bookmarkEnd w:id="42"/>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the design or implementation of our clinical trials; and</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the EMA or comparable foreign regulatory authorities may disagree with our proposed product specifications and performance characteristics.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This lengthy approval process as well as the unpredictability of future clinical trial results may result in our failing to obtain the necessary or desired regulatory approvals for our product candidates. The FDA, the EMA and other 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 may however have a significant impact on the biopharmaceutical industry and our business in the long term.</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Even though the FDA has approved Ohtuvayre, we remain subject to ongoing obligations and continued regulatory review, which may result in significant additional expense. Additionally, Ohtuvayre and any other approved products could be subject to labeling and other restrictions and market withdrawal and we may be subject to penalties if we fail to comply with regulatory requirements or experience unanticipated problems.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 we conduct post-approval, all of which may result in significant expense and limit our ability to commercialize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14"/>
          <w:szCs w:val="14"/>
          <w:color w:val="auto"/>
        </w:rPr>
        <w:t>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59"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the rejection of product approvals;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conduct clinical trials, including full or partial clinical holds on ongoing or planned trials;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products, manufacturers or manufacturing process;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or untitled letters;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regulatory approvals;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seizures, detentions or import bans;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voluntary or mandatory product recalls and publicity requirements;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or partial suspension of production;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restrictions on operations, including costly new manufacturing requirements.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never obtain approval or commercialize ensifentrine in other major markets outside of the U.S., which would limit our ability to realize its full market potential.</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14"/>
          <w:szCs w:val="14"/>
          <w:color w:val="auto"/>
        </w:rPr>
        <w:t>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4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Healthcare Laws and Other Legal Compliance Matters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Enacted and future legislation and regulation may increase the difficulty and cost for us to commercialize our products and may affect the prices we may set.</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61" w:lineRule="exact"/>
        <w:rPr>
          <w:sz w:val="20"/>
          <w:szCs w:val="20"/>
          <w:color w:val="auto"/>
        </w:rPr>
      </w:pPr>
    </w:p>
    <w:p>
      <w:pPr>
        <w:ind w:left="260" w:hanging="255"/>
        <w:spacing w:after="0" w:line="255"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50" w:lineRule="exact"/>
        <w:rPr>
          <w:rFonts w:ascii="Times New Roman" w:cs="Times New Roman" w:eastAsia="Times New Roman" w:hAnsi="Times New Roman"/>
          <w:sz w:val="14"/>
          <w:szCs w:val="14"/>
          <w:color w:val="auto"/>
        </w:rPr>
      </w:pPr>
    </w:p>
    <w:p>
      <w:pPr>
        <w:jc w:val="both"/>
        <w:ind w:left="260" w:hanging="255"/>
        <w:spacing w:after="0" w:line="246"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(which, as discussed below, will be replaced by a new manufacturer discount program beginning in 2025);</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statutory minimum rebates a manufacturer must pay under the Medicaid Drug Rebate Program;</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methodology by which rebates owed by manufacturers under the Medicaid Drug Rebate Program are calculated for drugs that are inhaled, infused, instilled, implanted or injected and not generally distributed through the retail channel;</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 of a manufacturer’s Medicaid rebate liability to covered drugs dispensed to individuals who are enrolled in Medicaid managed care organizations;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Patient-Centered Outcomes Research Institute to oversee, identify priorities in, and conduct comparative clinical effectiveness research, along with funding for such research; and</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6" w:name="page47"/>
    <w:bookmarkEnd w:id="46"/>
    <w:p>
      <w:pPr>
        <w:jc w:val="both"/>
        <w:spacing w:after="0" w:line="271" w:lineRule="auto"/>
        <w:rPr>
          <w:sz w:val="20"/>
          <w:szCs w:val="20"/>
          <w:color w:val="auto"/>
        </w:rPr>
      </w:pPr>
      <w:r>
        <w:rPr>
          <w:rFonts w:ascii="Times New Roman" w:cs="Times New Roman" w:eastAsia="Times New Roman" w:hAnsi="Times New Roman"/>
          <w:sz w:val="14"/>
          <w:szCs w:val="14"/>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force as it currently exists.</w:t>
      </w:r>
    </w:p>
    <w:p>
      <w:pPr>
        <w:spacing w:after="0" w:line="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Most significantly, on August 16, 2022, the Inflation Reduction Act of 2022, or IRA, was signed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continue to penalize price increases that outpace inflation (first due in 2023); redesigns the Medicare Part D benefit (beginning 2024); and replaces the Part D coverage gap discount program originally established under the ACA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our company and the pharmaceutical industry cannot yet be fully determined but, is likely to be significant.</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the EU, similar political, economic and regulatory developments may affect our ability to profitably commercialize our products,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products, restrict or regulate post-approval activities and affect our ability to commercialize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7" w:name="page48"/>
    <w:bookmarkEnd w:id="47"/>
    <w:p>
      <w:pPr>
        <w:jc w:val="both"/>
        <w:spacing w:after="0" w:line="271" w:lineRule="auto"/>
        <w:rPr>
          <w:sz w:val="20"/>
          <w:szCs w:val="20"/>
          <w:color w:val="auto"/>
        </w:rPr>
      </w:pPr>
      <w:r>
        <w:rPr>
          <w:rFonts w:ascii="Times New Roman" w:cs="Times New Roman" w:eastAsia="Times New Roman" w:hAnsi="Times New Roman"/>
          <w:sz w:val="14"/>
          <w:szCs w:val="14"/>
          <w:color w:val="auto"/>
        </w:rPr>
        <w:t>products, if approved. In international markets, reimbursement and healthcare payment systems vary significantly by country, and many countries have instituted price ceilings on specific products and therapies.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57" w:lineRule="exact"/>
        <w:rPr>
          <w:sz w:val="20"/>
          <w:szCs w:val="20"/>
          <w:color w:val="auto"/>
        </w:rPr>
      </w:pPr>
    </w:p>
    <w:p>
      <w:pPr>
        <w:jc w:val="both"/>
        <w:ind w:left="260" w:hanging="255"/>
        <w:spacing w:after="0" w:line="243"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43"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4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FDCA, which prohibits, among other things, the adulteration or misbranding of drugs, biologics and medical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48" w:name="page49"/>
    <w:bookmarkEnd w:id="48"/>
    <w:p>
      <w:pPr>
        <w:jc w:val="both"/>
        <w:ind w:left="260" w:hanging="255"/>
        <w:spacing w:after="0" w:line="246"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56"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w:t>
      </w:r>
    </w:p>
    <w:p>
      <w:pPr>
        <w:spacing w:after="0" w:line="83"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61" w:lineRule="exact"/>
        <w:rPr>
          <w:rFonts w:ascii="Times New Roman" w:cs="Times New Roman" w:eastAsia="Times New Roman" w:hAnsi="Times New Roman"/>
          <w:sz w:val="14"/>
          <w:szCs w:val="14"/>
          <w:color w:val="auto"/>
        </w:rPr>
      </w:pPr>
    </w:p>
    <w:p>
      <w:pPr>
        <w:jc w:val="both"/>
        <w:ind w:left="260" w:hanging="255"/>
        <w:spacing w:after="0" w:line="241"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51" w:lineRule="exact"/>
        <w:rPr>
          <w:rFonts w:ascii="Times New Roman" w:cs="Times New Roman" w:eastAsia="Times New Roman" w:hAnsi="Times New Roman"/>
          <w:sz w:val="14"/>
          <w:szCs w:val="14"/>
          <w:color w:val="auto"/>
        </w:rPr>
      </w:pPr>
    </w:p>
    <w:p>
      <w:pPr>
        <w:jc w:val="both"/>
        <w:ind w:left="260" w:hanging="255"/>
        <w:spacing w:after="0" w:line="238"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6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49" w:name="page50"/>
    <w:bookmarkEnd w:id="49"/>
    <w:p>
      <w:pPr>
        <w:jc w:val="both"/>
        <w:spacing w:after="0" w:line="238" w:lineRule="auto"/>
        <w:rPr>
          <w:sz w:val="20"/>
          <w:szCs w:val="20"/>
          <w:color w:val="auto"/>
        </w:rPr>
      </w:pPr>
      <w:r>
        <w:rPr>
          <w:rFonts w:ascii="Times New Roman" w:cs="Times New Roman" w:eastAsia="Times New Roman" w:hAnsi="Times New Roman"/>
          <w:sz w:val="14"/>
          <w:szCs w:val="14"/>
          <w:color w:val="auto"/>
        </w:rPr>
        <w:t>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0" w:name="page51"/>
    <w:bookmarkEnd w:id="50"/>
    <w:p>
      <w:pPr>
        <w:jc w:val="both"/>
        <w:spacing w:after="0" w:line="271" w:lineRule="auto"/>
        <w:rPr>
          <w:sz w:val="20"/>
          <w:szCs w:val="20"/>
          <w:color w:val="auto"/>
        </w:rPr>
      </w:pPr>
      <w:r>
        <w:rPr>
          <w:rFonts w:ascii="Times New Roman" w:cs="Times New Roman" w:eastAsia="Times New Roman" w:hAnsi="Times New Roman"/>
          <w:sz w:val="14"/>
          <w:szCs w:val="14"/>
          <w:color w:val="auto"/>
        </w:rPr>
        <w:t>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Relatedly, since the beginning of 2021, following the U.K.’s withdrawal from the EEA and the European Union,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1" w:name="page52"/>
    <w:bookmarkEnd w:id="51"/>
    <w:p>
      <w:pPr>
        <w:jc w:val="both"/>
        <w:spacing w:after="0" w:line="238" w:lineRule="auto"/>
        <w:rPr>
          <w:sz w:val="20"/>
          <w:szCs w:val="20"/>
          <w:color w:val="auto"/>
        </w:rPr>
      </w:pPr>
      <w:r>
        <w:rPr>
          <w:rFonts w:ascii="Times New Roman" w:cs="Times New Roman" w:eastAsia="Times New Roman" w:hAnsi="Times New Roman"/>
          <w:sz w:val="14"/>
          <w:szCs w:val="14"/>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 In particular, we engaged a number of clinical trial sites in Russia in connection with our Phase 3 ENHANCE clinical program and, with the ongoing conflict between Russia and Ukraine, and resulting sanctions imposed by the U.S. and other governments, there is an increased risk that our ability to pay clinical sites or conduct clinical trials in Russia, may be impacted.</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Given the number of products already on the market to treat COPD, asthma, CF and NCFBE, we expect to face intense competition for our products, including for Ohtuvayre, and for ensifentrine, if approved for these additional indications. Companies including GlaxoSmithKline, AstraZeneca, Novartis, Vertex, Viatris, Theravance, Gilead and Genentech currently have treatments on the market for COPD, CF and asthma, and we anticipate that new companies will enter these markets in the future. While no treatments for NCFBE currently have marketing approval in the U.S. or EU, there are products in late-stage clinical development that could be approved in the future. Our products will compete with existing therapies and new therapies that may become available in the future. The highly competitive nature of, and rapid technological changes in, the biopharmaceutical and pharmaceutical industries could render our products obsolete, less competitive or uneconomical. Our competitors may, among other things:</w:t>
      </w:r>
    </w:p>
    <w:p>
      <w:pPr>
        <w:spacing w:after="0" w:line="61" w:lineRule="exact"/>
        <w:rPr>
          <w:sz w:val="20"/>
          <w:szCs w:val="20"/>
          <w:color w:val="auto"/>
        </w:rPr>
      </w:pPr>
    </w:p>
    <w:p>
      <w:pPr>
        <w:ind w:left="260" w:hanging="255"/>
        <w:spacing w:after="0" w:line="271"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2" w:name="page53"/>
    <w:bookmarkEnd w:id="52"/>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products that are safer, more effective, less expensive, more convenient or easier to administer, or have fewer or less severe side effects;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quicker regulatory approval;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superior proprietary positions covering our products and technologies;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more effective approaches to sales, marketing and distribution; or</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more advantageous strategic alliances.</w:t>
      </w:r>
    </w:p>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Ohtuvayre will depend in part on the extent to which governmental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Ohtuvayre.</w:t>
      </w:r>
    </w:p>
    <w:p>
      <w:pPr>
        <w:spacing w:after="0" w:line="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Obtaining and maintaining reimbursement status is time 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53" w:name="page54"/>
    <w:bookmarkEnd w:id="53"/>
    <w:p>
      <w:pPr>
        <w:jc w:val="both"/>
        <w:spacing w:after="0" w:line="243" w:lineRule="auto"/>
        <w:rPr>
          <w:sz w:val="20"/>
          <w:szCs w:val="20"/>
          <w:color w:val="auto"/>
        </w:rPr>
      </w:pPr>
      <w:r>
        <w:rPr>
          <w:rFonts w:ascii="Times New Roman" w:cs="Times New Roman" w:eastAsia="Times New Roman" w:hAnsi="Times New Roman"/>
          <w:sz w:val="14"/>
          <w:szCs w:val="14"/>
          <w:color w:val="auto"/>
        </w:rPr>
        <w:t>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Ohtuvayre will be reimbursed under a medical benefit through either Medicare Part B or Medicare Advantage programs, and changes within how products are reimbursed under these programs could occur and those changes may affect the overall coverage of Ohtuvayre in the future.</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even if a pharmaceutical product obtains a marketing authorization in the EU, there can be no assurance that reimbursement for such product will be secured on a timely basis or at all.</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2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ACA made significant changes to the MDRP, as described under the risk factor “Enacted and future legislation and regulation may increase the difficulty and cost for us to commercialize our products and may affect the prices we may set,” above. In addition, in March 2021, the American Rescue Plan Act of 2021 was signed into law, which, among other things, eliminated the statutory cap on drug manufacturers’ MDRP rebate liability, effective January 1, 2024. Previously, under law enacted as part of the ACA, drug manufacturers’ MDRP rebate liability was capped at 100% of the AMP for a covered outpatient drug. Congress could enact additional legislation that further increases Medicaid drug rebates or other costs and charges associated with participating in the MDRP. Additional legislation or the issuance of regulations relating to the MDRP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4" w:name="page55"/>
    <w:bookmarkEnd w:id="54"/>
    <w:p>
      <w:pPr>
        <w:jc w:val="both"/>
        <w:spacing w:after="0" w:line="246" w:lineRule="auto"/>
        <w:rPr>
          <w:sz w:val="20"/>
          <w:szCs w:val="20"/>
          <w:color w:val="auto"/>
        </w:rPr>
      </w:pPr>
      <w:r>
        <w:rPr>
          <w:rFonts w:ascii="Times New Roman" w:cs="Times New Roman" w:eastAsia="Times New Roman" w:hAnsi="Times New Roman"/>
          <w:sz w:val="14"/>
          <w:szCs w:val="14"/>
          <w:color w:val="auto"/>
        </w:rPr>
        <w:t>The recently-enacted IRA imposes rebates under Medicare Part B and Medicare Part D that are triggered by price increases that outpace inflation (first due in 2023), as described under the risk factor “Enacted and future legislation and regulation may increase the difficulty and cost for us to commercialize our products and may affect the prices we may set,” above. The Medicare Part D rebate will be calculated on the basis of the AMP figures we report pursuant to the MDRP.</w:t>
      </w: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the ACA or other legislation or regulation could affect our 340B ceiling price calculations and also negatively impact our financial results.</w:t>
      </w:r>
    </w:p>
    <w:p>
      <w:pPr>
        <w:spacing w:after="0" w:line="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Pricing and rebate calculations vary among products and programs. The calculations are complex and are often subject to interpretation by us, governmental or regulatory agencies, and the courts. CMS, the Department of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5" w:name="page56"/>
    <w:bookmarkEnd w:id="55"/>
    <w:p>
      <w:pPr>
        <w:jc w:val="both"/>
        <w:ind w:firstLine="5"/>
        <w:spacing w:after="0" w:line="243" w:lineRule="auto"/>
        <w:tabs>
          <w:tab w:leader="none" w:pos="15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spacing w:after="0" w:line="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will depend on a variety of factors, including:</w:t>
      </w:r>
    </w:p>
    <w:p>
      <w:pPr>
        <w:spacing w:after="0" w:line="29"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product relative to other products for the same or similar treatment;</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clinical profile of competing products;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 for which Ohtuvayre is approved;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acceptable evidence of safety and efficacy;</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frequency, and ease of administration;</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effectiveness;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sales, and distribution support;</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adequate coverage, reimbursement and adequate payment from health maintenance organizations and other insurers, both public and private;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potential advantages over alternative treatment methods.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are continuing to develop sales, marketing, operations, distribution and reimbursement capabilities and infrastructure after receiving approval of Ohtuvayre in June 2024, and we have not previously marketed, sold or distributed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and distribution capabilities on our own or through collaborations would adversely impact the commercialization of Ohtuvayre.</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 either on our own or through collaborations with one or more third parties, our future product revenue will suffer and we may incur significant additional losses.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establish effective sales and marketing capabilities to market and sell our approved product, Ohtuvayre, we may be unable to generate adequate revenue.</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no previous experience in marketing and selling drug products. We are continuing to establish our infrastructure for the sales, marketing and distribution of Ohtuvayre, and the cost of establishing and maintaining such an organization may exceed the benefits of doing so.</w:t>
      </w:r>
    </w:p>
    <w:p>
      <w:pPr>
        <w:spacing w:after="0" w:line="4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established an initial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compete with other companies to recruit, hire, train and retain sales and marketing personnel. We cannot be sure that we will be able to hire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inhibit our efforts to establish our sales and marketing capabilities include:</w:t>
      </w:r>
    </w:p>
    <w:p>
      <w:pPr>
        <w:spacing w:after="0" w:line="83" w:lineRule="exact"/>
        <w:rPr>
          <w:sz w:val="20"/>
          <w:szCs w:val="20"/>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train and retain adequate numbers of effective sales and marketing personnel;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in order to educate physicians about Ohtuvayre or our product candidates, once approved;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fixed costs as compared to companies who market products using independent third parties, such as costs associated with employee benefits, training, and managing sales personnel;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Beyond Ohtuvayre, we may leverage the sales and marketing capabilities that we establish for Ohtuvayre to commercialize additional product candidates or market Ohtuvayre for other indications, if approved by the FDA, in the United States. If we are unable to do so for any reason, we would need to expend additional resources to establish commercialization capabilities for those product candidates or Ohtuvayre for other indications, if approved.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pacing w:after="0" w:line="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relied upon and plan to continue to rely upon third parties, including independent clinical investigators and CROs, to conduct our pre-clinical studies and clinical trials and to monitor and manage data for our ongoing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14"/>
          <w:szCs w:val="14"/>
          <w:color w:val="auto"/>
        </w:rPr>
        <w:t>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and commercialization of the Nuance Licensed Products in Greater China, which could have a material adverse effect on our business.</w:t>
      </w:r>
    </w:p>
    <w:p>
      <w:pPr>
        <w:spacing w:after="0" w:line="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 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other countries.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enter into new strategic relationships for ensifentrine, our business, research and development and commercialization prospects could be adversely affected.</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5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64"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control the amount and timing of resources that the collaborator devotes to the development of the product candidate;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collaborator may experience financial difficulties;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relinquish important rights such as marketing, distribution and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could move forward with a competing product developed either independently or in collaboration with third parties, including our competitors;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and/or efficacy data from a collaborator’s clinical development activities may conflict with our data and could potentially impact our global clinical development and commercialization activities;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may unlawfully use or disclose confidential information and materials in breach of confidentiality obligations to us;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combinations or significant changes in a collaborator’s business strategy may adversely affect our willingness to complete our obligations under any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59" w:name="page60"/>
    <w:bookmarkEnd w:id="59"/>
    <w:p>
      <w:pPr>
        <w:ind w:left="260" w:hanging="255"/>
        <w:spacing w:after="0"/>
        <w:tabs>
          <w:tab w:leader="none" w:pos="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 collaborator could fail to adequately perform our obligations under the agreement and/or the agreement could fall into dispute; or</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patents covering our products or product candidates, or relating to the terms of our collaborations, which could be expensive, time consuming and unsuccessful.</w:t>
      </w:r>
    </w:p>
    <w:p>
      <w:pPr>
        <w:spacing w:after="0" w:line="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do not own facilities for manufacturing ensifentrine and its derived formulated products. Instead, we rely on and expect to continue to rely on third-party contract manufacturing organizations (“CMOs”), for the supply of cGMP- or GMP-grade clinical trial materials of ensifentrine and its derived formulated products, including commercial quantities of Ohtuvayre.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 commercial launch of Ohtuvayre would be delayed or there would be a shortage in supply, which would impair our ability to generate revenues from the sale of Ohtuvayre. In addition, growth in the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0" w:name="page61"/>
    <w:bookmarkEnd w:id="60"/>
    <w:p>
      <w:pPr>
        <w:jc w:val="both"/>
        <w:spacing w:after="0" w:line="271" w:lineRule="auto"/>
        <w:rPr>
          <w:sz w:val="20"/>
          <w:szCs w:val="20"/>
          <w:color w:val="auto"/>
        </w:rPr>
      </w:pPr>
      <w:r>
        <w:rPr>
          <w:rFonts w:ascii="Times New Roman" w:cs="Times New Roman" w:eastAsia="Times New Roman" w:hAnsi="Times New Roman"/>
          <w:sz w:val="14"/>
          <w:szCs w:val="14"/>
          <w:color w:val="auto"/>
        </w:rPr>
        <w:t>expenses of these supplies may impair our ability to cost-effectively manufacture ensifentrine. Additionally, CMOs are experiencing labor constraints which could impact their ability to manufacture and deliver ensifentrine.</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patents and other intellectual property rights to protect our products and product candidates, the enforcement, defense and maintenance of which may be challenging and costly.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enforce or protect these rights adequately could harm our ability to compete and impair our business.</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5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1" w:name="page62"/>
    <w:bookmarkEnd w:id="61"/>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14"/>
          <w:szCs w:val="14"/>
          <w:color w:val="auto"/>
        </w:rPr>
        <w:t>candidates. Patents and other intellectual property rights also will not protect our technology if competitors design around our protected technology without infringing our patents or other intellectual property rights.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6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3" w:name="page64"/>
    <w:bookmarkEnd w:id="63"/>
    <w:p>
      <w:pPr>
        <w:jc w:val="both"/>
        <w:spacing w:after="0" w:line="237" w:lineRule="auto"/>
        <w:rPr>
          <w:sz w:val="20"/>
          <w:szCs w:val="20"/>
          <w:color w:val="auto"/>
        </w:rPr>
      </w:pPr>
      <w:r>
        <w:rPr>
          <w:rFonts w:ascii="Times New Roman" w:cs="Times New Roman" w:eastAsia="Times New Roman" w:hAnsi="Times New Roman"/>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litigation could cause us to spend substantial resources and distract our personnel from their normal responsibilities.</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our obligations under our existing and any future intellectual property licenses, the 2024 Loan Agreement, the RIPSA or any other future loan agreements with third parties, we could lose rights that are important to our business.</w:t>
      </w:r>
    </w:p>
    <w:p>
      <w:pPr>
        <w:spacing w:after="0" w:line="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is secured by a first-priority lien on substantially all of the assets of Verona Pharma, Inc. and the Company, including intellectual property. We also entered into the RIPSA with the Purchasers. The RIPSA is secured by a second-priority lien on certain of our intellectual property. For further description of the 2024 Term Loans and RIPSA, see Note 6 - Debt to the unaudited condensed consolidated financial statements included elsewhere in this Quarterly Report on Form 10-Q.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4" w:name="page65"/>
    <w:bookmarkEnd w:id="64"/>
    <w:p>
      <w:pPr>
        <w:jc w:val="both"/>
        <w:spacing w:after="0" w:line="243" w:lineRule="auto"/>
        <w:rPr>
          <w:sz w:val="20"/>
          <w:szCs w:val="20"/>
          <w:color w:val="auto"/>
        </w:rPr>
      </w:pPr>
      <w:r>
        <w:rPr>
          <w:rFonts w:ascii="Times New Roman" w:cs="Times New Roman" w:eastAsia="Times New Roman" w:hAnsi="Times New Roman"/>
          <w:sz w:val="14"/>
          <w:szCs w:val="14"/>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obtain FDA approval of any newly proposed product names, and any failure or delay associated with such approval may adversely affect our business.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Any proprietary name we intend to use for our future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w:t>
      </w:r>
    </w:p>
    <w:p>
      <w:pPr>
        <w:spacing w:after="0" w:line="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the FDA objects to any of our proposed product names, we may be required to adopt an alternative name for our product candidates. If we adopt an alternative name, we could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have registered trademarks in some territories and made applications to register the trademarks in other territories for potential trade names for our business and products and product candidates.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2044.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65" w:name="page66"/>
    <w:bookmarkEnd w:id="65"/>
    <w:p>
      <w:pPr>
        <w:jc w:val="both"/>
        <w:spacing w:after="0" w:line="246" w:lineRule="auto"/>
        <w:rPr>
          <w:sz w:val="20"/>
          <w:szCs w:val="20"/>
          <w:color w:val="auto"/>
        </w:rPr>
      </w:pPr>
      <w:r>
        <w:rPr>
          <w:rFonts w:ascii="Times New Roman" w:cs="Times New Roman" w:eastAsia="Times New Roman" w:hAnsi="Times New Roman"/>
          <w:sz w:val="14"/>
          <w:szCs w:val="14"/>
          <w:color w:val="auto"/>
        </w:rPr>
        <w:t>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Generic drug manufacturers can also challenge the patents of a brand-name drug under the Hatch-Waxman Act. When a generic drug manufacturer files an Abbreviated New Drug Application (ANDA) with the FDA to seek approval for a generic version of a drug that is already on the market, they must make certain certifications regarding the patents listed for the reference listed drug in the Orange Book. The Orange Book lists patents that innovator drug companies assert cover their drug products or use of those products and a Paragraph IV certification is a legal challenge to the validity or enforceability of the patent(s) listed in the Orange Book. If the generic applicant makes a Paragraph IV certification, they must also notify the patent holder and the NDA (New Drug Application) holder that they have filed an ANDA with a Paragraph IV certification, providing detailed reasons why the patent is not valid or not infringed. The filing of a Paragraph IV certification can trigger a statutory stay of approval of the ANDA for 30 months while the parties engage in patent litigation, unless the litigation is resolved in favor of the generic applicant sooner or the court orders otherwise. This process can be a critical aspect of the generic drug approval pathway and may impact the timing of a generic drug’s entry into the market.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We generally file our first patent application, or priority filing, at the U.K.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6" w:name="page67"/>
    <w:bookmarkEnd w:id="66"/>
    <w:p>
      <w:pPr>
        <w:jc w:val="both"/>
        <w:spacing w:after="0" w:line="271" w:lineRule="auto"/>
        <w:rPr>
          <w:sz w:val="20"/>
          <w:szCs w:val="20"/>
          <w:color w:val="auto"/>
        </w:rPr>
      </w:pPr>
      <w:r>
        <w:rPr>
          <w:rFonts w:ascii="Times New Roman" w:cs="Times New Roman" w:eastAsia="Times New Roman" w:hAnsi="Times New Roman"/>
          <w:sz w:val="14"/>
          <w:szCs w:val="14"/>
          <w:color w:val="auto"/>
        </w:rPr>
        <w:t>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9" w:lineRule="exact"/>
        <w:rPr>
          <w:sz w:val="20"/>
          <w:szCs w:val="20"/>
          <w:color w:val="auto"/>
        </w:rPr>
      </w:pPr>
    </w:p>
    <w:p>
      <w:pPr>
        <w:ind w:left="260" w:hanging="255"/>
        <w:spacing w:after="0" w:line="271"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compounds that are the same as or similar to our products or product candidates but that are not covered by the claims of the patents that we own or have exclusively licensed;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third parties may impair our ability to develop or commercialize our products or product candidates;</w:t>
      </w:r>
    </w:p>
    <w:p>
      <w:pPr>
        <w:spacing w:after="0" w:line="72" w:lineRule="exact"/>
        <w:rPr>
          <w:rFonts w:ascii="Times New Roman" w:cs="Times New Roman" w:eastAsia="Times New Roman" w:hAnsi="Times New Roman"/>
          <w:sz w:val="14"/>
          <w:szCs w:val="14"/>
          <w:color w:val="auto"/>
        </w:rPr>
      </w:pPr>
    </w:p>
    <w:p>
      <w:pPr>
        <w:ind w:left="260" w:hanging="255"/>
        <w:spacing w:after="0" w:line="271"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39"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any future collaborators might not have been the first to file patent applications covering certain of our inventions;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patent applications will not lead to issued patents;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have exclusively licensed may not provide us with any competitive advantage, or may be held invalid or unenforceable, as a result of legal challenges by our competitors;</w:t>
      </w:r>
    </w:p>
    <w:p>
      <w:pPr>
        <w:spacing w:after="0" w:line="50"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parties performing manufacturing or testing for us using our product candidates or technologies could use the intellectual property of others without obtaining a proper license; and</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technologies that are patentable.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7" w:name="page68"/>
    <w:bookmarkEnd w:id="67"/>
    <w:p>
      <w:pPr>
        <w:jc w:val="both"/>
        <w:spacing w:after="0" w:line="271" w:lineRule="auto"/>
        <w:rPr>
          <w:sz w:val="20"/>
          <w:szCs w:val="20"/>
          <w:color w:val="auto"/>
        </w:rPr>
      </w:pPr>
      <w:r>
        <w:rPr>
          <w:rFonts w:ascii="Times New Roman" w:cs="Times New Roman" w:eastAsia="Times New Roman" w:hAnsi="Times New Roman"/>
          <w:sz w:val="14"/>
          <w:szCs w:val="14"/>
          <w:color w:val="auto"/>
        </w:rPr>
        <w:t>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Finally, a Unitary Patent and Unified Patent Court (UPC) system were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may not adequately prevent disclosure of trade secrets and protect other proprietary information.</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68" w:name="page69"/>
    <w:bookmarkEnd w:id="68"/>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the ordinary course of our business, we and our manufacturers, suppliers and third parties that we use to perform services for us or otherwise collaborate with, collect and store sensitive data, including intellectual property, clinical trial data, proprietary business information and personally identifiable information (collectively, “Confidential Information”) of our clinical trial subjects and employees, in our and third-party data centers and on our and third-party networks. The secure processing, maintenance and transmission of Confidential Information is critical to our operations. Our information technology and other internal infrastructure systems, including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0" w:right="319" w:bottom="1440" w:gutter="0" w:footer="0" w:header="0"/>
        </w:sectPr>
      </w:pPr>
    </w:p>
    <w:bookmarkStart w:id="69" w:name="page70"/>
    <w:bookmarkEnd w:id="69"/>
    <w:p>
      <w:pPr>
        <w:jc w:val="both"/>
        <w:spacing w:after="0" w:line="237" w:lineRule="auto"/>
        <w:rPr>
          <w:sz w:val="20"/>
          <w:szCs w:val="20"/>
          <w:color w:val="auto"/>
        </w:rPr>
      </w:pPr>
      <w:r>
        <w:rPr>
          <w:rFonts w:ascii="Times New Roman" w:cs="Times New Roman" w:eastAsia="Times New Roman" w:hAnsi="Times New Roman"/>
          <w:sz w:val="14"/>
          <w:szCs w:val="14"/>
          <w:color w:val="auto"/>
        </w:rPr>
        <w:t>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5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growth and ability to compete depends on our ability to retain our key personnel and recruit additional qualified personnel.</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senior vice president, regulatory affairs,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w:t>
      </w:r>
    </w:p>
    <w:p>
      <w:pPr>
        <w:spacing w:after="0" w:line="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0" w:name="page71"/>
    <w:bookmarkEnd w:id="70"/>
    <w:p>
      <w:pPr>
        <w:jc w:val="both"/>
        <w:spacing w:after="0" w:line="271" w:lineRule="auto"/>
        <w:rPr>
          <w:sz w:val="20"/>
          <w:szCs w:val="20"/>
          <w:color w:val="auto"/>
        </w:rPr>
      </w:pPr>
      <w:r>
        <w:rPr>
          <w:rFonts w:ascii="Times New Roman" w:cs="Times New Roman" w:eastAsia="Times New Roman" w:hAnsi="Times New Roman"/>
          <w:sz w:val="14"/>
          <w:szCs w:val="14"/>
          <w:color w:val="auto"/>
        </w:rPr>
        <w:t>expansion of our operations may lead to significant costs and may divert our management and business development resources. Any inability to manage growth could delay the execution of our business plans or disrupt our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ADSs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our ADSs may be subject to limitations on transfer of their ADSs.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1" w:name="page72"/>
    <w:bookmarkEnd w:id="71"/>
    <w:p>
      <w:pPr>
        <w:jc w:val="both"/>
        <w:spacing w:after="0" w:line="271" w:lineRule="auto"/>
        <w:rPr>
          <w:sz w:val="20"/>
          <w:szCs w:val="20"/>
          <w:color w:val="auto"/>
        </w:rPr>
      </w:pPr>
      <w:r>
        <w:rPr>
          <w:rFonts w:ascii="Times New Roman" w:cs="Times New Roman" w:eastAsia="Times New Roman" w:hAnsi="Times New Roman"/>
          <w:sz w:val="14"/>
          <w:szCs w:val="14"/>
          <w:color w:val="auto"/>
        </w:rPr>
        <w:t>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of U.S. civil liabilities may not be enforceable against us.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incorporated under English law. Substantially all of our assets are located outside the U.S.. The majority of our senior management and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U.S. investors may not be able to enforce against us or our senior management, board of directors or certain experts named herein who are residents of the U.K. or countries other than the U.S. any judgments obtained in U.S. courts in civil and commercial matters, including judgments under the U.S. federal securities laws.</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As we continue to transition to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2" w:name="page73"/>
    <w:bookmarkEnd w:id="72"/>
    <w:p>
      <w:pPr>
        <w:jc w:val="both"/>
        <w:spacing w:after="0" w:line="243" w:lineRule="auto"/>
        <w:rPr>
          <w:sz w:val="20"/>
          <w:szCs w:val="20"/>
          <w:color w:val="auto"/>
        </w:rPr>
      </w:pPr>
      <w:r>
        <w:rPr>
          <w:rFonts w:ascii="Times New Roman" w:cs="Times New Roman" w:eastAsia="Times New Roman" w:hAnsi="Times New Roman"/>
          <w:sz w:val="14"/>
          <w:szCs w:val="14"/>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carry out research and development activities including, but not limited to, developing ensifentrine for various indications and delivery methods, and as a result we currently benefit in the U.K. from the HM Revenue and Customs, or HMRC, small and medium sized enterprises research and development relief, or SME R&amp;D Relief, which currently provides relief against U.K. Corporation Tax.</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Broadly, SME R&amp;D Relief comprises two elements, (a) allowing qualifying SMEs to deduct a total of 186% of their qualifying expenditure from their yearly profit for U.K. Corporation Tax purposes (the deduction is given by allowing an additional 86% deduction plus the usual 100% deduction), 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w:t>
      </w:r>
    </w:p>
    <w:p>
      <w:pPr>
        <w:spacing w:after="0" w:line="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the financial statements for the years ended December 31, 2023 and December 31, 2022, we recorded SME R&amp;D Tax Credits of $2.3 million and $8.6 million, respectively. We received the credit relating to the year ended December 31, 2022 in June 2024. Based on the HMRC criteria, we expect to receive the credit relating to the year ended December 31, 2023 in the year ending December 31, 2024.</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Changes to the U.K.’s SME R&amp;D Relief regime may adversely affect our financial condition. At the 2023 Autumn Statement, the U.K. Government confirmed that it would introduce a single R&amp;D relief regime which merges the current “RDEC” and SME R&amp;D Relief scheme. The proposed credit rate under the draft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the proposed regime and current rates of U.K. corporation tax, profitable businesses subject to the main rate of U.K. corporation tax will effectively receive a credit of 15% of qualifying expenditure whilst loss-making businesses will receive a credit of 16.2%. The proposed legislation also contains restrictions on R&amp;D relief which can be claimed where a company contracts R&amp;D activity to a third party or makes payments for externally provided workers so that, broadly, a taxpayer will only be able to claim relief where the work is performed in the U.K. It is proposed that the only expenditure allowable outside the U.K. would be for activities which are necessary due to geographical, environmental or social conditions not present or replicable in the U.K. The proposed legislation also contains new rules relating to subcontracting of R&amp;D activities to a third party.</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it is proposed that for accounting periods beginning on or after 1 April 2024, the R&amp;D intensive loss-making SME scheme threshold (broadly, the proportion of qualifying R&amp;D expenditure compared to total expenditure) will be 30%. Therefore, loss-making SMEs with qualifying R&amp;D expenditure of 30% or more of its total expenditure may claim an enhanced deduction of 86% and a repayable credit of 14.5%.</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It is proposed that the new U.K. R&amp;D tax relief regime will apply to accounting periods starting on or after 1 April 2024. The legislation for the new regime is not yet finalized and therefore the impact on our financial position cannot be fully known, however the proposed changes to the scheme and/or any further changes could have a material adverse effect on our financial position, results of operations or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classified as a passive foreign investment company, certain adverse U.S. federal income tax consequences could apply to U.S. holders.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Based on the composition of our income and assets and the value of our assets in the taxable year ended December 31, 2023, we believe that we are a passive foreign investment company (“PFIC”) for U.S. federal income tax purposes for our taxable year ended December 31, 2023. However, no assurances regarding our PFIC status can be provided for any past taxable years, the taxable year ending December 31, 2024, or any future taxable years. If we are classified as a PFIC for any taxable year during which a U.S. Holder (as defined below) holds our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3" w:right="319" w:bottom="1440" w:gutter="0" w:footer="0" w:header="0"/>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14"/>
          <w:szCs w:val="14"/>
          <w:color w:val="auto"/>
        </w:rPr>
        <w:t>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own tax advisors with respect to the potential adverse U.S. tax consequences to it if we are a PFIC.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“U.S. Holder” is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United States Internal Revenue Code of 1986, as amended (the “Internal Revenue Code”)), or (ii) has a valid election in effect to be treated as a United States person.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U.S. Holder is treated as owning at least 10% of our ordinary shares or ADSs, such holder may be subject to adverse U.S. federal income tax consequences.</w:t>
      </w:r>
    </w:p>
    <w:p>
      <w:pPr>
        <w:spacing w:after="0" w:line="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Because our group includes one or more U.S. subsidiaries, certain of our non-U.S. subsidiaries could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such CFC, regardless of whether such CFC makes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We cannot provide any assurances that we will assist investors in determining whether we or any of our non-U.S. subsidiaries are treated as a CFC or whether such investor is treated as a United States shareholder with respect to any such CFCs. Further, we cannot provide any assurances that we will furnish to any United States shareholder information that may be necessary to comply with the reporting and tax payment obligations described in this risk factor. U.S. Holders should consult their tax advisors regarding the potential application of these rules to their investment in our ordinary shares or ADSs.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ADSs may be volatile and may fluctuate due to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4" w:name="page75"/>
    <w:bookmarkEnd w:id="74"/>
    <w:p>
      <w:pPr>
        <w:spacing w:after="0" w:line="271" w:lineRule="auto"/>
        <w:rPr>
          <w:sz w:val="20"/>
          <w:szCs w:val="20"/>
          <w:color w:val="auto"/>
        </w:rPr>
      </w:pPr>
      <w:r>
        <w:rPr>
          <w:rFonts w:ascii="Times New Roman" w:cs="Times New Roman" w:eastAsia="Times New Roman" w:hAnsi="Times New Roman"/>
          <w:sz w:val="14"/>
          <w:szCs w:val="14"/>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29"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or negative results from, or delays in, clinical trials of ensifentrine;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our competitors’ businesses;</w:t>
      </w:r>
    </w:p>
    <w:p>
      <w:pPr>
        <w:spacing w:after="0" w:line="83" w:lineRule="exact"/>
        <w:rPr>
          <w:rFonts w:ascii="Times New Roman" w:cs="Times New Roman" w:eastAsia="Times New Roman" w:hAnsi="Times New Roman"/>
          <w:sz w:val="14"/>
          <w:szCs w:val="14"/>
          <w:color w:val="auto"/>
        </w:rPr>
      </w:pPr>
    </w:p>
    <w:p>
      <w:pPr>
        <w:ind w:left="260" w:hanging="255"/>
        <w:spacing w:after="0" w:line="255" w:lineRule="auto"/>
        <w:tabs>
          <w:tab w:leader="none" w:pos="2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50"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innovations or commercial product introductions by us or competitors;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regulations;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concerning proprietary rights, including patents and litigation matters;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concern relating to the commercial value or safety of ensifentrine, including for our approved product Ohtuvayre;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or other corporate transactions;</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or comments by securities or industry analysts or commentators;</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in the pharmaceutical industry or in the economy as a whole;</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any of our key scientific or senior management personnel;</w:t>
      </w:r>
    </w:p>
    <w:p>
      <w:pPr>
        <w:spacing w:after="0" w:line="72"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ADSs by us, our senior management or board members, and significant holders of our ADSs; or</w:t>
      </w:r>
    </w:p>
    <w:p>
      <w:pPr>
        <w:spacing w:after="0" w:line="8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and factors, many of which are beyond our control.</w:t>
      </w:r>
    </w:p>
    <w:p>
      <w:pPr>
        <w:spacing w:after="0" w:line="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possibility of future sales, of a substantial number of our ADSs or ordinary shares could adversely affect the price of our ADSs.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5" w:name="page76"/>
    <w:bookmarkEnd w:id="75"/>
    <w:p>
      <w:pPr>
        <w:jc w:val="both"/>
        <w:spacing w:after="0" w:line="243" w:lineRule="auto"/>
        <w:rPr>
          <w:sz w:val="20"/>
          <w:szCs w:val="20"/>
          <w:color w:val="auto"/>
        </w:rPr>
      </w:pPr>
      <w:r>
        <w:rPr>
          <w:rFonts w:ascii="Times New Roman" w:cs="Times New Roman" w:eastAsia="Times New Roman" w:hAnsi="Times New Roman"/>
          <w:sz w:val="14"/>
          <w:szCs w:val="14"/>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As a U.S. public company, we have incurred and expect to continue to incur significant legal, accounting and other expenses that we did not incur prior to becoming a U.S. public company, including in connection with our transition to large accelerated filer as of December 31, 2023.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prepare for and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interruptions could adversely affect our operations.</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operations are potentially vulnerable to interruption by fire, severe weather conditions, power loss, telecommunications failure, terrorist activity, public health crises and pandemic diseases,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Rule 10b5-1 Trading Plans</w:t>
      </w:r>
    </w:p>
    <w:p>
      <w:pPr>
        <w:spacing w:after="0" w:line="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From time to time, our officers (as defined in Rule 16a-1(f)) and directors may enter into Rule 10b5-1 or non-Rule 10b5-1 trading plans (as each such term is defined in Item 408 of Regulation S-K). The trading plans are intended to satisfy the affirmative defense in Rule 10b5-1(c). During the three months ended June 30, 2024, no director or officer of the Company adopted, modified or terminated a Rule 10b5-1 trading plan or a non-Rule 10b5-1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12"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4"/>
          <w:szCs w:val="14"/>
          <w:color w:val="auto"/>
        </w:rPr>
        <w:t>Incorporated by Reference to Filings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14605</wp:posOffset>
            </wp:positionV>
            <wp:extent cx="30454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45460" cy="698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Exhibit Number</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Form</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File No.</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Exhibit No.</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234"/>
        </w:trPr>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8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Articles of Association, as amended and as currently in effect</w:t>
              </w:r>
            </w:hyperlink>
          </w:p>
        </w:tc>
        <w:tc>
          <w:tcPr>
            <w:tcW w:w="1320" w:type="dxa"/>
            <w:vAlign w:val="bottom"/>
            <w:gridSpan w:val="9"/>
          </w:tcPr>
          <w:p>
            <w:pPr>
              <w:spacing w:after="0"/>
              <w:rPr>
                <w:sz w:val="20"/>
                <w:szCs w:val="20"/>
                <w:color w:val="auto"/>
              </w:rPr>
            </w:pP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6-K</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12/30/2020</w:t>
            </w:r>
          </w:p>
        </w:tc>
        <w:tc>
          <w:tcPr>
            <w:tcW w:w="0" w:type="dxa"/>
            <w:vAlign w:val="bottom"/>
          </w:tcPr>
          <w:p>
            <w:pPr>
              <w:spacing w:after="0"/>
              <w:rPr>
                <w:sz w:val="1"/>
                <w:szCs w:val="1"/>
                <w:color w:val="auto"/>
              </w:rPr>
            </w:pPr>
          </w:p>
        </w:tc>
      </w:tr>
      <w:tr>
        <w:trPr>
          <w:trHeight w:val="330"/>
        </w:trPr>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Revenue Interest Purchase and Sale Agreement, dated as of May 9, 2024,</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p>
        </w:tc>
        <w:tc>
          <w:tcPr>
            <w:tcW w:w="3860" w:type="dxa"/>
            <w:vAlign w:val="bottom"/>
            <w:tcBorders>
              <w:top w:val="single" w:sz="8" w:color="0000FF"/>
              <w:bottom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between Verona Pharma, Inc., Verona Pharma plc and Oaktree Fund</w:t>
            </w:r>
          </w:p>
        </w:tc>
        <w:tc>
          <w:tcPr>
            <w:tcW w:w="3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00" w:type="dxa"/>
            <w:vAlign w:val="bottom"/>
            <w:gridSpan w:val="4"/>
            <w:vMerge w:val="continue"/>
          </w:tcPr>
          <w:p>
            <w:pPr>
              <w:spacing w:after="0"/>
              <w:rPr>
                <w:sz w:val="4"/>
                <w:szCs w:val="4"/>
                <w:color w:val="auto"/>
              </w:rPr>
            </w:pPr>
          </w:p>
        </w:tc>
        <w:tc>
          <w:tcPr>
            <w:tcW w:w="4800" w:type="dxa"/>
            <w:vAlign w:val="bottom"/>
            <w:gridSpan w:val="13"/>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Administration, LLC, as the administrative agent and the other purchasers party</w:t>
            </w:r>
          </w:p>
        </w:tc>
        <w:tc>
          <w:tcPr>
            <w:tcW w:w="9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780" w:type="dxa"/>
            <w:vAlign w:val="bottom"/>
          </w:tcPr>
          <w:p>
            <w:pPr>
              <w:spacing w:after="0"/>
              <w:rPr>
                <w:sz w:val="3"/>
                <w:szCs w:val="3"/>
                <w:color w:val="auto"/>
              </w:rPr>
            </w:pPr>
          </w:p>
        </w:tc>
        <w:tc>
          <w:tcPr>
            <w:tcW w:w="4800" w:type="dxa"/>
            <w:vAlign w:val="bottom"/>
            <w:gridSpan w:val="13"/>
            <w:vMerge w:val="continue"/>
          </w:tcPr>
          <w:p>
            <w:pPr>
              <w:spacing w:after="0"/>
              <w:rPr>
                <w:sz w:val="3"/>
                <w:szCs w:val="3"/>
                <w:color w:val="auto"/>
              </w:rPr>
            </w:pPr>
          </w:p>
        </w:tc>
        <w:tc>
          <w:tcPr>
            <w:tcW w:w="9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7"/>
              </w:rPr>
              <w:t>thereto</w:t>
            </w:r>
          </w:p>
        </w:tc>
        <w:tc>
          <w:tcPr>
            <w:tcW w:w="4120" w:type="dxa"/>
            <w:vAlign w:val="bottom"/>
            <w:tcBorders>
              <w:top w:val="single" w:sz="8" w:color="0000FF"/>
            </w:tcBorders>
            <w:gridSpan w:val="10"/>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1100" w:type="dxa"/>
            <w:vAlign w:val="bottom"/>
            <w:gridSpan w:val="4"/>
            <w:vMerge w:val="restart"/>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4800" w:type="dxa"/>
            <w:vAlign w:val="bottom"/>
            <w:gridSpan w:val="13"/>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Credit Agreement and Guaranty, dated as of May 9, 2024, by and among Verona</w:t>
              </w:r>
            </w:hyperlink>
          </w:p>
        </w:tc>
        <w:tc>
          <w:tcPr>
            <w:tcW w:w="98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001-38067</w:t>
            </w:r>
          </w:p>
        </w:tc>
        <w:tc>
          <w:tcPr>
            <w:tcW w:w="110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10.2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5/10/2024</w:t>
            </w:r>
          </w:p>
        </w:tc>
        <w:tc>
          <w:tcPr>
            <w:tcW w:w="0" w:type="dxa"/>
            <w:vAlign w:val="bottom"/>
          </w:tcPr>
          <w:p>
            <w:pPr>
              <w:spacing w:after="0"/>
              <w:rPr>
                <w:sz w:val="1"/>
                <w:szCs w:val="1"/>
                <w:color w:val="auto"/>
              </w:rPr>
            </w:pPr>
          </w:p>
        </w:tc>
      </w:tr>
      <w:tr>
        <w:trPr>
          <w:trHeight w:val="118"/>
        </w:trPr>
        <w:tc>
          <w:tcPr>
            <w:tcW w:w="1100" w:type="dxa"/>
            <w:vAlign w:val="bottom"/>
            <w:gridSpan w:val="4"/>
            <w:vMerge w:val="continue"/>
          </w:tcPr>
          <w:p>
            <w:pPr>
              <w:spacing w:after="0"/>
              <w:rPr>
                <w:sz w:val="10"/>
                <w:szCs w:val="10"/>
                <w:color w:val="auto"/>
              </w:rPr>
            </w:pPr>
          </w:p>
        </w:tc>
        <w:tc>
          <w:tcPr>
            <w:tcW w:w="45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Pharma, Inc., as borrower, Verona Pharma plc, as guarantor, Oaktree Fund</w:t>
              </w:r>
            </w:hyperlink>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80" w:type="dxa"/>
            <w:vAlign w:val="bottom"/>
          </w:tcPr>
          <w:p>
            <w:pPr>
              <w:spacing w:after="0"/>
              <w:rPr>
                <w:sz w:val="10"/>
                <w:szCs w:val="10"/>
                <w:color w:val="auto"/>
              </w:rPr>
            </w:pPr>
          </w:p>
        </w:tc>
        <w:tc>
          <w:tcPr>
            <w:tcW w:w="42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Administration, LLC, as administrative agent and the lenders party thereto</w:t>
              </w:r>
            </w:hyperlink>
          </w:p>
        </w:tc>
        <w:tc>
          <w:tcPr>
            <w:tcW w:w="20" w:type="dxa"/>
            <w:vAlign w:val="bottom"/>
            <w:tcBorders>
              <w:bottom w:val="single" w:sz="8" w:color="0000FF"/>
            </w:tcBorders>
          </w:tcPr>
          <w:p>
            <w:pPr>
              <w:spacing w:after="0"/>
              <w:rPr>
                <w:sz w:val="10"/>
                <w:szCs w:val="10"/>
                <w:color w:val="auto"/>
              </w:rPr>
            </w:pPr>
          </w:p>
        </w:tc>
        <w:tc>
          <w:tcPr>
            <w:tcW w:w="58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Executive Officer</w:t>
            </w: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Rule 13a-14(a)/15d-14(a) Certification of Chief Financial Officer</w:t>
            </w:r>
          </w:p>
        </w:tc>
        <w:tc>
          <w:tcPr>
            <w:tcW w:w="10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Section 1350 Certification of Chief Executive Officer</w:t>
            </w:r>
          </w:p>
        </w:tc>
        <w:tc>
          <w:tcPr>
            <w:tcW w:w="660" w:type="dxa"/>
            <w:vAlign w:val="bottom"/>
            <w:tcBorders>
              <w:top w:val="single" w:sz="8" w:color="0000FF"/>
            </w:tcBorders>
            <w:gridSpan w:val="2"/>
          </w:tcPr>
          <w:p>
            <w:pPr>
              <w:spacing w:after="0"/>
              <w:rPr>
                <w:sz w:val="24"/>
                <w:szCs w:val="24"/>
                <w:color w:val="auto"/>
              </w:rPr>
            </w:pPr>
          </w:p>
        </w:tc>
        <w:tc>
          <w:tcPr>
            <w:tcW w:w="110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32.</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Section 1350 Certification of Chief Financial Officer</w:t>
            </w:r>
          </w:p>
        </w:tc>
        <w:tc>
          <w:tcPr>
            <w:tcW w:w="1800" w:type="dxa"/>
            <w:vAlign w:val="bottom"/>
            <w:gridSpan w:val="11"/>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101.LAB</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101.PRE</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p>
        </w:tc>
        <w:tc>
          <w:tcPr>
            <w:tcW w:w="48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20" w:right="4620" w:hanging="1101"/>
        <w:spacing w:after="0"/>
        <w:tabs>
          <w:tab w:leader="none" w:pos="1120" w:val="left"/>
        </w:tabs>
        <w:numPr>
          <w:ilvl w:val="1"/>
          <w:numId w:val="3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Cover Page Interactive Data File (formatted as Inline XBRL and contained in Exhibit 101)</w:t>
      </w:r>
    </w:p>
    <w:p>
      <w:pPr>
        <w:spacing w:after="0" w:line="188" w:lineRule="exact"/>
        <w:rPr>
          <w:rFonts w:ascii="Times New Roman" w:cs="Times New Roman" w:eastAsia="Times New Roman" w:hAnsi="Times New Roman"/>
          <w:sz w:val="23"/>
          <w:szCs w:val="23"/>
          <w:color w:val="auto"/>
          <w:vertAlign w:val="subscript"/>
        </w:rPr>
      </w:pPr>
    </w:p>
    <w:p>
      <w:pPr>
        <w:spacing w:after="0"/>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4"/>
          <w:szCs w:val="14"/>
          <w:color w:val="auto"/>
        </w:rPr>
        <w:t>*  Filed herewith.</w:t>
      </w:r>
    </w:p>
    <w:p>
      <w:pPr>
        <w:spacing w:after="0" w:line="83" w:lineRule="exact"/>
        <w:rPr>
          <w:rFonts w:ascii="Times New Roman" w:cs="Times New Roman" w:eastAsia="Times New Roman" w:hAnsi="Times New Roman"/>
          <w:sz w:val="23"/>
          <w:szCs w:val="23"/>
          <w:color w:val="auto"/>
          <w:vertAlign w:val="subscript"/>
        </w:rPr>
      </w:pPr>
    </w:p>
    <w:p>
      <w:pPr>
        <w:ind w:left="280" w:hanging="275"/>
        <w:spacing w:after="0"/>
        <w:tabs>
          <w:tab w:leader="none" w:pos="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ind w:right="20"/>
        <w:spacing w:after="0" w:line="276" w:lineRule="auto"/>
        <w:rPr>
          <w:sz w:val="20"/>
          <w:szCs w:val="20"/>
          <w:color w:val="auto"/>
        </w:rPr>
      </w:pPr>
      <w:r>
        <w:rPr>
          <w:rFonts w:ascii="Times New Roman" w:cs="Times New Roman" w:eastAsia="Times New Roman" w:hAnsi="Times New Roman"/>
          <w:sz w:val="13"/>
          <w:szCs w:val="13"/>
          <w:color w:val="auto"/>
        </w:rPr>
        <w:t>Filed/Furnished Herewith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w:t>
      </w:r>
    </w:p>
    <w:p>
      <w:pPr>
        <w:spacing w:after="0" w:line="708" w:lineRule="exact"/>
        <w:rPr>
          <w:sz w:val="20"/>
          <w:szCs w:val="20"/>
          <w:color w:val="auto"/>
        </w:rPr>
      </w:pPr>
    </w:p>
    <w:p>
      <w:pPr>
        <w:sectPr>
          <w:pgSz w:w="11900" w:h="16838" w:orient="portrait"/>
          <w:cols w:equalWidth="0" w:num="2">
            <w:col w:w="10120" w:space="260"/>
            <w:col w:w="900"/>
          </w:cols>
          <w:pgMar w:left="300" w:top="1385" w:right="319" w:bottom="1440" w:gutter="0" w:footer="0" w:header="0"/>
          <w:type w:val="continuous"/>
        </w:sectPr>
      </w:pPr>
    </w:p>
    <w:p>
      <w:pPr>
        <w:ind w:firstLine="5"/>
        <w:spacing w:after="0" w:line="255" w:lineRule="auto"/>
        <w:tabs>
          <w:tab w:leader="none" w:pos="28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type w:val="continuous"/>
        </w:sectPr>
      </w:pPr>
    </w:p>
    <w:bookmarkStart w:id="78" w:name="page79"/>
    <w:bookmarkEnd w:id="78"/>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8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VERONA PHARMA PLC</w:t>
            </w: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August 8, 2024</w:t>
            </w:r>
          </w:p>
        </w:tc>
        <w:tc>
          <w:tcPr>
            <w:tcW w:w="48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David Zaccardelli</w:t>
            </w:r>
          </w:p>
        </w:tc>
        <w:tc>
          <w:tcPr>
            <w:tcW w:w="0" w:type="dxa"/>
            <w:vAlign w:val="bottom"/>
          </w:tcPr>
          <w:p>
            <w:pPr>
              <w:spacing w:after="0"/>
              <w:rPr>
                <w:sz w:val="1"/>
                <w:szCs w:val="1"/>
                <w:color w:val="auto"/>
              </w:rPr>
            </w:pPr>
          </w:p>
        </w:tc>
      </w:tr>
      <w:tr>
        <w:trPr>
          <w:trHeight w:val="85"/>
        </w:trPr>
        <w:tc>
          <w:tcPr>
            <w:tcW w:w="3360" w:type="dxa"/>
            <w:vAlign w:val="bottom"/>
            <w:vMerge w:val="continue"/>
          </w:tcPr>
          <w:p>
            <w:pPr>
              <w:spacing w:after="0"/>
              <w:rPr>
                <w:sz w:val="7"/>
                <w:szCs w:val="7"/>
                <w:color w:val="auto"/>
              </w:rPr>
            </w:pPr>
          </w:p>
        </w:tc>
        <w:tc>
          <w:tcPr>
            <w:tcW w:w="48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Zaccardelli, Pharm. D.</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71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August 8, 2024</w:t>
            </w:r>
          </w:p>
        </w:tc>
        <w:tc>
          <w:tcPr>
            <w:tcW w:w="48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Mark W. Hahn</w:t>
            </w:r>
          </w:p>
        </w:tc>
        <w:tc>
          <w:tcPr>
            <w:tcW w:w="0" w:type="dxa"/>
            <w:vAlign w:val="bottom"/>
          </w:tcPr>
          <w:p>
            <w:pPr>
              <w:spacing w:after="0"/>
              <w:rPr>
                <w:sz w:val="1"/>
                <w:szCs w:val="1"/>
                <w:color w:val="auto"/>
              </w:rPr>
            </w:pPr>
          </w:p>
        </w:tc>
      </w:tr>
      <w:tr>
        <w:trPr>
          <w:trHeight w:val="85"/>
        </w:trPr>
        <w:tc>
          <w:tcPr>
            <w:tcW w:w="3360" w:type="dxa"/>
            <w:vAlign w:val="bottom"/>
            <w:vMerge w:val="continue"/>
          </w:tcPr>
          <w:p>
            <w:pPr>
              <w:spacing w:after="0"/>
              <w:rPr>
                <w:sz w:val="7"/>
                <w:szCs w:val="7"/>
                <w:color w:val="auto"/>
              </w:rPr>
            </w:pPr>
          </w:p>
        </w:tc>
        <w:tc>
          <w:tcPr>
            <w:tcW w:w="48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3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W. Hahn</w:t>
            </w:r>
          </w:p>
        </w:tc>
        <w:tc>
          <w:tcPr>
            <w:tcW w:w="0" w:type="dxa"/>
            <w:vAlign w:val="bottom"/>
          </w:tcPr>
          <w:p>
            <w:pPr>
              <w:spacing w:after="0"/>
              <w:rPr>
                <w:sz w:val="1"/>
                <w:szCs w:val="1"/>
                <w:color w:val="auto"/>
              </w:rPr>
            </w:pPr>
          </w:p>
        </w:tc>
      </w:tr>
      <w:tr>
        <w:trPr>
          <w:trHeight w:val="286"/>
        </w:trPr>
        <w:tc>
          <w:tcPr>
            <w:tcW w:w="33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1280"/>
          </w:cols>
          <w:pgMar w:left="300" w:top="1440" w:right="319" w:bottom="1440"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David Zaccardelli, Pharm.D., certify that:</w:t>
      </w:r>
    </w:p>
    <w:p>
      <w:pPr>
        <w:spacing w:after="0" w:line="179" w:lineRule="exact"/>
        <w:rPr>
          <w:sz w:val="20"/>
          <w:szCs w:val="20"/>
          <w:color w:val="auto"/>
        </w:rPr>
      </w:pPr>
    </w:p>
    <w:p>
      <w:pPr>
        <w:ind w:left="140" w:hanging="135"/>
        <w:spacing w:after="0"/>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260" w:right="260" w:hanging="255"/>
        <w:spacing w:after="0" w:line="287" w:lineRule="auto"/>
        <w:tabs>
          <w:tab w:leader="none" w:pos="14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14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14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80" w:right="140" w:hanging="248"/>
        <w:spacing w:after="0" w:line="287" w:lineRule="auto"/>
        <w:tabs>
          <w:tab w:leader="none" w:pos="267"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August 08,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141"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Mark W. Hahn, certify that:</w:t>
      </w:r>
    </w:p>
    <w:p>
      <w:pPr>
        <w:spacing w:after="0" w:line="179" w:lineRule="exact"/>
        <w:rPr>
          <w:sz w:val="20"/>
          <w:szCs w:val="20"/>
          <w:color w:val="auto"/>
        </w:rPr>
      </w:pPr>
    </w:p>
    <w:p>
      <w:pPr>
        <w:ind w:left="400" w:hanging="140"/>
        <w:spacing w:after="0"/>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Verona Pharma plc;</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40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40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40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40" w:hanging="348"/>
        <w:spacing w:after="0" w:line="287" w:lineRule="auto"/>
        <w:tabs>
          <w:tab w:leader="none" w:pos="65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40" w:hanging="348"/>
        <w:spacing w:after="0" w:line="287" w:lineRule="auto"/>
        <w:tabs>
          <w:tab w:leader="none" w:pos="6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40" w:hanging="348"/>
        <w:spacing w:after="0" w:line="287" w:lineRule="auto"/>
        <w:tabs>
          <w:tab w:leader="none" w:pos="652"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40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40" w:hanging="348"/>
        <w:spacing w:after="0" w:line="287" w:lineRule="auto"/>
        <w:tabs>
          <w:tab w:leader="none" w:pos="644"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August 08,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332"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June 30, 2024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4180" w:val="left"/>
          <w:tab w:leader="none" w:pos="7180" w:val="left"/>
        </w:tabs>
        <w:rPr>
          <w:sz w:val="20"/>
          <w:szCs w:val="20"/>
          <w:color w:val="auto"/>
        </w:rPr>
      </w:pPr>
      <w:r>
        <w:rPr>
          <w:rFonts w:ascii="Times New Roman" w:cs="Times New Roman" w:eastAsia="Times New Roman" w:hAnsi="Times New Roman"/>
          <w:sz w:val="14"/>
          <w:szCs w:val="14"/>
          <w:color w:val="auto"/>
        </w:rPr>
        <w:t>Date: August 08,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34925</wp:posOffset>
            </wp:positionV>
            <wp:extent cx="39344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934460" cy="6985"/>
                    </a:xfrm>
                    <a:prstGeom prst="rect">
                      <a:avLst/>
                    </a:prstGeom>
                    <a:noFill/>
                  </pic:spPr>
                </pic:pic>
              </a:graphicData>
            </a:graphic>
          </wp:anchor>
        </w:drawing>
      </w:r>
    </w:p>
    <w:p>
      <w:pPr>
        <w:spacing w:after="0" w:line="5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David Zaccardelli, Pharm.D.</w:t>
      </w:r>
    </w:p>
    <w:p>
      <w:pPr>
        <w:spacing w:after="0" w:line="6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41"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40"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Quarterly Report on Form 10-Q of Verona Pharma plc (the “Company”) for the period ended June 30, 2024 as filed with the Securities and Exchange Commission on the date hereof (the “Report”), I certify, pursuant to 18 U.S.C. § 1350, as adopted pursuant to § 906 of the Sarbanes-Oxley Act of 2002, that, to the best of my knowledge:</w:t>
      </w:r>
    </w:p>
    <w:p>
      <w:pPr>
        <w:spacing w:after="0" w:line="124" w:lineRule="exact"/>
        <w:rPr>
          <w:sz w:val="20"/>
          <w:szCs w:val="20"/>
          <w:color w:val="auto"/>
        </w:rPr>
      </w:pPr>
    </w:p>
    <w:p>
      <w:pPr>
        <w:ind w:left="660" w:hanging="308"/>
        <w:spacing w:after="0"/>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p>
      <w:pPr>
        <w:ind w:left="20"/>
        <w:spacing w:after="0"/>
        <w:tabs>
          <w:tab w:leader="none" w:pos="3140" w:val="left"/>
          <w:tab w:leader="none" w:pos="6960" w:val="left"/>
        </w:tabs>
        <w:rPr>
          <w:sz w:val="20"/>
          <w:szCs w:val="20"/>
          <w:color w:val="auto"/>
        </w:rPr>
      </w:pPr>
      <w:r>
        <w:rPr>
          <w:rFonts w:ascii="Times New Roman" w:cs="Times New Roman" w:eastAsia="Times New Roman" w:hAnsi="Times New Roman"/>
          <w:sz w:val="14"/>
          <w:szCs w:val="14"/>
          <w:color w:val="auto"/>
        </w:rPr>
        <w:t>Date: August 08,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2374900</wp:posOffset>
            </wp:positionH>
            <wp:positionV relativeFrom="paragraph">
              <wp:posOffset>34925</wp:posOffset>
            </wp:positionV>
            <wp:extent cx="474281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4742815" cy="6985"/>
                    </a:xfrm>
                    <a:prstGeom prst="rect">
                      <a:avLst/>
                    </a:prstGeom>
                    <a:noFill/>
                  </pic:spPr>
                </pic:pic>
              </a:graphicData>
            </a:graphic>
          </wp:anchor>
        </w:drawing>
      </w:r>
    </w:p>
    <w:p>
      <w:pPr>
        <w:spacing w:after="0" w:line="52"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Mark W. Hahn</w:t>
      </w:r>
    </w:p>
    <w:p>
      <w:pPr>
        <w:spacing w:after="0" w:line="60"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color w:val="auto"/>
        </w:rPr>
        <w:t>Chief Financial Officer (</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amp;"/>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lvl w:ilvl="1">
      <w:lvlJc w:val="left"/>
      <w:lvlText w:val="%2"/>
      <w:numFmt w:val="decimal"/>
      <w:start w:val="104"/>
    </w:lvl>
  </w:abstractNum>
  <w:abstractNum w:abstractNumId="39">
    <w:nsid w:val="6A2342EC"/>
    <w:multiLevelType w:val="hybridMultilevel"/>
    <w:lvl w:ilvl="0">
      <w:lvlJc w:val="left"/>
      <w:lvlText w:val="**"/>
      <w:numFmt w:val="bullet"/>
      <w:start w:val="1"/>
    </w:lvl>
    <w:lvl w:ilvl="1">
      <w:lvlJc w:val="left"/>
      <w:lvlText w:val="%2"/>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88" Type="http://schemas.openxmlformats.org/officeDocument/2006/relationships/hyperlink" Target="https://www.sec.gov/Archives/edgar/data/1657312/000110465920140541/tm2039594d1_ex1.htm" TargetMode="External"/><Relationship Id="rId89" Type="http://schemas.openxmlformats.org/officeDocument/2006/relationships/hyperlink" Target="https://www.sec.gov/ix?doc=/Archives/edgar/data/1657312/000165731224000014/vrna-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2024-08-08T08:01:37Z</dcterms:created>
  <dcterms:modified xsi:type="dcterms:W3CDTF">2024-08-08T08:01:37Z</dcterms:modified>
</cp:coreProperties>
</file>