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ZACCARDELLI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09/11/2024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0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9"/>
                <w:szCs w:val="19"/>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09/11/2024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600,000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2020" w:type="dxa"/>
            <w:vAlign w:val="bottom"/>
            <w:tcBorders>
              <w:bottom w:val="single" w:sz="8" w:color="2C2C2C"/>
            </w:tcBorders>
            <w:gridSpan w:val="5"/>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3.7572</w:t>
            </w:r>
            <w:r>
              <w:rPr>
                <w:rFonts w:ascii="Times New Roman" w:cs="Times New Roman" w:eastAsia="Times New Roman" w:hAnsi="Times New Roman"/>
                <w:sz w:val="22"/>
                <w:szCs w:val="22"/>
                <w:color w:val="008000"/>
                <w:vertAlign w:val="superscript"/>
              </w:rPr>
              <w:t>(3)</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15,250,704</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adopted on March 8, 2024.</w:t>
      </w:r>
    </w:p>
    <w:p>
      <w:pPr>
        <w:spacing w:after="0" w:line="50"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$3.75 to $3.7888 per Ordinary Share, inclusive (or $30.00 to $30.31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2,825,000 Ordinary Shares underlying Restricted Share Units, each of which represents a contingent right to receive one (1) Ordinary Share of the Issuer (which are represented by 353,125 ADSs); and (ii) 12,425,704 Ordinary Shares underlying 1,553,213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09/13/2024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David Zaccardelli</w:t>
            </w:r>
          </w:p>
        </w:tc>
        <w:tc>
          <w:tcPr>
            <w:tcW w:w="80" w:type="dxa"/>
            <w:vAlign w:val="bottom"/>
            <w:vMerge w:val="restart"/>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4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64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2024-09-13T15:35:32Z</dcterms:created>
  <dcterms:modified xsi:type="dcterms:W3CDTF">2024-09-13T15:35:32Z</dcterms:modified>
</cp:coreProperties>
</file>