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ZACCARDELLI DAVID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SE1 2RE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454,856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1.6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18,408,704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32,904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1.6726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(5)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 xml:space="preserve">   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18,375,800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(6)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number of Ordinary Shares withheld to satisfy the tax withholding obligation in connection with the vesting of certain previously reported Restricted Share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represents the closing price of the Issuer's ADSs on the Nasdaq Stock Market LLC on October 31, 2022 divided by eight (8).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sales reported in the Form 4 were effected pursuant to a Rule 10b5-1 instruction solely with the intent to cover taxes in connection with the vesting of certain previously reported Restricted Share Units.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represents the sale price of the ADSs divided by eight (8).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(i) 9,463,200 Ordinary Shares underlying RSUs (which are represented by 1,182,900 ADSs); and (ii) 8,912,600 Ordinary Shares underlying 1,114,075 ADSs.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Claire Poll,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David Zaccardelli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7642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2022-11-03T15:32:13Z</dcterms:created>
  <dcterms:modified xsi:type="dcterms:W3CDTF">2022-11-03T15:32:13Z</dcterms:modified>
</cp:coreProperties>
</file>