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1271905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1203325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190500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February 27,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Verona Pharma plc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5"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080" w:type="dxa"/>
            <w:vAlign w:val="bottom"/>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w w:val="99"/>
              </w:rPr>
              <w:t>United Kingdom</w:t>
            </w:r>
          </w:p>
        </w:tc>
        <w:tc>
          <w:tcPr>
            <w:tcW w:w="5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001-38067</w:t>
            </w:r>
          </w:p>
        </w:tc>
        <w:tc>
          <w:tcPr>
            <w:tcW w:w="2860" w:type="dxa"/>
            <w:vAlign w:val="bottom"/>
          </w:tcPr>
          <w:p>
            <w:pPr>
              <w:jc w:val="center"/>
              <w:ind w:right="630"/>
              <w:spacing w:after="0"/>
              <w:rPr>
                <w:sz w:val="20"/>
                <w:szCs w:val="20"/>
                <w:color w:val="auto"/>
              </w:rPr>
            </w:pPr>
            <w:r>
              <w:rPr>
                <w:rFonts w:ascii="Times New Roman" w:cs="Times New Roman" w:eastAsia="Times New Roman" w:hAnsi="Times New Roman"/>
                <w:sz w:val="18"/>
                <w:szCs w:val="18"/>
                <w:b w:val="1"/>
                <w:bCs w:val="1"/>
                <w:color w:val="auto"/>
                <w:w w:val="98"/>
              </w:rPr>
              <w:t>98-1489389</w:t>
            </w:r>
          </w:p>
        </w:tc>
      </w:tr>
      <w:tr>
        <w:trPr>
          <w:trHeight w:val="248"/>
        </w:trPr>
        <w:tc>
          <w:tcPr>
            <w:tcW w:w="3080" w:type="dxa"/>
            <w:vAlign w:val="bottom"/>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w w:val="99"/>
              </w:rPr>
              <w:t>(State or other jurisdiction</w:t>
            </w:r>
          </w:p>
        </w:tc>
        <w:tc>
          <w:tcPr>
            <w:tcW w:w="5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(Commission</w:t>
            </w:r>
          </w:p>
        </w:tc>
        <w:tc>
          <w:tcPr>
            <w:tcW w:w="2860" w:type="dxa"/>
            <w:vAlign w:val="bottom"/>
          </w:tcPr>
          <w:p>
            <w:pPr>
              <w:jc w:val="center"/>
              <w:ind w:right="630"/>
              <w:spacing w:after="0"/>
              <w:rPr>
                <w:sz w:val="20"/>
                <w:szCs w:val="20"/>
                <w:color w:val="auto"/>
              </w:rPr>
            </w:pPr>
            <w:r>
              <w:rPr>
                <w:rFonts w:ascii="Times New Roman" w:cs="Times New Roman" w:eastAsia="Times New Roman" w:hAnsi="Times New Roman"/>
                <w:sz w:val="18"/>
                <w:szCs w:val="18"/>
                <w:b w:val="1"/>
                <w:bCs w:val="1"/>
                <w:color w:val="auto"/>
              </w:rPr>
              <w:t>(IRS Employer</w:t>
            </w:r>
          </w:p>
        </w:tc>
      </w:tr>
      <w:tr>
        <w:trPr>
          <w:trHeight w:val="238"/>
        </w:trPr>
        <w:tc>
          <w:tcPr>
            <w:tcW w:w="3080" w:type="dxa"/>
            <w:vAlign w:val="bottom"/>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rPr>
              <w:t>of incorporation)</w:t>
            </w:r>
          </w:p>
        </w:tc>
        <w:tc>
          <w:tcPr>
            <w:tcW w:w="5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2860" w:type="dxa"/>
            <w:vAlign w:val="bottom"/>
          </w:tcPr>
          <w:p>
            <w:pPr>
              <w:jc w:val="center"/>
              <w:ind w:right="630"/>
              <w:spacing w:after="0"/>
              <w:rPr>
                <w:sz w:val="20"/>
                <w:szCs w:val="20"/>
                <w:color w:val="auto"/>
              </w:rPr>
            </w:pPr>
            <w:r>
              <w:rPr>
                <w:rFonts w:ascii="Times New Roman" w:cs="Times New Roman" w:eastAsia="Times New Roman" w:hAnsi="Times New Roman"/>
                <w:sz w:val="18"/>
                <w:szCs w:val="18"/>
                <w:b w:val="1"/>
                <w:bCs w:val="1"/>
                <w:color w:val="auto"/>
              </w:rPr>
              <w:t>Identification No.)</w:t>
            </w:r>
          </w:p>
        </w:tc>
      </w:tr>
      <w:tr>
        <w:trPr>
          <w:trHeight w:val="639"/>
        </w:trPr>
        <w:tc>
          <w:tcPr>
            <w:tcW w:w="3080" w:type="dxa"/>
            <w:vAlign w:val="bottom"/>
          </w:tcPr>
          <w:p>
            <w:pPr>
              <w:spacing w:after="0"/>
              <w:rPr>
                <w:sz w:val="24"/>
                <w:szCs w:val="24"/>
                <w:color w:val="auto"/>
              </w:rPr>
            </w:pPr>
          </w:p>
        </w:tc>
        <w:tc>
          <w:tcPr>
            <w:tcW w:w="530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3 More London Riverside</w:t>
            </w:r>
          </w:p>
        </w:tc>
        <w:tc>
          <w:tcPr>
            <w:tcW w:w="2860" w:type="dxa"/>
            <w:vAlign w:val="bottom"/>
          </w:tcPr>
          <w:p>
            <w:pPr>
              <w:spacing w:after="0"/>
              <w:rPr>
                <w:sz w:val="24"/>
                <w:szCs w:val="24"/>
                <w:color w:val="auto"/>
              </w:rPr>
            </w:pPr>
          </w:p>
        </w:tc>
      </w:tr>
      <w:tr>
        <w:trPr>
          <w:trHeight w:val="216"/>
        </w:trPr>
        <w:tc>
          <w:tcPr>
            <w:tcW w:w="3080" w:type="dxa"/>
            <w:vAlign w:val="bottom"/>
          </w:tcPr>
          <w:p>
            <w:pPr>
              <w:spacing w:after="0"/>
              <w:rPr>
                <w:sz w:val="18"/>
                <w:szCs w:val="18"/>
                <w:color w:val="auto"/>
              </w:rPr>
            </w:pPr>
          </w:p>
        </w:tc>
        <w:tc>
          <w:tcPr>
            <w:tcW w:w="530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London SE1 2RE</w:t>
            </w:r>
          </w:p>
        </w:tc>
        <w:tc>
          <w:tcPr>
            <w:tcW w:w="2860" w:type="dxa"/>
            <w:vAlign w:val="bottom"/>
          </w:tcPr>
          <w:p>
            <w:pPr>
              <w:spacing w:after="0"/>
              <w:rPr>
                <w:sz w:val="18"/>
                <w:szCs w:val="18"/>
                <w:color w:val="auto"/>
              </w:rPr>
            </w:pPr>
          </w:p>
        </w:tc>
      </w:tr>
      <w:tr>
        <w:trPr>
          <w:trHeight w:val="216"/>
        </w:trPr>
        <w:tc>
          <w:tcPr>
            <w:tcW w:w="3080" w:type="dxa"/>
            <w:vAlign w:val="bottom"/>
          </w:tcPr>
          <w:p>
            <w:pPr>
              <w:spacing w:after="0"/>
              <w:rPr>
                <w:sz w:val="18"/>
                <w:szCs w:val="18"/>
                <w:color w:val="auto"/>
              </w:rPr>
            </w:pPr>
          </w:p>
        </w:tc>
        <w:tc>
          <w:tcPr>
            <w:tcW w:w="530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United Kingdom</w:t>
            </w:r>
          </w:p>
        </w:tc>
        <w:tc>
          <w:tcPr>
            <w:tcW w:w="2860" w:type="dxa"/>
            <w:vAlign w:val="bottom"/>
          </w:tcPr>
          <w:p>
            <w:pPr>
              <w:spacing w:after="0"/>
              <w:rPr>
                <w:sz w:val="18"/>
                <w:szCs w:val="18"/>
                <w:color w:val="auto"/>
              </w:rPr>
            </w:pPr>
          </w:p>
        </w:tc>
      </w:tr>
      <w:tr>
        <w:trPr>
          <w:trHeight w:val="238"/>
        </w:trPr>
        <w:tc>
          <w:tcPr>
            <w:tcW w:w="3080" w:type="dxa"/>
            <w:vAlign w:val="bottom"/>
          </w:tcPr>
          <w:p>
            <w:pPr>
              <w:spacing w:after="0"/>
              <w:rPr>
                <w:sz w:val="20"/>
                <w:szCs w:val="20"/>
                <w:color w:val="auto"/>
              </w:rPr>
            </w:pPr>
          </w:p>
        </w:tc>
        <w:tc>
          <w:tcPr>
            <w:tcW w:w="530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 (Zip Code)</w:t>
            </w:r>
          </w:p>
        </w:tc>
        <w:tc>
          <w:tcPr>
            <w:tcW w:w="2860" w:type="dxa"/>
            <w:vAlign w:val="bottom"/>
          </w:tcPr>
          <w:p>
            <w:pPr>
              <w:spacing w:after="0"/>
              <w:rPr>
                <w:sz w:val="20"/>
                <w:szCs w:val="20"/>
                <w:color w:val="auto"/>
              </w:rPr>
            </w:pPr>
          </w:p>
        </w:tc>
      </w:tr>
      <w:tr>
        <w:trPr>
          <w:trHeight w:val="410"/>
        </w:trPr>
        <w:tc>
          <w:tcPr>
            <w:tcW w:w="3080" w:type="dxa"/>
            <w:vAlign w:val="bottom"/>
          </w:tcPr>
          <w:p>
            <w:pPr>
              <w:spacing w:after="0"/>
              <w:rPr>
                <w:sz w:val="24"/>
                <w:szCs w:val="24"/>
                <w:color w:val="auto"/>
              </w:rPr>
            </w:pPr>
          </w:p>
        </w:tc>
        <w:tc>
          <w:tcPr>
            <w:tcW w:w="530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+44 203 283 4200</w:t>
            </w:r>
          </w:p>
        </w:tc>
        <w:tc>
          <w:tcPr>
            <w:tcW w:w="2860" w:type="dxa"/>
            <w:vAlign w:val="bottom"/>
          </w:tcPr>
          <w:p>
            <w:pPr>
              <w:spacing w:after="0"/>
              <w:rPr>
                <w:sz w:val="24"/>
                <w:szCs w:val="24"/>
                <w:color w:val="auto"/>
              </w:rPr>
            </w:pPr>
          </w:p>
        </w:tc>
      </w:tr>
      <w:tr>
        <w:trPr>
          <w:trHeight w:val="238"/>
        </w:trPr>
        <w:tc>
          <w:tcPr>
            <w:tcW w:w="3080" w:type="dxa"/>
            <w:vAlign w:val="bottom"/>
          </w:tcPr>
          <w:p>
            <w:pPr>
              <w:spacing w:after="0"/>
              <w:rPr>
                <w:sz w:val="20"/>
                <w:szCs w:val="20"/>
                <w:color w:val="auto"/>
              </w:rPr>
            </w:pPr>
          </w:p>
        </w:tc>
        <w:tc>
          <w:tcPr>
            <w:tcW w:w="530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w:t>
            </w:r>
          </w:p>
        </w:tc>
        <w:tc>
          <w:tcPr>
            <w:tcW w:w="2860" w:type="dxa"/>
            <w:vAlign w:val="bottom"/>
          </w:tcPr>
          <w:p>
            <w:pPr>
              <w:spacing w:after="0"/>
              <w:rPr>
                <w:sz w:val="20"/>
                <w:szCs w:val="20"/>
                <w:color w:val="auto"/>
              </w:rPr>
            </w:pPr>
          </w:p>
        </w:tc>
      </w:tr>
      <w:tr>
        <w:trPr>
          <w:trHeight w:val="410"/>
        </w:trPr>
        <w:tc>
          <w:tcPr>
            <w:tcW w:w="3080" w:type="dxa"/>
            <w:vAlign w:val="bottom"/>
          </w:tcPr>
          <w:p>
            <w:pPr>
              <w:spacing w:after="0"/>
              <w:rPr>
                <w:sz w:val="24"/>
                <w:szCs w:val="24"/>
                <w:color w:val="auto"/>
              </w:rPr>
            </w:pPr>
          </w:p>
        </w:tc>
        <w:tc>
          <w:tcPr>
            <w:tcW w:w="530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N/A</w:t>
            </w:r>
          </w:p>
        </w:tc>
        <w:tc>
          <w:tcPr>
            <w:tcW w:w="2860" w:type="dxa"/>
            <w:vAlign w:val="bottom"/>
          </w:tcPr>
          <w:p>
            <w:pPr>
              <w:spacing w:after="0"/>
              <w:rPr>
                <w:sz w:val="24"/>
                <w:szCs w:val="24"/>
                <w:color w:val="auto"/>
              </w:rPr>
            </w:pPr>
          </w:p>
        </w:tc>
      </w:tr>
      <w:tr>
        <w:trPr>
          <w:trHeight w:val="238"/>
        </w:trPr>
        <w:tc>
          <w:tcPr>
            <w:tcW w:w="3080" w:type="dxa"/>
            <w:vAlign w:val="bottom"/>
          </w:tcPr>
          <w:p>
            <w:pPr>
              <w:spacing w:after="0"/>
              <w:rPr>
                <w:sz w:val="20"/>
                <w:szCs w:val="20"/>
                <w:color w:val="auto"/>
              </w:rPr>
            </w:pPr>
          </w:p>
        </w:tc>
        <w:tc>
          <w:tcPr>
            <w:tcW w:w="530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(Former name or former address, if changed since last report)</w:t>
            </w:r>
          </w:p>
        </w:tc>
        <w:tc>
          <w:tcPr>
            <w:tcW w:w="2860" w:type="dxa"/>
            <w:vAlign w:val="bottom"/>
          </w:tcPr>
          <w:p>
            <w:pPr>
              <w:spacing w:after="0"/>
              <w:rPr>
                <w:sz w:val="20"/>
                <w:szCs w:val="20"/>
                <w:color w:val="auto"/>
              </w:rPr>
            </w:pPr>
          </w:p>
        </w:tc>
      </w:tr>
      <w:tr>
        <w:trPr>
          <w:trHeight w:val="243"/>
        </w:trPr>
        <w:tc>
          <w:tcPr>
            <w:tcW w:w="3080" w:type="dxa"/>
            <w:vAlign w:val="bottom"/>
            <w:tcBorders>
              <w:bottom w:val="single" w:sz="8" w:color="auto"/>
            </w:tcBorders>
          </w:tcPr>
          <w:p>
            <w:pPr>
              <w:spacing w:after="0"/>
              <w:rPr>
                <w:sz w:val="21"/>
                <w:szCs w:val="21"/>
                <w:color w:val="auto"/>
              </w:rPr>
            </w:pPr>
          </w:p>
        </w:tc>
        <w:tc>
          <w:tcPr>
            <w:tcW w:w="5300" w:type="dxa"/>
            <w:vAlign w:val="bottom"/>
            <w:tcBorders>
              <w:bottom w:val="single" w:sz="8" w:color="auto"/>
            </w:tcBorders>
          </w:tcPr>
          <w:p>
            <w:pPr>
              <w:spacing w:after="0"/>
              <w:rPr>
                <w:sz w:val="21"/>
                <w:szCs w:val="21"/>
                <w:color w:val="auto"/>
              </w:rPr>
            </w:pPr>
          </w:p>
        </w:tc>
        <w:tc>
          <w:tcPr>
            <w:tcW w:w="2860" w:type="dxa"/>
            <w:vAlign w:val="bottom"/>
            <w:tcBorders>
              <w:bottom w:val="single" w:sz="8" w:color="auto"/>
            </w:tcBorders>
          </w:tcPr>
          <w:p>
            <w:pPr>
              <w:spacing w:after="0"/>
              <w:rPr>
                <w:sz w:val="21"/>
                <w:szCs w:val="21"/>
                <w:color w:val="auto"/>
              </w:rPr>
            </w:pPr>
          </w:p>
        </w:tc>
      </w:tr>
    </w:tbl>
    <w:p>
      <w:pPr>
        <w:spacing w:after="0" w:line="200" w:lineRule="exact"/>
        <w:rPr>
          <w:sz w:val="24"/>
          <w:szCs w:val="24"/>
          <w:color w:val="auto"/>
        </w:rPr>
      </w:pPr>
    </w:p>
    <w:p>
      <w:pPr>
        <w:spacing w:after="0" w:line="268"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16" w:lineRule="exact"/>
        <w:rPr>
          <w:sz w:val="24"/>
          <w:szCs w:val="24"/>
          <w:color w:val="auto"/>
        </w:rPr>
      </w:pPr>
    </w:p>
    <w:p>
      <w:pPr>
        <w:ind w:left="940" w:hanging="469"/>
        <w:spacing w:after="0"/>
        <w:tabs>
          <w:tab w:leader="none" w:pos="9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00" w:lineRule="exact"/>
        <w:rPr>
          <w:rFonts w:ascii="MS PGothic" w:cs="MS PGothic" w:eastAsia="MS PGothic" w:hAnsi="MS PGothic"/>
          <w:sz w:val="18"/>
          <w:szCs w:val="18"/>
          <w:color w:val="auto"/>
        </w:rPr>
      </w:pPr>
    </w:p>
    <w:p>
      <w:pPr>
        <w:spacing w:after="0" w:line="308" w:lineRule="exact"/>
        <w:rPr>
          <w:rFonts w:ascii="MS PGothic" w:cs="MS PGothic" w:eastAsia="MS PGothic" w:hAnsi="MS PGothic"/>
          <w:sz w:val="18"/>
          <w:szCs w:val="18"/>
          <w:color w:val="auto"/>
        </w:rPr>
      </w:pPr>
    </w:p>
    <w:p>
      <w:pPr>
        <w:ind w:left="940" w:hanging="469"/>
        <w:spacing w:after="0"/>
        <w:tabs>
          <w:tab w:leader="none" w:pos="9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00" w:lineRule="exact"/>
        <w:rPr>
          <w:rFonts w:ascii="MS PGothic" w:cs="MS PGothic" w:eastAsia="MS PGothic" w:hAnsi="MS PGothic"/>
          <w:sz w:val="18"/>
          <w:szCs w:val="18"/>
          <w:color w:val="auto"/>
        </w:rPr>
      </w:pPr>
    </w:p>
    <w:p>
      <w:pPr>
        <w:spacing w:after="0" w:line="308" w:lineRule="exact"/>
        <w:rPr>
          <w:rFonts w:ascii="MS PGothic" w:cs="MS PGothic" w:eastAsia="MS PGothic" w:hAnsi="MS PGothic"/>
          <w:sz w:val="18"/>
          <w:szCs w:val="18"/>
          <w:color w:val="auto"/>
        </w:rPr>
      </w:pPr>
    </w:p>
    <w:p>
      <w:pPr>
        <w:ind w:left="940" w:hanging="469"/>
        <w:spacing w:after="0"/>
        <w:tabs>
          <w:tab w:leader="none" w:pos="9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00" w:lineRule="exact"/>
        <w:rPr>
          <w:rFonts w:ascii="MS PGothic" w:cs="MS PGothic" w:eastAsia="MS PGothic" w:hAnsi="MS PGothic"/>
          <w:sz w:val="18"/>
          <w:szCs w:val="18"/>
          <w:color w:val="auto"/>
        </w:rPr>
      </w:pPr>
    </w:p>
    <w:p>
      <w:pPr>
        <w:spacing w:after="0" w:line="295" w:lineRule="exact"/>
        <w:rPr>
          <w:rFonts w:ascii="MS PGothic" w:cs="MS PGothic" w:eastAsia="MS PGothic" w:hAnsi="MS PGothic"/>
          <w:sz w:val="18"/>
          <w:szCs w:val="18"/>
          <w:color w:val="auto"/>
        </w:rPr>
      </w:pPr>
    </w:p>
    <w:p>
      <w:pPr>
        <w:ind w:left="940" w:hanging="469"/>
        <w:spacing w:after="0"/>
        <w:tabs>
          <w:tab w:leader="none" w:pos="9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0" w:lineRule="exact"/>
        <w:rPr>
          <w:rFonts w:ascii="MS PGothic" w:cs="MS PGothic" w:eastAsia="MS PGothic" w:hAnsi="MS PGothic"/>
          <w:sz w:val="18"/>
          <w:szCs w:val="18"/>
          <w:color w:val="auto"/>
        </w:rPr>
      </w:pPr>
    </w:p>
    <w:p>
      <w:pPr>
        <w:spacing w:after="0" w:line="250" w:lineRule="exact"/>
        <w:rPr>
          <w:rFonts w:ascii="MS PGothic" w:cs="MS PGothic" w:eastAsia="MS PGothic" w:hAnsi="MS PGothic"/>
          <w:sz w:val="18"/>
          <w:szCs w:val="18"/>
          <w:color w:val="auto"/>
        </w:rPr>
      </w:pPr>
    </w:p>
    <w:p>
      <w:pPr>
        <w:ind w:left="340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Securities registered pursuant to Section 12(b) of the Act:</w:t>
      </w:r>
    </w:p>
    <w:p>
      <w:pPr>
        <w:sectPr>
          <w:pgSz w:w="11900" w:h="16838" w:orient="portrait"/>
          <w:cols w:equalWidth="0" w:num="1">
            <w:col w:w="11240"/>
          </w:cols>
          <w:pgMar w:left="320" w:top="1440" w:right="339" w:bottom="73" w:gutter="0" w:footer="0" w:header="0"/>
        </w:sectPr>
      </w:pPr>
    </w:p>
    <w:bookmarkStart w:id="1" w:name="page2"/>
    <w:bookmarkEnd w:id="1"/>
    <w:tbl>
      <w:tblPr>
        <w:tblLayout w:type="fixed"/>
        <w:tblInd w:w="130" w:type="dxa"/>
        <w:tblCellMar>
          <w:top w:w="0" w:type="dxa"/>
          <w:left w:w="0" w:type="dxa"/>
          <w:bottom w:w="0" w:type="dxa"/>
          <w:right w:w="0" w:type="dxa"/>
        </w:tblCellMar>
      </w:tblPr>
      <w:tr>
        <w:trPr>
          <w:trHeight w:val="238"/>
        </w:trPr>
        <w:tc>
          <w:tcPr>
            <w:tcW w:w="390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37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3440" w:type="dxa"/>
            <w:vAlign w:val="bottom"/>
            <w:tcBorders>
              <w:top w:val="single" w:sz="8" w:color="auto"/>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Name of each exchange on which</w:t>
            </w:r>
          </w:p>
        </w:tc>
      </w:tr>
      <w:tr>
        <w:trPr>
          <w:trHeight w:val="234"/>
        </w:trPr>
        <w:tc>
          <w:tcPr>
            <w:tcW w:w="3900" w:type="dxa"/>
            <w:vAlign w:val="bottom"/>
            <w:tcBorders>
              <w:left w:val="single" w:sz="8" w:color="auto"/>
              <w:right w:val="single" w:sz="8" w:color="auto"/>
            </w:tcBorders>
          </w:tcPr>
          <w:p>
            <w:pPr>
              <w:spacing w:after="0"/>
              <w:rPr>
                <w:sz w:val="20"/>
                <w:szCs w:val="20"/>
                <w:color w:val="auto"/>
              </w:rPr>
            </w:pPr>
          </w:p>
        </w:tc>
        <w:tc>
          <w:tcPr>
            <w:tcW w:w="3780" w:type="dxa"/>
            <w:vAlign w:val="bottom"/>
            <w:tcBorders>
              <w:right w:val="single" w:sz="8" w:color="auto"/>
            </w:tcBorders>
          </w:tcPr>
          <w:p>
            <w:pPr>
              <w:spacing w:after="0"/>
              <w:rPr>
                <w:sz w:val="20"/>
                <w:szCs w:val="20"/>
                <w:color w:val="auto"/>
              </w:rPr>
            </w:pPr>
          </w:p>
        </w:tc>
        <w:tc>
          <w:tcPr>
            <w:tcW w:w="3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registered</w:t>
            </w:r>
          </w:p>
        </w:tc>
      </w:tr>
      <w:tr>
        <w:trPr>
          <w:trHeight w:val="27"/>
        </w:trPr>
        <w:tc>
          <w:tcPr>
            <w:tcW w:w="3900" w:type="dxa"/>
            <w:vAlign w:val="bottom"/>
            <w:tcBorders>
              <w:left w:val="single" w:sz="8" w:color="auto"/>
              <w:bottom w:val="single" w:sz="8" w:color="auto"/>
              <w:right w:val="single" w:sz="8" w:color="auto"/>
            </w:tcBorders>
          </w:tcPr>
          <w:p>
            <w:pPr>
              <w:spacing w:after="0"/>
              <w:rPr>
                <w:sz w:val="2"/>
                <w:szCs w:val="2"/>
                <w:color w:val="auto"/>
              </w:rPr>
            </w:pPr>
          </w:p>
        </w:tc>
        <w:tc>
          <w:tcPr>
            <w:tcW w:w="3780" w:type="dxa"/>
            <w:vAlign w:val="bottom"/>
            <w:tcBorders>
              <w:bottom w:val="single" w:sz="8" w:color="auto"/>
              <w:right w:val="single" w:sz="8" w:color="auto"/>
            </w:tcBorders>
          </w:tcPr>
          <w:p>
            <w:pPr>
              <w:spacing w:after="0"/>
              <w:rPr>
                <w:sz w:val="2"/>
                <w:szCs w:val="2"/>
                <w:color w:val="auto"/>
              </w:rPr>
            </w:pPr>
          </w:p>
        </w:tc>
        <w:tc>
          <w:tcPr>
            <w:tcW w:w="3440" w:type="dxa"/>
            <w:vAlign w:val="bottom"/>
            <w:tcBorders>
              <w:bottom w:val="single" w:sz="8" w:color="auto"/>
              <w:right w:val="single" w:sz="8" w:color="auto"/>
            </w:tcBorders>
          </w:tcPr>
          <w:p>
            <w:pPr>
              <w:spacing w:after="0"/>
              <w:rPr>
                <w:sz w:val="2"/>
                <w:szCs w:val="2"/>
                <w:color w:val="auto"/>
              </w:rPr>
            </w:pPr>
          </w:p>
        </w:tc>
      </w:tr>
      <w:tr>
        <w:trPr>
          <w:trHeight w:val="218"/>
        </w:trPr>
        <w:tc>
          <w:tcPr>
            <w:tcW w:w="39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Ordinary shares, nominal value £0.05</w:t>
            </w:r>
          </w:p>
        </w:tc>
        <w:tc>
          <w:tcPr>
            <w:tcW w:w="3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VRNA</w:t>
            </w:r>
          </w:p>
        </w:tc>
        <w:tc>
          <w:tcPr>
            <w:tcW w:w="3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Market</w:t>
            </w:r>
          </w:p>
        </w:tc>
      </w:tr>
      <w:tr>
        <w:trPr>
          <w:trHeight w:val="234"/>
        </w:trPr>
        <w:tc>
          <w:tcPr>
            <w:tcW w:w="39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per share*</w:t>
            </w:r>
          </w:p>
        </w:tc>
        <w:tc>
          <w:tcPr>
            <w:tcW w:w="3780" w:type="dxa"/>
            <w:vAlign w:val="bottom"/>
            <w:tcBorders>
              <w:right w:val="single" w:sz="8" w:color="auto"/>
            </w:tcBorders>
          </w:tcPr>
          <w:p>
            <w:pPr>
              <w:spacing w:after="0"/>
              <w:rPr>
                <w:sz w:val="20"/>
                <w:szCs w:val="20"/>
                <w:color w:val="auto"/>
              </w:rPr>
            </w:pPr>
          </w:p>
        </w:tc>
        <w:tc>
          <w:tcPr>
            <w:tcW w:w="3440" w:type="dxa"/>
            <w:vAlign w:val="bottom"/>
            <w:tcBorders>
              <w:right w:val="single" w:sz="8" w:color="auto"/>
            </w:tcBorders>
          </w:tcPr>
          <w:p>
            <w:pPr>
              <w:spacing w:after="0"/>
              <w:rPr>
                <w:sz w:val="20"/>
                <w:szCs w:val="20"/>
                <w:color w:val="auto"/>
              </w:rPr>
            </w:pPr>
          </w:p>
        </w:tc>
      </w:tr>
      <w:tr>
        <w:trPr>
          <w:trHeight w:val="27"/>
        </w:trPr>
        <w:tc>
          <w:tcPr>
            <w:tcW w:w="3900" w:type="dxa"/>
            <w:vAlign w:val="bottom"/>
            <w:tcBorders>
              <w:left w:val="single" w:sz="8" w:color="auto"/>
              <w:bottom w:val="single" w:sz="8" w:color="auto"/>
              <w:right w:val="single" w:sz="8" w:color="auto"/>
            </w:tcBorders>
          </w:tcPr>
          <w:p>
            <w:pPr>
              <w:spacing w:after="0"/>
              <w:rPr>
                <w:sz w:val="2"/>
                <w:szCs w:val="2"/>
                <w:color w:val="auto"/>
              </w:rPr>
            </w:pPr>
          </w:p>
        </w:tc>
        <w:tc>
          <w:tcPr>
            <w:tcW w:w="3780" w:type="dxa"/>
            <w:vAlign w:val="bottom"/>
            <w:tcBorders>
              <w:bottom w:val="single" w:sz="8" w:color="auto"/>
              <w:right w:val="single" w:sz="8" w:color="auto"/>
            </w:tcBorders>
          </w:tcPr>
          <w:p>
            <w:pPr>
              <w:spacing w:after="0"/>
              <w:rPr>
                <w:sz w:val="2"/>
                <w:szCs w:val="2"/>
                <w:color w:val="auto"/>
              </w:rPr>
            </w:pPr>
          </w:p>
        </w:tc>
        <w:tc>
          <w:tcPr>
            <w:tcW w:w="3440" w:type="dxa"/>
            <w:vAlign w:val="bottom"/>
            <w:tcBorders>
              <w:bottom w:val="single" w:sz="8" w:color="auto"/>
              <w:right w:val="single" w:sz="8" w:color="auto"/>
            </w:tcBorders>
          </w:tcPr>
          <w:p>
            <w:pPr>
              <w:spacing w:after="0"/>
              <w:rPr>
                <w:sz w:val="2"/>
                <w:szCs w:val="2"/>
                <w:color w:val="auto"/>
              </w:rPr>
            </w:pPr>
          </w:p>
        </w:tc>
      </w:tr>
    </w:tbl>
    <w:p>
      <w:pPr>
        <w:spacing w:after="0" w:line="398" w:lineRule="exact"/>
        <w:rPr>
          <w:sz w:val="20"/>
          <w:szCs w:val="20"/>
          <w:color w:val="auto"/>
        </w:rPr>
      </w:pPr>
    </w:p>
    <w:p>
      <w:pPr>
        <w:ind w:right="480" w:firstLine="8"/>
        <w:spacing w:after="0" w:line="284" w:lineRule="auto"/>
        <w:tabs>
          <w:tab w:leader="none" w:pos="135" w:val="left"/>
        </w:tabs>
        <w:numPr>
          <w:ilvl w:val="0"/>
          <w:numId w:val="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ordinary shares are represented by American Depositary Shares (each representing 8 ordinary shares), which are exempt from the operation of Section 12(a) of the Securities Exchange Act of 1934, as amended, pursuant to Rule 12a-8 thereunder.</w:t>
      </w:r>
    </w:p>
    <w:p>
      <w:pPr>
        <w:spacing w:after="0" w:line="160"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18" w:lineRule="exact"/>
        <w:rPr>
          <w:sz w:val="20"/>
          <w:szCs w:val="20"/>
          <w:color w:val="auto"/>
        </w:rPr>
      </w:pPr>
    </w:p>
    <w:p>
      <w:pPr>
        <w:spacing w:after="0" w:line="242"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21"/>
          <w:szCs w:val="21"/>
          <w:color w:val="auto"/>
        </w:rPr>
        <w:t>☐</w:t>
      </w:r>
    </w:p>
    <w:p>
      <w:pPr>
        <w:spacing w:after="0" w:line="275" w:lineRule="exact"/>
        <w:rPr>
          <w:sz w:val="20"/>
          <w:szCs w:val="20"/>
          <w:color w:val="auto"/>
        </w:rPr>
      </w:pPr>
    </w:p>
    <w:p>
      <w:pPr>
        <w:ind w:right="160"/>
        <w:spacing w:after="0" w:line="268"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1210945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186690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7" w:right="339" w:bottom="1440" w:gutter="0" w:footer="0" w:header="0"/>
        </w:sectPr>
      </w:pPr>
    </w:p>
    <w:bookmarkStart w:id="2" w:name="page3"/>
    <w:bookmarkEnd w:id="2"/>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February 27, 2025, Verona Pharma plc announced its financial results for the year ended December 31, 2024. The full text of the press release issued in connection with the announcement is furnished as Exhibit 99.1 to this Current Report on Form 8-K.</w:t>
      </w:r>
    </w:p>
    <w:p>
      <w:pPr>
        <w:spacing w:after="0" w:line="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information contained in Item 2.02 of this Form 8-K (including Exhibit 99.1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provided by specific reference in such a filing.</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 relating to Item 2.02 shall be deemed to be furnished, and not filed:</w:t>
      </w:r>
    </w:p>
    <w:p>
      <w:pPr>
        <w:spacing w:after="0" w:line="27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31" w:lineRule="exact"/>
        <w:rPr>
          <w:sz w:val="20"/>
          <w:szCs w:val="20"/>
          <w:color w:val="auto"/>
        </w:rPr>
      </w:pPr>
    </w:p>
    <w:p>
      <w:pPr>
        <w:ind w:left="360"/>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No.</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69519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51980" cy="8255"/>
                    </a:xfrm>
                    <a:prstGeom prst="rect">
                      <a:avLst/>
                    </a:prstGeom>
                    <a:noFill/>
                  </pic:spPr>
                </pic:pic>
              </a:graphicData>
            </a:graphic>
          </wp:anchor>
        </w:drawing>
      </w:r>
    </w:p>
    <w:p>
      <w:pPr>
        <w:spacing w:after="0" w:line="308" w:lineRule="exact"/>
        <w:rPr>
          <w:sz w:val="20"/>
          <w:szCs w:val="20"/>
          <w:color w:val="auto"/>
        </w:rPr>
      </w:pPr>
    </w:p>
    <w:p>
      <w:pPr>
        <w:ind w:left="320"/>
        <w:spacing w:after="0"/>
        <w:tabs>
          <w:tab w:leader="none" w:pos="1060" w:val="left"/>
        </w:tabs>
        <w:rPr>
          <w:sz w:val="20"/>
          <w:szCs w:val="20"/>
          <w:color w:val="auto"/>
        </w:rPr>
      </w:pPr>
      <w:r>
        <w:rPr>
          <w:rFonts w:ascii="Times New Roman" w:cs="Times New Roman" w:eastAsia="Times New Roman" w:hAnsi="Times New Roman"/>
          <w:sz w:val="18"/>
          <w:szCs w:val="18"/>
          <w:u w:val="single" w:color="auto"/>
          <w:color w:val="0000FF"/>
        </w:rPr>
        <w:t>99.1</w:t>
      </w:r>
      <w:r>
        <w:rPr>
          <w:sz w:val="20"/>
          <w:szCs w:val="20"/>
          <w:color w:val="auto"/>
        </w:rPr>
        <w:tab/>
      </w:r>
      <w:r>
        <w:rPr>
          <w:rFonts w:ascii="Times New Roman" w:cs="Times New Roman" w:eastAsia="Times New Roman" w:hAnsi="Times New Roman"/>
          <w:sz w:val="18"/>
          <w:szCs w:val="18"/>
          <w:u w:val="single" w:color="auto"/>
          <w:color w:val="0000FF"/>
        </w:rPr>
        <w:t>Press Release issued on February 27, 2025</w:t>
      </w:r>
    </w:p>
    <w:p>
      <w:pPr>
        <w:spacing w:after="0" w:line="63" w:lineRule="exact"/>
        <w:rPr>
          <w:sz w:val="20"/>
          <w:szCs w:val="20"/>
          <w:color w:val="auto"/>
        </w:rPr>
      </w:pPr>
    </w:p>
    <w:p>
      <w:pPr>
        <w:ind w:left="360"/>
        <w:spacing w:after="0"/>
        <w:tabs>
          <w:tab w:leader="none" w:pos="106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(the cover page XBRL tags are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spacing w:after="0" w:line="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66"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720" w:type="dxa"/>
            <w:vAlign w:val="bottom"/>
          </w:tcPr>
          <w:p>
            <w:pPr>
              <w:spacing w:after="0"/>
              <w:rPr>
                <w:sz w:val="20"/>
                <w:szCs w:val="20"/>
                <w:color w:val="auto"/>
              </w:rPr>
            </w:pPr>
          </w:p>
        </w:tc>
        <w:tc>
          <w:tcPr>
            <w:tcW w:w="7500" w:type="dxa"/>
            <w:vAlign w:val="bottom"/>
            <w:gridSpan w:val="2"/>
          </w:tcPr>
          <w:p>
            <w:pPr>
              <w:ind w:left="1940"/>
              <w:spacing w:after="0"/>
              <w:rPr>
                <w:sz w:val="20"/>
                <w:szCs w:val="20"/>
                <w:color w:val="auto"/>
              </w:rPr>
            </w:pPr>
            <w:r>
              <w:rPr>
                <w:rFonts w:ascii="Times New Roman" w:cs="Times New Roman" w:eastAsia="Times New Roman" w:hAnsi="Times New Roman"/>
                <w:sz w:val="18"/>
                <w:szCs w:val="18"/>
                <w:b w:val="1"/>
                <w:bCs w:val="1"/>
                <w:color w:val="auto"/>
              </w:rPr>
              <w:t>VERONA PHARMA PLC</w:t>
            </w:r>
          </w:p>
        </w:tc>
        <w:tc>
          <w:tcPr>
            <w:tcW w:w="0" w:type="dxa"/>
            <w:vAlign w:val="bottom"/>
          </w:tcPr>
          <w:p>
            <w:pPr>
              <w:spacing w:after="0"/>
              <w:rPr>
                <w:sz w:val="1"/>
                <w:szCs w:val="1"/>
                <w:color w:val="auto"/>
              </w:rPr>
            </w:pPr>
          </w:p>
        </w:tc>
      </w:tr>
      <w:tr>
        <w:trPr>
          <w:trHeight w:val="540"/>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27, 2025</w:t>
            </w:r>
          </w:p>
        </w:tc>
        <w:tc>
          <w:tcPr>
            <w:tcW w:w="262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By:</w:t>
            </w:r>
          </w:p>
        </w:tc>
        <w:tc>
          <w:tcPr>
            <w:tcW w:w="4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 David Zaccardelli, Pharm. D.</w:t>
            </w:r>
          </w:p>
        </w:tc>
        <w:tc>
          <w:tcPr>
            <w:tcW w:w="0" w:type="dxa"/>
            <w:vAlign w:val="bottom"/>
          </w:tcPr>
          <w:p>
            <w:pPr>
              <w:spacing w:after="0"/>
              <w:rPr>
                <w:sz w:val="1"/>
                <w:szCs w:val="1"/>
                <w:color w:val="auto"/>
              </w:rPr>
            </w:pPr>
          </w:p>
        </w:tc>
      </w:tr>
      <w:tr>
        <w:trPr>
          <w:trHeight w:val="27"/>
        </w:trPr>
        <w:tc>
          <w:tcPr>
            <w:tcW w:w="3720" w:type="dxa"/>
            <w:vAlign w:val="bottom"/>
          </w:tcPr>
          <w:p>
            <w:pPr>
              <w:spacing w:after="0"/>
              <w:rPr>
                <w:sz w:val="2"/>
                <w:szCs w:val="2"/>
                <w:color w:val="auto"/>
              </w:rPr>
            </w:pPr>
          </w:p>
        </w:tc>
        <w:tc>
          <w:tcPr>
            <w:tcW w:w="2620" w:type="dxa"/>
            <w:vAlign w:val="bottom"/>
            <w:vMerge w:val="restart"/>
          </w:tcPr>
          <w:p>
            <w:pPr>
              <w:ind w:left="1940"/>
              <w:spacing w:after="0"/>
              <w:rPr>
                <w:sz w:val="20"/>
                <w:szCs w:val="20"/>
                <w:color w:val="auto"/>
              </w:rPr>
            </w:pPr>
            <w:r>
              <w:rPr>
                <w:rFonts w:ascii="Times New Roman" w:cs="Times New Roman" w:eastAsia="Times New Roman" w:hAnsi="Times New Roman"/>
                <w:sz w:val="18"/>
                <w:szCs w:val="18"/>
                <w:color w:val="auto"/>
              </w:rPr>
              <w:t>Name:</w:t>
            </w:r>
          </w:p>
        </w:tc>
        <w:tc>
          <w:tcPr>
            <w:tcW w:w="4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20" w:type="dxa"/>
            <w:vAlign w:val="bottom"/>
          </w:tcPr>
          <w:p>
            <w:pPr>
              <w:spacing w:after="0"/>
              <w:rPr>
                <w:sz w:val="20"/>
                <w:szCs w:val="20"/>
                <w:color w:val="auto"/>
              </w:rPr>
            </w:pPr>
          </w:p>
        </w:tc>
        <w:tc>
          <w:tcPr>
            <w:tcW w:w="2620" w:type="dxa"/>
            <w:vAlign w:val="bottom"/>
            <w:vMerge w:val="continue"/>
          </w:tcPr>
          <w:p>
            <w:pPr>
              <w:spacing w:after="0"/>
              <w:rPr>
                <w:sz w:val="20"/>
                <w:szCs w:val="20"/>
                <w:color w:val="auto"/>
              </w:rPr>
            </w:pPr>
          </w:p>
        </w:tc>
        <w:tc>
          <w:tcPr>
            <w:tcW w:w="4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David Zaccardelli, Pharm. D.</w:t>
            </w:r>
          </w:p>
        </w:tc>
        <w:tc>
          <w:tcPr>
            <w:tcW w:w="0" w:type="dxa"/>
            <w:vAlign w:val="bottom"/>
          </w:tcPr>
          <w:p>
            <w:pPr>
              <w:spacing w:after="0"/>
              <w:rPr>
                <w:sz w:val="1"/>
                <w:szCs w:val="1"/>
                <w:color w:val="auto"/>
              </w:rPr>
            </w:pPr>
          </w:p>
        </w:tc>
      </w:tr>
      <w:tr>
        <w:trPr>
          <w:trHeight w:val="270"/>
        </w:trPr>
        <w:tc>
          <w:tcPr>
            <w:tcW w:w="3720" w:type="dxa"/>
            <w:vAlign w:val="bottom"/>
          </w:tcPr>
          <w:p>
            <w:pPr>
              <w:spacing w:after="0"/>
              <w:rPr>
                <w:sz w:val="23"/>
                <w:szCs w:val="23"/>
                <w:color w:val="auto"/>
              </w:rPr>
            </w:pPr>
          </w:p>
        </w:tc>
        <w:tc>
          <w:tcPr>
            <w:tcW w:w="262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Title:</w:t>
            </w:r>
          </w:p>
        </w:tc>
        <w:tc>
          <w:tcPr>
            <w:tcW w:w="4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President and Chief Executive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1440" w:right="33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5531485</wp:posOffset>
            </wp:positionH>
            <wp:positionV relativeFrom="page">
              <wp:posOffset>243205</wp:posOffset>
            </wp:positionV>
            <wp:extent cx="1808480" cy="8743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1808480" cy="874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line="253" w:lineRule="auto"/>
        <w:rPr>
          <w:sz w:val="20"/>
          <w:szCs w:val="20"/>
          <w:color w:val="auto"/>
        </w:rPr>
      </w:pPr>
      <w:r>
        <w:rPr>
          <w:rFonts w:ascii="Arial" w:cs="Arial" w:eastAsia="Arial" w:hAnsi="Arial"/>
          <w:sz w:val="25"/>
          <w:szCs w:val="25"/>
          <w:b w:val="1"/>
          <w:bCs w:val="1"/>
          <w:color w:val="auto"/>
        </w:rPr>
        <w:t>Verona Pharma Reports Fourth Quarter and Full Year 2024 Financial Results and Provides Corporate Update</w:t>
      </w:r>
    </w:p>
    <w:p>
      <w:pPr>
        <w:spacing w:after="0" w:line="107" w:lineRule="exact"/>
        <w:rPr>
          <w:sz w:val="20"/>
          <w:szCs w:val="20"/>
          <w:color w:val="auto"/>
        </w:rPr>
      </w:pPr>
    </w:p>
    <w:p>
      <w:pPr>
        <w:jc w:val="center"/>
        <w:spacing w:after="0" w:line="314" w:lineRule="auto"/>
        <w:rPr>
          <w:sz w:val="20"/>
          <w:szCs w:val="20"/>
          <w:color w:val="auto"/>
        </w:rPr>
      </w:pPr>
      <w:r>
        <w:rPr>
          <w:rFonts w:ascii="Arial" w:cs="Arial" w:eastAsia="Arial" w:hAnsi="Arial"/>
          <w:sz w:val="22"/>
          <w:szCs w:val="22"/>
          <w:i w:val="1"/>
          <w:iCs w:val="1"/>
          <w:color w:val="auto"/>
        </w:rPr>
        <w:t>Ohtuvayre</w:t>
      </w:r>
      <w:r>
        <w:rPr>
          <w:rFonts w:ascii="Arial" w:cs="Arial" w:eastAsia="Arial" w:hAnsi="Arial"/>
          <w:sz w:val="11"/>
          <w:szCs w:val="11"/>
          <w:i w:val="1"/>
          <w:iCs w:val="1"/>
          <w:color w:val="auto"/>
        </w:rPr>
        <w:t>TM</w:t>
      </w:r>
      <w:r>
        <w:rPr>
          <w:rFonts w:ascii="Arial" w:cs="Arial" w:eastAsia="Arial" w:hAnsi="Arial"/>
          <w:sz w:val="22"/>
          <w:szCs w:val="22"/>
          <w:i w:val="1"/>
          <w:iCs w:val="1"/>
          <w:color w:val="auto"/>
        </w:rPr>
        <w:t xml:space="preserve"> (ensifentrine) recorded net product sales of $36.6 million in Q4 and $42.3 million in 2024 More prescriptions filled through February 2025 than in Q4 2024 Over 4,600 unique prescribers with ~55% of Tier 1 HCPs prescribing Ohtuvayre through February 2025 Phase 2 programs in bronchiectasis and fixed-dose combination in COPD advance Conference call today at 9:00 a.m. EST / 2:00 p.m. GMT</w:t>
      </w:r>
    </w:p>
    <w:p>
      <w:pPr>
        <w:spacing w:after="0" w:line="319" w:lineRule="exact"/>
        <w:rPr>
          <w:sz w:val="20"/>
          <w:szCs w:val="20"/>
          <w:color w:val="auto"/>
        </w:rPr>
      </w:pPr>
    </w:p>
    <w:p>
      <w:pPr>
        <w:jc w:val="both"/>
        <w:spacing w:after="0" w:line="214" w:lineRule="auto"/>
        <w:rPr>
          <w:sz w:val="20"/>
          <w:szCs w:val="20"/>
          <w:color w:val="auto"/>
        </w:rPr>
      </w:pPr>
      <w:r>
        <w:rPr>
          <w:rFonts w:ascii="Arial" w:cs="Arial" w:eastAsia="Arial" w:hAnsi="Arial"/>
          <w:sz w:val="20"/>
          <w:szCs w:val="20"/>
          <w:b w:val="1"/>
          <w:bCs w:val="1"/>
          <w:color w:val="auto"/>
        </w:rPr>
        <w:t xml:space="preserve">LONDON and RALEIGH, N.C., February 27, 2025 </w:t>
      </w:r>
      <w:r>
        <w:rPr>
          <w:rFonts w:ascii="Arial" w:cs="Arial" w:eastAsia="Arial" w:hAnsi="Arial"/>
          <w:sz w:val="20"/>
          <w:szCs w:val="20"/>
          <w:color w:val="auto"/>
        </w:rPr>
        <w:t>– Verona Pharma plc (Nasdaq: VRNA) (“Verona Pharma” or the</w:t>
      </w:r>
      <w:r>
        <w:rPr>
          <w:rFonts w:ascii="Arial" w:cs="Arial" w:eastAsia="Arial" w:hAnsi="Arial"/>
          <w:sz w:val="20"/>
          <w:szCs w:val="20"/>
          <w:b w:val="1"/>
          <w:bCs w:val="1"/>
          <w:color w:val="auto"/>
        </w:rPr>
        <w:t xml:space="preserve"> </w:t>
      </w:r>
      <w:r>
        <w:rPr>
          <w:rFonts w:ascii="Arial" w:cs="Arial" w:eastAsia="Arial" w:hAnsi="Arial"/>
          <w:sz w:val="20"/>
          <w:szCs w:val="20"/>
          <w:color w:val="auto"/>
        </w:rPr>
        <w:t>“Company”), a biopharmaceutical company focused on respiratory diseases, announces its financial results for the fourth</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quarter and full year ended December 31, 2024, and provides a corporate update.</w:t>
      </w:r>
    </w:p>
    <w:p>
      <w:pPr>
        <w:spacing w:after="0" w:line="63" w:lineRule="exact"/>
        <w:rPr>
          <w:sz w:val="20"/>
          <w:szCs w:val="20"/>
          <w:color w:val="auto"/>
        </w:rPr>
      </w:pPr>
    </w:p>
    <w:p>
      <w:pPr>
        <w:jc w:val="both"/>
        <w:spacing w:after="0" w:line="213" w:lineRule="auto"/>
        <w:rPr>
          <w:sz w:val="20"/>
          <w:szCs w:val="20"/>
          <w:color w:val="auto"/>
        </w:rPr>
      </w:pPr>
      <w:r>
        <w:rPr>
          <w:rFonts w:ascii="Arial" w:cs="Arial" w:eastAsia="Arial" w:hAnsi="Arial"/>
          <w:sz w:val="20"/>
          <w:szCs w:val="20"/>
          <w:color w:val="auto"/>
        </w:rPr>
        <w:t>“2024 was another transformational year for Verona Pharma with the US approval and launch of Ohtuvayre (ensifentrine), the first novel inhaled therapy available for the maintenance treatment of Chronic Obstructive Pulmonary Disease (“COPD”) in over</w:t>
      </w:r>
    </w:p>
    <w:p>
      <w:pPr>
        <w:spacing w:after="0" w:line="212" w:lineRule="auto"/>
        <w:rPr>
          <w:sz w:val="20"/>
          <w:szCs w:val="20"/>
          <w:color w:val="auto"/>
        </w:rPr>
      </w:pPr>
      <w:r>
        <w:rPr>
          <w:rFonts w:ascii="Arial" w:cs="Arial" w:eastAsia="Arial" w:hAnsi="Arial"/>
          <w:sz w:val="20"/>
          <w:szCs w:val="20"/>
          <w:color w:val="auto"/>
        </w:rPr>
        <w:t>20 years,” said David Zaccardelli, Pharm. D., President and Chief Executive Officer. "We are very pleased to report the</w:t>
      </w:r>
    </w:p>
    <w:p>
      <w:pPr>
        <w:spacing w:after="0" w:line="1" w:lineRule="exact"/>
        <w:rPr>
          <w:sz w:val="20"/>
          <w:szCs w:val="20"/>
          <w:color w:val="auto"/>
        </w:rPr>
      </w:pPr>
    </w:p>
    <w:p>
      <w:pPr>
        <w:jc w:val="both"/>
        <w:spacing w:after="0" w:line="225" w:lineRule="auto"/>
        <w:rPr>
          <w:sz w:val="20"/>
          <w:szCs w:val="20"/>
          <w:color w:val="auto"/>
        </w:rPr>
      </w:pPr>
      <w:r>
        <w:rPr>
          <w:rFonts w:ascii="Arial" w:cs="Arial" w:eastAsia="Arial" w:hAnsi="Arial"/>
          <w:sz w:val="20"/>
          <w:szCs w:val="20"/>
          <w:color w:val="auto"/>
        </w:rPr>
        <w:t>extremely strong start to the launch continues to build momentum with more prescriptions dispensed through February 2025 than in the entire fourth quarter of 2024.</w:t>
      </w:r>
    </w:p>
    <w:p>
      <w:pPr>
        <w:spacing w:after="0" w:line="64" w:lineRule="exact"/>
        <w:rPr>
          <w:sz w:val="20"/>
          <w:szCs w:val="20"/>
          <w:color w:val="auto"/>
        </w:rPr>
      </w:pPr>
    </w:p>
    <w:p>
      <w:pPr>
        <w:jc w:val="both"/>
        <w:spacing w:after="0"/>
        <w:rPr>
          <w:sz w:val="20"/>
          <w:szCs w:val="20"/>
          <w:color w:val="auto"/>
        </w:rPr>
      </w:pPr>
      <w:r>
        <w:rPr>
          <w:rFonts w:ascii="Arial" w:cs="Arial" w:eastAsia="Arial" w:hAnsi="Arial"/>
          <w:sz w:val="20"/>
          <w:szCs w:val="20"/>
          <w:color w:val="auto"/>
        </w:rPr>
        <w:t>“More than 4,600 unique healthcare professionals ("HCPs") including approximately 55% of our Tier 1 HCPs have prescribed Ohtuvayre. Additionally, to date, more than 275 HCPs have prescribed Ohtuvayre to over 20 patients in their practice. Ohtuvayre is being prescribed for maintenance therapy across a broad COPD population including those receiving background single, dual and approximately 50% on triple therapy. These data strengthen our belief that ensifentrine’s novel bronchodilator and non-steroidal anti-inflammatory activity will redefine the treatment paradigm for COPD.</w:t>
      </w:r>
    </w:p>
    <w:p>
      <w:pPr>
        <w:spacing w:after="0" w:line="42" w:lineRule="exact"/>
        <w:rPr>
          <w:sz w:val="20"/>
          <w:szCs w:val="20"/>
          <w:color w:val="auto"/>
        </w:rPr>
      </w:pPr>
    </w:p>
    <w:p>
      <w:pPr>
        <w:spacing w:after="0"/>
        <w:rPr>
          <w:sz w:val="20"/>
          <w:szCs w:val="20"/>
          <w:color w:val="auto"/>
        </w:rPr>
      </w:pPr>
      <w:r>
        <w:rPr>
          <w:rFonts w:ascii="Arial" w:cs="Arial" w:eastAsia="Arial" w:hAnsi="Arial"/>
          <w:sz w:val="20"/>
          <w:szCs w:val="20"/>
          <w:color w:val="auto"/>
        </w:rPr>
        <w:t>“Alongside our commercialization efforts, in the third quarter we initiated two Phase 2 clinical trials: a dose-ranging trial with</w:t>
      </w:r>
    </w:p>
    <w:p>
      <w:pPr>
        <w:jc w:val="both"/>
        <w:spacing w:after="0" w:line="215" w:lineRule="auto"/>
        <w:rPr>
          <w:sz w:val="20"/>
          <w:szCs w:val="20"/>
          <w:color w:val="auto"/>
        </w:rPr>
      </w:pPr>
      <w:r>
        <w:rPr>
          <w:rFonts w:ascii="Arial" w:cs="Arial" w:eastAsia="Arial" w:hAnsi="Arial"/>
          <w:sz w:val="19"/>
          <w:szCs w:val="19"/>
          <w:color w:val="auto"/>
        </w:rPr>
        <w:t>glycopyrrolate, a long-acting muscarinic antagonist (“LAMA”), to support a nebulized fixed-dose combination of ensifentrine and glycopyrrolate for the maintenance treatment of COPD, and a study assessing the safety and efficacy of nebulized ensifentrine</w:t>
      </w:r>
    </w:p>
    <w:p>
      <w:pPr>
        <w:spacing w:after="0" w:line="211" w:lineRule="auto"/>
        <w:rPr>
          <w:sz w:val="20"/>
          <w:szCs w:val="20"/>
          <w:color w:val="auto"/>
        </w:rPr>
      </w:pPr>
      <w:r>
        <w:rPr>
          <w:rFonts w:ascii="Arial" w:cs="Arial" w:eastAsia="Arial" w:hAnsi="Arial"/>
          <w:sz w:val="20"/>
          <w:szCs w:val="20"/>
          <w:color w:val="auto"/>
        </w:rPr>
        <w:t>in patients with non-cystic fibrosis bronchiectasis (“bronchiectasis”). We are pleased to report the glycopyrrolate dose-ranging</w:t>
      </w:r>
    </w:p>
    <w:p>
      <w:pPr>
        <w:jc w:val="both"/>
        <w:spacing w:after="0" w:line="225" w:lineRule="auto"/>
        <w:rPr>
          <w:sz w:val="20"/>
          <w:szCs w:val="20"/>
          <w:color w:val="auto"/>
        </w:rPr>
      </w:pPr>
      <w:r>
        <w:rPr>
          <w:rFonts w:ascii="Arial" w:cs="Arial" w:eastAsia="Arial" w:hAnsi="Arial"/>
          <w:sz w:val="20"/>
          <w:szCs w:val="20"/>
          <w:color w:val="auto"/>
        </w:rPr>
        <w:t>trial was successfully completed and we plan to initiate a dose ranging Phase 2b trial with a fixed-dose combination of ensifentrine and glycopyrrolate in the second half of 2025.</w:t>
      </w:r>
    </w:p>
    <w:p>
      <w:pPr>
        <w:spacing w:after="0" w:line="41" w:lineRule="exact"/>
        <w:rPr>
          <w:sz w:val="20"/>
          <w:szCs w:val="20"/>
          <w:color w:val="auto"/>
        </w:rPr>
      </w:pPr>
    </w:p>
    <w:p>
      <w:pPr>
        <w:spacing w:after="0"/>
        <w:rPr>
          <w:sz w:val="20"/>
          <w:szCs w:val="20"/>
          <w:color w:val="auto"/>
        </w:rPr>
      </w:pPr>
      <w:r>
        <w:rPr>
          <w:rFonts w:ascii="Arial" w:cs="Arial" w:eastAsia="Arial" w:hAnsi="Arial"/>
          <w:sz w:val="20"/>
          <w:szCs w:val="20"/>
          <w:color w:val="auto"/>
        </w:rPr>
        <w:t>“In addition to our successful Ohtuvayre launch, our development partner in Greater China, Nuance Pharma, announced in</w:t>
      </w:r>
    </w:p>
    <w:p>
      <w:pPr>
        <w:jc w:val="both"/>
        <w:spacing w:after="0" w:line="204" w:lineRule="auto"/>
        <w:rPr>
          <w:sz w:val="20"/>
          <w:szCs w:val="20"/>
          <w:color w:val="auto"/>
        </w:rPr>
      </w:pPr>
      <w:r>
        <w:rPr>
          <w:rFonts w:ascii="Arial" w:cs="Arial" w:eastAsia="Arial" w:hAnsi="Arial"/>
          <w:sz w:val="20"/>
          <w:szCs w:val="20"/>
          <w:color w:val="auto"/>
        </w:rPr>
        <w:t>February 2025 that Ohtuvayre was approved in Macau, the first approval outside of the US, for the maintenance treatment of COPD. In addition, Nuance Pharma has completed enrollment in its own pivotal Phase 3 trial in China to evaluate ensifentrine</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for the maintenance treatment of COPD and expects to report results in mid-2025.</w:t>
      </w:r>
    </w:p>
    <w:p>
      <w:pPr>
        <w:spacing w:after="0" w:line="63" w:lineRule="exact"/>
        <w:rPr>
          <w:sz w:val="20"/>
          <w:szCs w:val="20"/>
          <w:color w:val="auto"/>
        </w:rPr>
      </w:pPr>
    </w:p>
    <w:p>
      <w:pPr>
        <w:jc w:val="both"/>
        <w:spacing w:after="0" w:line="213" w:lineRule="auto"/>
        <w:rPr>
          <w:sz w:val="20"/>
          <w:szCs w:val="20"/>
          <w:color w:val="auto"/>
        </w:rPr>
      </w:pPr>
      <w:r>
        <w:rPr>
          <w:rFonts w:ascii="Arial" w:cs="Arial" w:eastAsia="Arial" w:hAnsi="Arial"/>
          <w:sz w:val="20"/>
          <w:szCs w:val="20"/>
          <w:color w:val="auto"/>
        </w:rPr>
        <w:t>“In 2025, we will continue to build on the successful commercialization of Ohtuvayre in the US while progressing our Phase 2 programs. We are also initiating activities with regulatory authorities in the European Union and the UK for potential marketing</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authorization application submissions for Ohtuvayre.”</w:t>
      </w:r>
    </w:p>
    <w:p>
      <w:pPr>
        <w:sectPr>
          <w:pgSz w:w="11900" w:h="16838" w:orient="portrait"/>
          <w:cols w:equalWidth="0" w:num="1">
            <w:col w:w="11240"/>
          </w:cols>
          <w:pgMar w:left="320" w:top="1440" w:right="339" w:bottom="1440" w:gutter="0" w:footer="0" w:header="0"/>
        </w:sectPr>
      </w:pPr>
    </w:p>
    <w:bookmarkStart w:id="5" w:name="page6"/>
    <w:bookmarkEnd w:id="5"/>
    <w:p>
      <w:pPr>
        <w:spacing w:after="0"/>
        <w:rPr>
          <w:sz w:val="20"/>
          <w:szCs w:val="20"/>
          <w:color w:val="auto"/>
        </w:rPr>
      </w:pPr>
      <w:r>
        <w:rPr>
          <w:rFonts w:ascii="Arial" w:cs="Arial" w:eastAsia="Arial" w:hAnsi="Arial"/>
          <w:sz w:val="20"/>
          <w:szCs w:val="20"/>
          <w:b w:val="1"/>
          <w:bCs w:val="1"/>
          <w:color w:val="auto"/>
        </w:rPr>
        <w:t>Program Updates and Key Milestones</w:t>
      </w:r>
    </w:p>
    <w:p>
      <w:pPr>
        <w:spacing w:after="0" w:line="83" w:lineRule="exact"/>
        <w:rPr>
          <w:sz w:val="20"/>
          <w:szCs w:val="20"/>
          <w:color w:val="auto"/>
        </w:rPr>
      </w:pPr>
    </w:p>
    <w:p>
      <w:pPr>
        <w:spacing w:after="0"/>
        <w:rPr>
          <w:sz w:val="20"/>
          <w:szCs w:val="20"/>
          <w:color w:val="auto"/>
        </w:rPr>
      </w:pPr>
      <w:r>
        <w:rPr>
          <w:rFonts w:ascii="Arial" w:cs="Arial" w:eastAsia="Arial" w:hAnsi="Arial"/>
          <w:sz w:val="20"/>
          <w:szCs w:val="20"/>
          <w:color w:val="auto"/>
        </w:rPr>
        <w:t>The Company’s near-term milestones include:</w:t>
      </w:r>
    </w:p>
    <w:p>
      <w:pPr>
        <w:spacing w:after="0" w:line="81" w:lineRule="exact"/>
        <w:rPr>
          <w:sz w:val="20"/>
          <w:szCs w:val="20"/>
          <w:color w:val="auto"/>
        </w:rPr>
      </w:pPr>
    </w:p>
    <w:p>
      <w:pPr>
        <w:ind w:left="660" w:right="80" w:hanging="328"/>
        <w:spacing w:after="0" w:line="248" w:lineRule="auto"/>
        <w:tabs>
          <w:tab w:leader="none" w:pos="648" w:val="left"/>
        </w:tabs>
        <w:numPr>
          <w:ilvl w:val="0"/>
          <w:numId w:val="3"/>
        </w:numPr>
        <w:rPr>
          <w:rFonts w:ascii="Arial" w:cs="Arial" w:eastAsia="Arial" w:hAnsi="Arial"/>
          <w:sz w:val="20"/>
          <w:szCs w:val="20"/>
          <w:color w:val="auto"/>
        </w:rPr>
      </w:pPr>
      <w:r>
        <w:rPr>
          <w:rFonts w:ascii="Arial" w:cs="Arial" w:eastAsia="Arial" w:hAnsi="Arial"/>
          <w:sz w:val="20"/>
          <w:szCs w:val="20"/>
          <w:color w:val="auto"/>
        </w:rPr>
        <w:t>In the second half of 2025, the Company plans to start a dose-ranging Phase 2b trial to assess the safety and efficacy of a fixed-dose nebulized combination of ensifentrine with glycopyrrolate. The Company has successfully completed a Phase 2 dose-ranging trial with glycopyrrolate to support this program.</w:t>
      </w:r>
    </w:p>
    <w:p>
      <w:pPr>
        <w:spacing w:after="0" w:line="56" w:lineRule="exact"/>
        <w:rPr>
          <w:rFonts w:ascii="Arial" w:cs="Arial" w:eastAsia="Arial" w:hAnsi="Arial"/>
          <w:sz w:val="20"/>
          <w:szCs w:val="20"/>
          <w:color w:val="auto"/>
        </w:rPr>
      </w:pPr>
    </w:p>
    <w:p>
      <w:pPr>
        <w:ind w:left="660" w:hanging="328"/>
        <w:spacing w:after="0" w:line="234" w:lineRule="auto"/>
        <w:tabs>
          <w:tab w:leader="none" w:pos="648" w:val="left"/>
        </w:tabs>
        <w:numPr>
          <w:ilvl w:val="0"/>
          <w:numId w:val="3"/>
        </w:numPr>
        <w:rPr>
          <w:rFonts w:ascii="Arial" w:cs="Arial" w:eastAsia="Arial" w:hAnsi="Arial"/>
          <w:sz w:val="20"/>
          <w:szCs w:val="20"/>
          <w:color w:val="auto"/>
        </w:rPr>
      </w:pPr>
      <w:r>
        <w:rPr>
          <w:rFonts w:ascii="Arial" w:cs="Arial" w:eastAsia="Arial" w:hAnsi="Arial"/>
          <w:sz w:val="20"/>
          <w:szCs w:val="20"/>
          <w:color w:val="auto"/>
        </w:rPr>
        <w:t>The Company continues to enroll subjects in a Phase 2 trial to assess the efficacy and safety of nebulized ensifentrine in patients with bronchiectasis.</w:t>
      </w:r>
    </w:p>
    <w:p>
      <w:pPr>
        <w:spacing w:after="0" w:line="51" w:lineRule="exact"/>
        <w:rPr>
          <w:rFonts w:ascii="Arial" w:cs="Arial" w:eastAsia="Arial" w:hAnsi="Arial"/>
          <w:sz w:val="20"/>
          <w:szCs w:val="20"/>
          <w:color w:val="auto"/>
        </w:rPr>
      </w:pPr>
    </w:p>
    <w:p>
      <w:pPr>
        <w:ind w:left="660" w:right="20" w:hanging="328"/>
        <w:spacing w:after="0" w:line="243" w:lineRule="auto"/>
        <w:tabs>
          <w:tab w:leader="none" w:pos="648" w:val="left"/>
        </w:tabs>
        <w:numPr>
          <w:ilvl w:val="0"/>
          <w:numId w:val="3"/>
        </w:numPr>
        <w:rPr>
          <w:rFonts w:ascii="Arial" w:cs="Arial" w:eastAsia="Arial" w:hAnsi="Arial"/>
          <w:sz w:val="20"/>
          <w:szCs w:val="20"/>
          <w:color w:val="auto"/>
        </w:rPr>
      </w:pPr>
      <w:r>
        <w:rPr>
          <w:rFonts w:ascii="Arial" w:cs="Arial" w:eastAsia="Arial" w:hAnsi="Arial"/>
          <w:sz w:val="20"/>
          <w:szCs w:val="20"/>
          <w:color w:val="auto"/>
        </w:rPr>
        <w:t>In 2025, the Company plans to progress the regulatory activities for potential marketing authorization application submissions for Ohtuvayre for the maintenance treatment of COPD in the European Union and in the UK.</w:t>
      </w:r>
    </w:p>
    <w:p>
      <w:pPr>
        <w:spacing w:after="0" w:line="33" w:lineRule="exact"/>
        <w:rPr>
          <w:rFonts w:ascii="Arial" w:cs="Arial" w:eastAsia="Arial" w:hAnsi="Arial"/>
          <w:sz w:val="20"/>
          <w:szCs w:val="20"/>
          <w:color w:val="auto"/>
        </w:rPr>
      </w:pPr>
    </w:p>
    <w:p>
      <w:pPr>
        <w:ind w:left="660" w:hanging="328"/>
        <w:spacing w:after="0" w:line="243" w:lineRule="auto"/>
        <w:tabs>
          <w:tab w:leader="none" w:pos="648" w:val="left"/>
        </w:tabs>
        <w:numPr>
          <w:ilvl w:val="0"/>
          <w:numId w:val="3"/>
        </w:numPr>
        <w:rPr>
          <w:rFonts w:ascii="Arial" w:cs="Arial" w:eastAsia="Arial" w:hAnsi="Arial"/>
          <w:sz w:val="20"/>
          <w:szCs w:val="20"/>
          <w:color w:val="auto"/>
        </w:rPr>
      </w:pPr>
      <w:r>
        <w:rPr>
          <w:rFonts w:ascii="Arial" w:cs="Arial" w:eastAsia="Arial" w:hAnsi="Arial"/>
          <w:sz w:val="20"/>
          <w:szCs w:val="20"/>
          <w:color w:val="auto"/>
        </w:rPr>
        <w:t>In mid-2025, the Company’s development partner in Greater China, Nuance Pharma, is expected to report results from its pivotal Phase 3 trial evaluating ensifentrine for the maintenance treatment of COPD in China.</w:t>
      </w:r>
    </w:p>
    <w:p>
      <w:pPr>
        <w:spacing w:after="0" w:line="72" w:lineRule="exact"/>
        <w:rPr>
          <w:sz w:val="20"/>
          <w:szCs w:val="20"/>
          <w:color w:val="auto"/>
        </w:rPr>
      </w:pPr>
    </w:p>
    <w:p>
      <w:pPr>
        <w:spacing w:after="0"/>
        <w:rPr>
          <w:sz w:val="20"/>
          <w:szCs w:val="20"/>
          <w:color w:val="auto"/>
        </w:rPr>
      </w:pPr>
      <w:r>
        <w:rPr>
          <w:rFonts w:ascii="Arial" w:cs="Arial" w:eastAsia="Arial" w:hAnsi="Arial"/>
          <w:sz w:val="20"/>
          <w:szCs w:val="20"/>
          <w:b w:val="1"/>
          <w:bCs w:val="1"/>
          <w:color w:val="232323"/>
        </w:rPr>
        <w:t>Fourth Quarter and Recent Highlights</w:t>
      </w:r>
    </w:p>
    <w:p>
      <w:pPr>
        <w:spacing w:after="0" w:line="83" w:lineRule="exact"/>
        <w:rPr>
          <w:sz w:val="20"/>
          <w:szCs w:val="20"/>
          <w:color w:val="auto"/>
        </w:rPr>
      </w:pPr>
    </w:p>
    <w:p>
      <w:pPr>
        <w:jc w:val="both"/>
        <w:ind w:left="660" w:hanging="328"/>
        <w:spacing w:after="0" w:line="229" w:lineRule="auto"/>
        <w:tabs>
          <w:tab w:leader="none" w:pos="648" w:val="left"/>
        </w:tabs>
        <w:numPr>
          <w:ilvl w:val="0"/>
          <w:numId w:val="4"/>
        </w:numPr>
        <w:rPr>
          <w:rFonts w:ascii="Arial" w:cs="Arial" w:eastAsia="Arial" w:hAnsi="Arial"/>
          <w:sz w:val="19"/>
          <w:szCs w:val="19"/>
          <w:color w:val="auto"/>
        </w:rPr>
      </w:pPr>
      <w:r>
        <w:rPr>
          <w:rFonts w:ascii="Arial" w:cs="Arial" w:eastAsia="Arial" w:hAnsi="Arial"/>
          <w:sz w:val="19"/>
          <w:szCs w:val="19"/>
          <w:color w:val="auto"/>
        </w:rPr>
        <w:t>In October 2024, the Company gave four oral presentations and presented two posters on analyses from the ENHANCE studies at CHEST Annual Meeting 2024. These included subgroup data supporting improvements in lung function, symptoms and quality of life, as well as reductions in the rate of exacerbations, regardless of COPD severity (moderate or severe), smoking status (current or former) and chronic bronchitis (with or without). An analysis of Ohtuvayre’s impact on reducing exacerbation rates and COPD-related healthcare resource utilization was also presented.</w:t>
      </w:r>
    </w:p>
    <w:p>
      <w:pPr>
        <w:spacing w:after="0" w:line="51" w:lineRule="exact"/>
        <w:rPr>
          <w:rFonts w:ascii="Arial" w:cs="Arial" w:eastAsia="Arial" w:hAnsi="Arial"/>
          <w:sz w:val="19"/>
          <w:szCs w:val="19"/>
          <w:color w:val="auto"/>
        </w:rPr>
      </w:pPr>
    </w:p>
    <w:p>
      <w:pPr>
        <w:ind w:left="640" w:hanging="308"/>
        <w:spacing w:after="0"/>
        <w:tabs>
          <w:tab w:leader="none" w:pos="640" w:val="left"/>
        </w:tabs>
        <w:numPr>
          <w:ilvl w:val="0"/>
          <w:numId w:val="4"/>
        </w:numPr>
        <w:rPr>
          <w:rFonts w:ascii="Arial" w:cs="Arial" w:eastAsia="Arial" w:hAnsi="Arial"/>
          <w:sz w:val="20"/>
          <w:szCs w:val="20"/>
          <w:color w:val="auto"/>
        </w:rPr>
      </w:pPr>
      <w:r>
        <w:rPr>
          <w:rFonts w:ascii="Arial" w:cs="Arial" w:eastAsia="Arial" w:hAnsi="Arial"/>
          <w:sz w:val="20"/>
          <w:szCs w:val="20"/>
          <w:color w:val="auto"/>
        </w:rPr>
        <w:t>In November 2024, the 2025 GOLD report added Ohtuvayre to the COPD treatment algorithm.</w:t>
      </w:r>
    </w:p>
    <w:p>
      <w:pPr>
        <w:spacing w:after="0" w:line="80" w:lineRule="exact"/>
        <w:rPr>
          <w:rFonts w:ascii="Arial" w:cs="Arial" w:eastAsia="Arial" w:hAnsi="Arial"/>
          <w:sz w:val="20"/>
          <w:szCs w:val="20"/>
          <w:color w:val="auto"/>
        </w:rPr>
      </w:pPr>
    </w:p>
    <w:p>
      <w:pPr>
        <w:ind w:left="660" w:hanging="328"/>
        <w:spacing w:after="0" w:line="234" w:lineRule="auto"/>
        <w:tabs>
          <w:tab w:leader="none" w:pos="648" w:val="left"/>
        </w:tabs>
        <w:numPr>
          <w:ilvl w:val="0"/>
          <w:numId w:val="4"/>
        </w:numPr>
        <w:rPr>
          <w:rFonts w:ascii="Arial" w:cs="Arial" w:eastAsia="Arial" w:hAnsi="Arial"/>
          <w:sz w:val="20"/>
          <w:szCs w:val="20"/>
          <w:color w:val="auto"/>
        </w:rPr>
      </w:pPr>
      <w:r>
        <w:rPr>
          <w:rFonts w:ascii="Arial" w:cs="Arial" w:eastAsia="Arial" w:hAnsi="Arial"/>
          <w:sz w:val="20"/>
          <w:szCs w:val="20"/>
          <w:color w:val="auto"/>
        </w:rPr>
        <w:t>Also in November 2024, the Company completed enrollment in a Phase 2 dose-ranging trial with glycopyrrolate, a LAMA, supporting a fixed-dose combination program for the maintenance treatment of COPD via a nebulizer.</w:t>
      </w:r>
    </w:p>
    <w:p>
      <w:pPr>
        <w:spacing w:after="0" w:line="51" w:lineRule="exact"/>
        <w:rPr>
          <w:rFonts w:ascii="Arial" w:cs="Arial" w:eastAsia="Arial" w:hAnsi="Arial"/>
          <w:sz w:val="20"/>
          <w:szCs w:val="20"/>
          <w:color w:val="auto"/>
        </w:rPr>
      </w:pPr>
    </w:p>
    <w:p>
      <w:pPr>
        <w:ind w:left="640" w:hanging="308"/>
        <w:spacing w:after="0"/>
        <w:tabs>
          <w:tab w:leader="none" w:pos="640" w:val="left"/>
        </w:tabs>
        <w:numPr>
          <w:ilvl w:val="0"/>
          <w:numId w:val="4"/>
        </w:numPr>
        <w:rPr>
          <w:rFonts w:ascii="Arial" w:cs="Arial" w:eastAsia="Arial" w:hAnsi="Arial"/>
          <w:sz w:val="20"/>
          <w:szCs w:val="20"/>
          <w:color w:val="auto"/>
        </w:rPr>
      </w:pPr>
      <w:r>
        <w:rPr>
          <w:rFonts w:ascii="Arial" w:cs="Arial" w:eastAsia="Arial" w:hAnsi="Arial"/>
          <w:sz w:val="20"/>
          <w:szCs w:val="20"/>
          <w:color w:val="auto"/>
        </w:rPr>
        <w:t>On January 1, 2025, Ohtuvayre’s product specific J-code became effective.</w:t>
      </w:r>
    </w:p>
    <w:p>
      <w:pPr>
        <w:spacing w:after="0" w:line="80" w:lineRule="exact"/>
        <w:rPr>
          <w:rFonts w:ascii="Arial" w:cs="Arial" w:eastAsia="Arial" w:hAnsi="Arial"/>
          <w:sz w:val="20"/>
          <w:szCs w:val="20"/>
          <w:color w:val="auto"/>
        </w:rPr>
      </w:pPr>
    </w:p>
    <w:p>
      <w:pPr>
        <w:jc w:val="both"/>
        <w:ind w:left="660" w:hanging="328"/>
        <w:spacing w:after="0" w:line="227" w:lineRule="auto"/>
        <w:tabs>
          <w:tab w:leader="none" w:pos="648" w:val="left"/>
        </w:tabs>
        <w:numPr>
          <w:ilvl w:val="0"/>
          <w:numId w:val="4"/>
        </w:numPr>
        <w:rPr>
          <w:rFonts w:ascii="Arial" w:cs="Arial" w:eastAsia="Arial" w:hAnsi="Arial"/>
          <w:sz w:val="20"/>
          <w:szCs w:val="20"/>
          <w:color w:val="auto"/>
        </w:rPr>
      </w:pPr>
      <w:r>
        <w:rPr>
          <w:rFonts w:ascii="Arial" w:cs="Arial" w:eastAsia="Arial" w:hAnsi="Arial"/>
          <w:sz w:val="20"/>
          <w:szCs w:val="20"/>
          <w:color w:val="auto"/>
        </w:rPr>
        <w:t>In February 2025, the Company’s development partner in Greater China, Nuance Pharma, announced Ohtuvayre has been approved in Macau for the maintenance treatment of COPD in adult patients. This is the first regulatory approval outside of the US.</w:t>
      </w:r>
    </w:p>
    <w:p>
      <w:pPr>
        <w:spacing w:after="0" w:line="4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Fourth Quarter 2024 Financial Results</w:t>
      </w:r>
    </w:p>
    <w:p>
      <w:pPr>
        <w:spacing w:after="0" w:line="67" w:lineRule="exact"/>
        <w:rPr>
          <w:sz w:val="20"/>
          <w:szCs w:val="20"/>
          <w:color w:val="auto"/>
        </w:rPr>
      </w:pPr>
    </w:p>
    <w:p>
      <w:pPr>
        <w:ind w:left="660" w:right="20" w:hanging="328"/>
        <w:spacing w:after="0" w:line="245" w:lineRule="auto"/>
        <w:tabs>
          <w:tab w:leader="none" w:pos="648" w:val="left"/>
        </w:tabs>
        <w:numPr>
          <w:ilvl w:val="0"/>
          <w:numId w:val="5"/>
        </w:numPr>
        <w:rPr>
          <w:rFonts w:ascii="Arial" w:cs="Arial" w:eastAsia="Arial" w:hAnsi="Arial"/>
          <w:sz w:val="20"/>
          <w:szCs w:val="20"/>
          <w:color w:val="auto"/>
        </w:rPr>
      </w:pPr>
      <w:r>
        <w:rPr>
          <w:rFonts w:ascii="Arial" w:cs="Arial" w:eastAsia="Arial" w:hAnsi="Arial"/>
          <w:sz w:val="20"/>
          <w:szCs w:val="20"/>
          <w:b w:val="1"/>
          <w:bCs w:val="1"/>
          <w:color w:val="auto"/>
        </w:rPr>
        <w:t xml:space="preserve">Cash position: </w:t>
      </w:r>
      <w:r>
        <w:rPr>
          <w:rFonts w:ascii="Arial" w:cs="Arial" w:eastAsia="Arial" w:hAnsi="Arial"/>
          <w:sz w:val="20"/>
          <w:szCs w:val="20"/>
          <w:color w:val="auto"/>
        </w:rPr>
        <w:t>Cash and cash equivalents at December 31, 2024, were $399.8 million (December 31, 2023: $271.8</w:t>
      </w:r>
      <w:r>
        <w:rPr>
          <w:rFonts w:ascii="Arial" w:cs="Arial" w:eastAsia="Arial" w:hAnsi="Arial"/>
          <w:sz w:val="20"/>
          <w:szCs w:val="20"/>
          <w:b w:val="1"/>
          <w:bCs w:val="1"/>
          <w:color w:val="auto"/>
        </w:rPr>
        <w:t xml:space="preserve"> </w:t>
      </w:r>
      <w:r>
        <w:rPr>
          <w:rFonts w:ascii="Arial" w:cs="Arial" w:eastAsia="Arial" w:hAnsi="Arial"/>
          <w:sz w:val="20"/>
          <w:szCs w:val="20"/>
          <w:color w:val="auto"/>
        </w:rPr>
        <w:t>million).</w:t>
      </w:r>
    </w:p>
    <w:p>
      <w:pPr>
        <w:spacing w:after="0" w:line="43" w:lineRule="exact"/>
        <w:rPr>
          <w:rFonts w:ascii="Arial" w:cs="Arial" w:eastAsia="Arial" w:hAnsi="Arial"/>
          <w:sz w:val="20"/>
          <w:szCs w:val="20"/>
          <w:color w:val="auto"/>
        </w:rPr>
      </w:pPr>
    </w:p>
    <w:p>
      <w:pPr>
        <w:jc w:val="both"/>
        <w:ind w:left="660" w:hanging="328"/>
        <w:spacing w:after="0" w:line="227" w:lineRule="auto"/>
        <w:tabs>
          <w:tab w:leader="none" w:pos="648" w:val="left"/>
        </w:tabs>
        <w:numPr>
          <w:ilvl w:val="0"/>
          <w:numId w:val="5"/>
        </w:numPr>
        <w:rPr>
          <w:rFonts w:ascii="Arial" w:cs="Arial" w:eastAsia="Arial" w:hAnsi="Arial"/>
          <w:sz w:val="20"/>
          <w:szCs w:val="20"/>
          <w:color w:val="auto"/>
        </w:rPr>
      </w:pPr>
      <w:r>
        <w:rPr>
          <w:rFonts w:ascii="Arial" w:cs="Arial" w:eastAsia="Arial" w:hAnsi="Arial"/>
          <w:sz w:val="20"/>
          <w:szCs w:val="20"/>
          <w:b w:val="1"/>
          <w:bCs w:val="1"/>
          <w:color w:val="auto"/>
        </w:rPr>
        <w:t xml:space="preserve">Product sales: </w:t>
      </w:r>
      <w:r>
        <w:rPr>
          <w:rFonts w:ascii="Arial" w:cs="Arial" w:eastAsia="Arial" w:hAnsi="Arial"/>
          <w:sz w:val="20"/>
          <w:szCs w:val="20"/>
          <w:color w:val="auto"/>
        </w:rPr>
        <w:t>Net sales of Ohtuvayre were $36.6 million for the fourth quarter ended December 31, 2024 (Q4 2023: $0</w:t>
      </w:r>
      <w:r>
        <w:rPr>
          <w:rFonts w:ascii="Arial" w:cs="Arial" w:eastAsia="Arial" w:hAnsi="Arial"/>
          <w:sz w:val="20"/>
          <w:szCs w:val="20"/>
          <w:b w:val="1"/>
          <w:bCs w:val="1"/>
          <w:color w:val="auto"/>
        </w:rPr>
        <w:t xml:space="preserve"> </w:t>
      </w:r>
      <w:r>
        <w:rPr>
          <w:rFonts w:ascii="Arial" w:cs="Arial" w:eastAsia="Arial" w:hAnsi="Arial"/>
          <w:sz w:val="20"/>
          <w:szCs w:val="20"/>
          <w:color w:val="auto"/>
        </w:rPr>
        <w:t>million). The Company received FDA approval on June 26, 2024 and the product was commercially available beginning in August 2024.</w:t>
      </w:r>
    </w:p>
    <w:p>
      <w:pPr>
        <w:spacing w:after="0" w:line="49" w:lineRule="exact"/>
        <w:rPr>
          <w:rFonts w:ascii="Arial" w:cs="Arial" w:eastAsia="Arial" w:hAnsi="Arial"/>
          <w:sz w:val="20"/>
          <w:szCs w:val="20"/>
          <w:color w:val="auto"/>
        </w:rPr>
      </w:pPr>
    </w:p>
    <w:p>
      <w:pPr>
        <w:jc w:val="both"/>
        <w:ind w:left="660" w:hanging="328"/>
        <w:spacing w:after="0" w:line="227" w:lineRule="auto"/>
        <w:tabs>
          <w:tab w:leader="none" w:pos="648" w:val="left"/>
        </w:tabs>
        <w:numPr>
          <w:ilvl w:val="0"/>
          <w:numId w:val="5"/>
        </w:numPr>
        <w:rPr>
          <w:rFonts w:ascii="Arial" w:cs="Arial" w:eastAsia="Arial" w:hAnsi="Arial"/>
          <w:sz w:val="20"/>
          <w:szCs w:val="20"/>
          <w:color w:val="auto"/>
        </w:rPr>
      </w:pPr>
      <w:r>
        <w:rPr>
          <w:rFonts w:ascii="Arial" w:cs="Arial" w:eastAsia="Arial" w:hAnsi="Arial"/>
          <w:sz w:val="20"/>
          <w:szCs w:val="20"/>
          <w:b w:val="1"/>
          <w:bCs w:val="1"/>
          <w:color w:val="auto"/>
        </w:rPr>
        <w:t xml:space="preserve">Cost of sales: </w:t>
      </w:r>
      <w:r>
        <w:rPr>
          <w:rFonts w:ascii="Arial" w:cs="Arial" w:eastAsia="Arial" w:hAnsi="Arial"/>
          <w:sz w:val="20"/>
          <w:szCs w:val="20"/>
          <w:color w:val="auto"/>
        </w:rPr>
        <w:t>Cost of sales was $2.0 million for the fourth quarter ended December 31, 2024 (Q4 2023: $0 million),</w:t>
      </w:r>
      <w:r>
        <w:rPr>
          <w:rFonts w:ascii="Arial" w:cs="Arial" w:eastAsia="Arial" w:hAnsi="Arial"/>
          <w:sz w:val="20"/>
          <w:szCs w:val="20"/>
          <w:b w:val="1"/>
          <w:bCs w:val="1"/>
          <w:color w:val="auto"/>
        </w:rPr>
        <w:t xml:space="preserve"> </w:t>
      </w:r>
      <w:r>
        <w:rPr>
          <w:rFonts w:ascii="Arial" w:cs="Arial" w:eastAsia="Arial" w:hAnsi="Arial"/>
          <w:sz w:val="20"/>
          <w:szCs w:val="20"/>
          <w:color w:val="auto"/>
        </w:rPr>
        <w:t>which included Ohtuvayre manufacturing costs incurred after US approval, inventory overhead costs and sales-based royalties.</w:t>
      </w:r>
    </w:p>
    <w:p>
      <w:pPr>
        <w:spacing w:after="0" w:line="62" w:lineRule="exact"/>
        <w:rPr>
          <w:rFonts w:ascii="Arial" w:cs="Arial" w:eastAsia="Arial" w:hAnsi="Arial"/>
          <w:sz w:val="20"/>
          <w:szCs w:val="20"/>
          <w:color w:val="auto"/>
        </w:rPr>
      </w:pPr>
    </w:p>
    <w:p>
      <w:pPr>
        <w:ind w:left="640" w:hanging="308"/>
        <w:spacing w:after="0"/>
        <w:tabs>
          <w:tab w:leader="none" w:pos="640" w:val="left"/>
        </w:tabs>
        <w:numPr>
          <w:ilvl w:val="0"/>
          <w:numId w:val="5"/>
        </w:numPr>
        <w:rPr>
          <w:rFonts w:ascii="Arial" w:cs="Arial" w:eastAsia="Arial" w:hAnsi="Arial"/>
          <w:sz w:val="19"/>
          <w:szCs w:val="19"/>
          <w:color w:val="auto"/>
        </w:rPr>
      </w:pPr>
      <w:r>
        <w:rPr>
          <w:rFonts w:ascii="Arial" w:cs="Arial" w:eastAsia="Arial" w:hAnsi="Arial"/>
          <w:sz w:val="19"/>
          <w:szCs w:val="19"/>
          <w:b w:val="1"/>
          <w:bCs w:val="1"/>
          <w:color w:val="auto"/>
        </w:rPr>
        <w:t xml:space="preserve">R&amp;D Expenses: </w:t>
      </w:r>
      <w:r>
        <w:rPr>
          <w:rFonts w:ascii="Arial" w:cs="Arial" w:eastAsia="Arial" w:hAnsi="Arial"/>
          <w:sz w:val="19"/>
          <w:szCs w:val="19"/>
          <w:color w:val="auto"/>
        </w:rPr>
        <w:t>Research and development (“R&amp;D”) expenses were $7.9 million for the fourth quarter ended December</w:t>
      </w:r>
    </w:p>
    <w:p>
      <w:pPr>
        <w:spacing w:after="0" w:line="17" w:lineRule="exact"/>
        <w:rPr>
          <w:rFonts w:ascii="Arial" w:cs="Arial" w:eastAsia="Arial" w:hAnsi="Arial"/>
          <w:sz w:val="19"/>
          <w:szCs w:val="19"/>
          <w:color w:val="auto"/>
        </w:rPr>
      </w:pPr>
    </w:p>
    <w:p>
      <w:pPr>
        <w:jc w:val="both"/>
        <w:ind w:left="660"/>
        <w:spacing w:after="0" w:line="236" w:lineRule="auto"/>
        <w:rPr>
          <w:rFonts w:ascii="Arial" w:cs="Arial" w:eastAsia="Arial" w:hAnsi="Arial"/>
          <w:sz w:val="19"/>
          <w:szCs w:val="19"/>
          <w:color w:val="auto"/>
        </w:rPr>
      </w:pPr>
      <w:r>
        <w:rPr>
          <w:rFonts w:ascii="Arial" w:cs="Arial" w:eastAsia="Arial" w:hAnsi="Arial"/>
          <w:sz w:val="20"/>
          <w:szCs w:val="20"/>
          <w:color w:val="auto"/>
        </w:rPr>
        <w:t>31, 2024 (Q4 2023: $4.1 million). This increase of $3.8 million was primarily due to an increase of $3.2 million in clinical trial and other development costs as we initiated two Phase 2 studies in the third quarter of 2024 related to the combination of nebulized ensifentrine and glycopyrrolate and for Ohtuvayre in patients with bronchiectasis, and an increase of $1.1 million in share-based compensation.</w:t>
      </w:r>
    </w:p>
    <w:p>
      <w:pPr>
        <w:spacing w:after="0" w:line="51" w:lineRule="exact"/>
        <w:rPr>
          <w:rFonts w:ascii="Arial" w:cs="Arial" w:eastAsia="Arial" w:hAnsi="Arial"/>
          <w:sz w:val="19"/>
          <w:szCs w:val="19"/>
          <w:color w:val="auto"/>
        </w:rPr>
      </w:pPr>
    </w:p>
    <w:p>
      <w:pPr>
        <w:ind w:left="660" w:hanging="328"/>
        <w:spacing w:after="0"/>
        <w:tabs>
          <w:tab w:leader="none" w:pos="660" w:val="left"/>
        </w:tabs>
        <w:numPr>
          <w:ilvl w:val="0"/>
          <w:numId w:val="5"/>
        </w:numPr>
        <w:rPr>
          <w:rFonts w:ascii="Arial" w:cs="Arial" w:eastAsia="Arial" w:hAnsi="Arial"/>
          <w:sz w:val="17"/>
          <w:szCs w:val="17"/>
          <w:color w:val="auto"/>
        </w:rPr>
      </w:pPr>
      <w:r>
        <w:rPr>
          <w:rFonts w:ascii="Arial" w:cs="Arial" w:eastAsia="Arial" w:hAnsi="Arial"/>
          <w:sz w:val="19"/>
          <w:szCs w:val="19"/>
          <w:b w:val="1"/>
          <w:bCs w:val="1"/>
          <w:color w:val="auto"/>
        </w:rPr>
        <w:t xml:space="preserve">SG&amp;A Expenses: </w:t>
      </w:r>
      <w:r>
        <w:rPr>
          <w:rFonts w:ascii="Arial" w:cs="Arial" w:eastAsia="Arial" w:hAnsi="Arial"/>
          <w:sz w:val="19"/>
          <w:szCs w:val="19"/>
          <w:color w:val="auto"/>
        </w:rPr>
        <w:t>Selling general and administrative expenses (“SG&amp;A”) were $45.1 million for the fourth quarter ended</w:t>
      </w:r>
    </w:p>
    <w:p>
      <w:pPr>
        <w:ind w:left="660"/>
        <w:spacing w:after="0"/>
        <w:rPr>
          <w:rFonts w:ascii="Arial" w:cs="Arial" w:eastAsia="Arial" w:hAnsi="Arial"/>
          <w:sz w:val="17"/>
          <w:szCs w:val="17"/>
          <w:color w:val="auto"/>
        </w:rPr>
      </w:pPr>
      <w:r>
        <w:rPr>
          <w:rFonts w:ascii="Arial" w:cs="Arial" w:eastAsia="Arial" w:hAnsi="Arial"/>
          <w:sz w:val="20"/>
          <w:szCs w:val="20"/>
          <w:color w:val="auto"/>
        </w:rPr>
        <w:t>December 31, 2024 (Q4 2023: $15.0 million). The</w:t>
      </w:r>
    </w:p>
    <w:p>
      <w:pPr>
        <w:sectPr>
          <w:pgSz w:w="11900" w:h="16838" w:orient="portrait"/>
          <w:cols w:equalWidth="0" w:num="1">
            <w:col w:w="11240"/>
          </w:cols>
          <w:pgMar w:left="320" w:top="1398" w:right="339" w:bottom="1440" w:gutter="0" w:footer="0" w:header="0"/>
        </w:sectPr>
      </w:pPr>
    </w:p>
    <w:bookmarkStart w:id="6" w:name="page7"/>
    <w:bookmarkEnd w:id="6"/>
    <w:p>
      <w:pPr>
        <w:ind w:left="660"/>
        <w:spacing w:after="0"/>
        <w:rPr>
          <w:sz w:val="20"/>
          <w:szCs w:val="20"/>
          <w:color w:val="auto"/>
        </w:rPr>
      </w:pPr>
      <w:r>
        <w:rPr>
          <w:rFonts w:ascii="Arial" w:cs="Arial" w:eastAsia="Arial" w:hAnsi="Arial"/>
          <w:sz w:val="20"/>
          <w:szCs w:val="20"/>
          <w:color w:val="auto"/>
        </w:rPr>
        <w:t>increase of $30.1 million was driven primarily by an increase of $9.8 million in marketing and other commercial related</w:t>
      </w:r>
    </w:p>
    <w:p>
      <w:pPr>
        <w:ind w:left="660"/>
        <w:spacing w:after="0" w:line="204" w:lineRule="auto"/>
        <w:rPr>
          <w:sz w:val="20"/>
          <w:szCs w:val="20"/>
          <w:color w:val="auto"/>
        </w:rPr>
      </w:pPr>
      <w:r>
        <w:rPr>
          <w:rFonts w:ascii="Arial" w:cs="Arial" w:eastAsia="Arial" w:hAnsi="Arial"/>
          <w:sz w:val="20"/>
          <w:szCs w:val="20"/>
          <w:color w:val="auto"/>
        </w:rPr>
        <w:t>activities, including travel, primarily related to the launch of Ohtuvayre, and an increase of $2.6 million in professional and consulting fees, information technology costs and other support costs due to the continued buildout of our</w:t>
      </w:r>
    </w:p>
    <w:p>
      <w:pPr>
        <w:ind w:left="660"/>
        <w:spacing w:after="0" w:line="211" w:lineRule="auto"/>
        <w:rPr>
          <w:sz w:val="20"/>
          <w:szCs w:val="20"/>
          <w:color w:val="auto"/>
        </w:rPr>
      </w:pPr>
      <w:r>
        <w:rPr>
          <w:rFonts w:ascii="Arial" w:cs="Arial" w:eastAsia="Arial" w:hAnsi="Arial"/>
          <w:sz w:val="20"/>
          <w:szCs w:val="20"/>
          <w:color w:val="auto"/>
        </w:rPr>
        <w:t>commercial organization. Additionally, we had an increase of $8.8 million in people-related costs as we built out our</w:t>
      </w:r>
    </w:p>
    <w:p>
      <w:pPr>
        <w:spacing w:after="0" w:line="1" w:lineRule="exact"/>
        <w:rPr>
          <w:sz w:val="20"/>
          <w:szCs w:val="20"/>
          <w:color w:val="auto"/>
        </w:rPr>
      </w:pPr>
    </w:p>
    <w:p>
      <w:pPr>
        <w:ind w:left="660"/>
        <w:spacing w:after="0" w:line="225" w:lineRule="auto"/>
        <w:rPr>
          <w:sz w:val="20"/>
          <w:szCs w:val="20"/>
          <w:color w:val="auto"/>
        </w:rPr>
      </w:pPr>
      <w:r>
        <w:rPr>
          <w:rFonts w:ascii="Arial" w:cs="Arial" w:eastAsia="Arial" w:hAnsi="Arial"/>
          <w:sz w:val="20"/>
          <w:szCs w:val="20"/>
          <w:color w:val="auto"/>
        </w:rPr>
        <w:t>commercial organization including much of the field sales team as well as an increase of $7.8 million related to share-based compensation.</w:t>
      </w:r>
    </w:p>
    <w:p>
      <w:pPr>
        <w:spacing w:after="0" w:line="48"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Arial" w:cs="Arial" w:eastAsia="Arial" w:hAnsi="Arial"/>
          <w:sz w:val="20"/>
          <w:szCs w:val="20"/>
          <w:b w:val="1"/>
          <w:bCs w:val="1"/>
          <w:color w:val="auto"/>
        </w:rPr>
        <w:t xml:space="preserve">Net loss: </w:t>
      </w:r>
      <w:r>
        <w:rPr>
          <w:rFonts w:ascii="Arial" w:cs="Arial" w:eastAsia="Arial" w:hAnsi="Arial"/>
          <w:sz w:val="20"/>
          <w:szCs w:val="20"/>
          <w:color w:val="auto"/>
        </w:rPr>
        <w:t>Net loss was $33.8 million for the fourth quarter ended December 31, 2024 (Q4 2023: Net loss $14.1 million).</w:t>
      </w:r>
    </w:p>
    <w:p>
      <w:pPr>
        <w:spacing w:after="0" w:line="10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Arial" w:cs="Arial" w:eastAsia="Arial" w:hAnsi="Arial"/>
          <w:sz w:val="20"/>
          <w:szCs w:val="20"/>
          <w:b w:val="1"/>
          <w:bCs w:val="1"/>
          <w:color w:val="auto"/>
        </w:rPr>
        <w:t>Full Year 2024 Financial Results</w:t>
      </w:r>
    </w:p>
    <w:p>
      <w:pPr>
        <w:spacing w:after="0" w:line="80" w:lineRule="exact"/>
        <w:rPr>
          <w:rFonts w:ascii="Times New Roman" w:cs="Times New Roman" w:eastAsia="Times New Roman" w:hAnsi="Times New Roman"/>
          <w:sz w:val="18"/>
          <w:szCs w:val="18"/>
          <w:color w:val="auto"/>
        </w:rPr>
      </w:pPr>
    </w:p>
    <w:p>
      <w:pPr>
        <w:ind w:left="660" w:hanging="328"/>
        <w:spacing w:after="0" w:line="244" w:lineRule="auto"/>
        <w:tabs>
          <w:tab w:leader="none" w:pos="648" w:val="left"/>
        </w:tabs>
        <w:numPr>
          <w:ilvl w:val="0"/>
          <w:numId w:val="6"/>
        </w:numPr>
        <w:rPr>
          <w:rFonts w:ascii="Times New Roman" w:cs="Times New Roman" w:eastAsia="Times New Roman" w:hAnsi="Times New Roman"/>
          <w:sz w:val="20"/>
          <w:szCs w:val="20"/>
          <w:color w:val="auto"/>
        </w:rPr>
      </w:pPr>
      <w:r>
        <w:rPr>
          <w:rFonts w:ascii="Arial" w:cs="Arial" w:eastAsia="Arial" w:hAnsi="Arial"/>
          <w:sz w:val="20"/>
          <w:szCs w:val="20"/>
          <w:b w:val="1"/>
          <w:bCs w:val="1"/>
          <w:color w:val="auto"/>
        </w:rPr>
        <w:t xml:space="preserve">Product sales: </w:t>
      </w:r>
      <w:r>
        <w:rPr>
          <w:rFonts w:ascii="Arial" w:cs="Arial" w:eastAsia="Arial" w:hAnsi="Arial"/>
          <w:sz w:val="20"/>
          <w:szCs w:val="20"/>
          <w:color w:val="auto"/>
        </w:rPr>
        <w:t>Net sales were $42.3 million for the year ended December 31, 2024 (2023: $0 million) related to product</w:t>
      </w:r>
      <w:r>
        <w:rPr>
          <w:rFonts w:ascii="Arial" w:cs="Arial" w:eastAsia="Arial" w:hAnsi="Arial"/>
          <w:sz w:val="20"/>
          <w:szCs w:val="20"/>
          <w:b w:val="1"/>
          <w:bCs w:val="1"/>
          <w:color w:val="auto"/>
        </w:rPr>
        <w:t xml:space="preserve"> </w:t>
      </w:r>
      <w:r>
        <w:rPr>
          <w:rFonts w:ascii="Arial" w:cs="Arial" w:eastAsia="Arial" w:hAnsi="Arial"/>
          <w:sz w:val="20"/>
          <w:szCs w:val="20"/>
          <w:color w:val="auto"/>
        </w:rPr>
        <w:t>sales of Ohtuvayre.</w:t>
      </w:r>
    </w:p>
    <w:p>
      <w:pPr>
        <w:spacing w:after="0" w:line="30" w:lineRule="exact"/>
        <w:rPr>
          <w:rFonts w:ascii="Times New Roman" w:cs="Times New Roman" w:eastAsia="Times New Roman" w:hAnsi="Times New Roman"/>
          <w:sz w:val="20"/>
          <w:szCs w:val="20"/>
          <w:color w:val="auto"/>
        </w:rPr>
      </w:pPr>
    </w:p>
    <w:p>
      <w:pPr>
        <w:ind w:left="660" w:hanging="328"/>
        <w:spacing w:after="0" w:line="245" w:lineRule="auto"/>
        <w:tabs>
          <w:tab w:leader="none" w:pos="648" w:val="left"/>
        </w:tabs>
        <w:numPr>
          <w:ilvl w:val="0"/>
          <w:numId w:val="6"/>
        </w:numPr>
        <w:rPr>
          <w:rFonts w:ascii="Arial" w:cs="Arial" w:eastAsia="Arial" w:hAnsi="Arial"/>
          <w:sz w:val="20"/>
          <w:szCs w:val="20"/>
          <w:color w:val="auto"/>
        </w:rPr>
      </w:pPr>
      <w:r>
        <w:rPr>
          <w:rFonts w:ascii="Arial" w:cs="Arial" w:eastAsia="Arial" w:hAnsi="Arial"/>
          <w:sz w:val="20"/>
          <w:szCs w:val="20"/>
          <w:b w:val="1"/>
          <w:bCs w:val="1"/>
          <w:color w:val="auto"/>
        </w:rPr>
        <w:t xml:space="preserve">Cost of sales: </w:t>
      </w:r>
      <w:r>
        <w:rPr>
          <w:rFonts w:ascii="Arial" w:cs="Arial" w:eastAsia="Arial" w:hAnsi="Arial"/>
          <w:sz w:val="20"/>
          <w:szCs w:val="20"/>
          <w:color w:val="auto"/>
        </w:rPr>
        <w:t>Cost of sales was $2.6 million for the year ended December 31, 2024 (2023: $0 million), which included</w:t>
      </w:r>
      <w:r>
        <w:rPr>
          <w:rFonts w:ascii="Arial" w:cs="Arial" w:eastAsia="Arial" w:hAnsi="Arial"/>
          <w:sz w:val="20"/>
          <w:szCs w:val="20"/>
          <w:b w:val="1"/>
          <w:bCs w:val="1"/>
          <w:color w:val="auto"/>
        </w:rPr>
        <w:t xml:space="preserve"> </w:t>
      </w:r>
      <w:r>
        <w:rPr>
          <w:rFonts w:ascii="Arial" w:cs="Arial" w:eastAsia="Arial" w:hAnsi="Arial"/>
          <w:sz w:val="20"/>
          <w:szCs w:val="20"/>
          <w:color w:val="auto"/>
        </w:rPr>
        <w:t>Ohtuvayre manufacturing costs incurred after US approval, inventory overhead costs and sales-based royalties.</w:t>
      </w:r>
    </w:p>
    <w:p>
      <w:pPr>
        <w:spacing w:after="0" w:line="43" w:lineRule="exact"/>
        <w:rPr>
          <w:rFonts w:ascii="Arial" w:cs="Arial" w:eastAsia="Arial" w:hAnsi="Arial"/>
          <w:sz w:val="20"/>
          <w:szCs w:val="20"/>
          <w:color w:val="auto"/>
        </w:rPr>
      </w:pPr>
    </w:p>
    <w:p>
      <w:pPr>
        <w:jc w:val="both"/>
        <w:ind w:left="660" w:hanging="328"/>
        <w:spacing w:after="0" w:line="213" w:lineRule="auto"/>
        <w:tabs>
          <w:tab w:leader="none" w:pos="648" w:val="left"/>
        </w:tabs>
        <w:numPr>
          <w:ilvl w:val="0"/>
          <w:numId w:val="6"/>
        </w:numPr>
        <w:rPr>
          <w:rFonts w:ascii="Arial" w:cs="Arial" w:eastAsia="Arial" w:hAnsi="Arial"/>
          <w:sz w:val="20"/>
          <w:szCs w:val="20"/>
          <w:color w:val="auto"/>
        </w:rPr>
      </w:pPr>
      <w:r>
        <w:rPr>
          <w:rFonts w:ascii="Arial" w:cs="Arial" w:eastAsia="Arial" w:hAnsi="Arial"/>
          <w:sz w:val="20"/>
          <w:szCs w:val="20"/>
          <w:b w:val="1"/>
          <w:bCs w:val="1"/>
          <w:color w:val="auto"/>
        </w:rPr>
        <w:t xml:space="preserve">R&amp;D Expenses: </w:t>
      </w:r>
      <w:r>
        <w:rPr>
          <w:rFonts w:ascii="Arial" w:cs="Arial" w:eastAsia="Arial" w:hAnsi="Arial"/>
          <w:sz w:val="20"/>
          <w:szCs w:val="20"/>
          <w:color w:val="auto"/>
        </w:rPr>
        <w:t>R&amp;D expenses were $44.6 million for the year ended December 31, 2024 (full year 2023: $17.2</w:t>
      </w:r>
      <w:r>
        <w:rPr>
          <w:rFonts w:ascii="Arial" w:cs="Arial" w:eastAsia="Arial" w:hAnsi="Arial"/>
          <w:sz w:val="20"/>
          <w:szCs w:val="20"/>
          <w:b w:val="1"/>
          <w:bCs w:val="1"/>
          <w:color w:val="auto"/>
        </w:rPr>
        <w:t xml:space="preserve"> </w:t>
      </w:r>
      <w:r>
        <w:rPr>
          <w:rFonts w:ascii="Arial" w:cs="Arial" w:eastAsia="Arial" w:hAnsi="Arial"/>
          <w:sz w:val="20"/>
          <w:szCs w:val="20"/>
          <w:color w:val="auto"/>
        </w:rPr>
        <w:t>million), an increase of $27.4 million. This increase was primarily due to an increase of $17.5 million in clinical trial and other development costs we incurred related to the two Phase 2 studies which were initiated in the third quarter of 2024 related to the combination of nebulized ensifentrine and glycopyrrolate and for Ohtuvayre in patients with bronchiectasis, the $6.3 million approval milestone, $3.1 million increase in share-based compensation, $2.0 million increase for people-related costs and $1.1 million related to pre-launch manufacturing costs for commercial supply. This was partially offset by a decrease of $1.3 million in consultant and professional fee costs which were higher in the prior year due to service costs associated with our New Drug Application and the related approval process.</w:t>
      </w:r>
    </w:p>
    <w:p>
      <w:pPr>
        <w:spacing w:after="0" w:line="7" w:lineRule="exact"/>
        <w:rPr>
          <w:rFonts w:ascii="Arial" w:cs="Arial" w:eastAsia="Arial" w:hAnsi="Arial"/>
          <w:sz w:val="20"/>
          <w:szCs w:val="20"/>
          <w:color w:val="auto"/>
        </w:rPr>
      </w:pPr>
    </w:p>
    <w:p>
      <w:pPr>
        <w:jc w:val="both"/>
        <w:ind w:left="660" w:hanging="328"/>
        <w:spacing w:after="0" w:line="215" w:lineRule="auto"/>
        <w:tabs>
          <w:tab w:leader="none" w:pos="648" w:val="left"/>
        </w:tabs>
        <w:numPr>
          <w:ilvl w:val="0"/>
          <w:numId w:val="6"/>
        </w:numPr>
        <w:rPr>
          <w:rFonts w:ascii="Arial" w:cs="Arial" w:eastAsia="Arial" w:hAnsi="Arial"/>
          <w:sz w:val="20"/>
          <w:szCs w:val="20"/>
          <w:color w:val="auto"/>
        </w:rPr>
      </w:pPr>
      <w:r>
        <w:rPr>
          <w:rFonts w:ascii="Arial" w:cs="Arial" w:eastAsia="Arial" w:hAnsi="Arial"/>
          <w:sz w:val="20"/>
          <w:szCs w:val="20"/>
          <w:b w:val="1"/>
          <w:bCs w:val="1"/>
          <w:color w:val="auto"/>
        </w:rPr>
        <w:t xml:space="preserve">SG&amp;A Expenses: </w:t>
      </w:r>
      <w:r>
        <w:rPr>
          <w:rFonts w:ascii="Arial" w:cs="Arial" w:eastAsia="Arial" w:hAnsi="Arial"/>
          <w:sz w:val="20"/>
          <w:szCs w:val="20"/>
          <w:color w:val="auto"/>
        </w:rPr>
        <w:t>SG&amp;A expenses were $149.8 million for the year ended December 31, 2024 (full year 2023: $50.4</w:t>
      </w:r>
      <w:r>
        <w:rPr>
          <w:rFonts w:ascii="Arial" w:cs="Arial" w:eastAsia="Arial" w:hAnsi="Arial"/>
          <w:sz w:val="20"/>
          <w:szCs w:val="20"/>
          <w:b w:val="1"/>
          <w:bCs w:val="1"/>
          <w:color w:val="auto"/>
        </w:rPr>
        <w:t xml:space="preserve"> </w:t>
      </w:r>
      <w:r>
        <w:rPr>
          <w:rFonts w:ascii="Arial" w:cs="Arial" w:eastAsia="Arial" w:hAnsi="Arial"/>
          <w:sz w:val="20"/>
          <w:szCs w:val="20"/>
          <w:color w:val="auto"/>
        </w:rPr>
        <w:t>million), an increase of $99.4 million. This increase was driven primarily by an increase of $29.7 million in marketing and other commercial related activities, including travel, primarily related to the launch of Ohtuvayre, a charge of $15.0 million for the first sale milestone and an increase of $7.3 million in professional and consulting fees, information technology costs and other support costs due to the continued buildout of our commercial organization. Additionally, we had an increase of $26.8 million in people-related costs as we built out our commercial organization including much of the field sales team as well as an increase of $18.8 million related to share-based compensation.</w:t>
      </w:r>
    </w:p>
    <w:p>
      <w:pPr>
        <w:spacing w:after="0" w:line="76" w:lineRule="exact"/>
        <w:rPr>
          <w:rFonts w:ascii="Arial" w:cs="Arial" w:eastAsia="Arial" w:hAnsi="Arial"/>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Arial" w:cs="Arial" w:eastAsia="Arial" w:hAnsi="Arial"/>
          <w:sz w:val="20"/>
          <w:szCs w:val="20"/>
          <w:b w:val="1"/>
          <w:bCs w:val="1"/>
          <w:color w:val="auto"/>
        </w:rPr>
        <w:t xml:space="preserve">Net loss: </w:t>
      </w:r>
      <w:r>
        <w:rPr>
          <w:rFonts w:ascii="Arial" w:cs="Arial" w:eastAsia="Arial" w:hAnsi="Arial"/>
          <w:sz w:val="20"/>
          <w:szCs w:val="20"/>
          <w:color w:val="auto"/>
        </w:rPr>
        <w:t>Net loss was $173.4 million for the year ended December 31, 2024 (full year 2023: $54.4 million).</w:t>
      </w:r>
    </w:p>
    <w:p>
      <w:pPr>
        <w:spacing w:after="0" w:line="1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Conference Call and Webcast Information</w:t>
      </w:r>
    </w:p>
    <w:p>
      <w:pPr>
        <w:spacing w:after="0" w:line="232" w:lineRule="auto"/>
        <w:rPr>
          <w:sz w:val="20"/>
          <w:szCs w:val="20"/>
          <w:color w:val="auto"/>
        </w:rPr>
      </w:pPr>
      <w:r>
        <w:rPr>
          <w:rFonts w:ascii="Arial" w:cs="Arial" w:eastAsia="Arial" w:hAnsi="Arial"/>
          <w:sz w:val="20"/>
          <w:szCs w:val="20"/>
          <w:color w:val="auto"/>
        </w:rPr>
        <w:t>Verona Pharma will host an investment community webcast and conference call at 9:00 a.m. EST / 2:00 p.m. GMT on Thursday, February 27, 2025, to discuss the fourth quarter and full year 2024 financial results and the corporate update.</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To participate, please dial one of the following numbers and ask to join the Verona Pharma call:</w:t>
      </w: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Arial" w:cs="Arial" w:eastAsia="Arial" w:hAnsi="Arial"/>
          <w:sz w:val="20"/>
          <w:szCs w:val="20"/>
          <w:color w:val="auto"/>
        </w:rPr>
        <w:t>+1-800-836-8184 for callers in the United States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Arial" w:cs="Arial" w:eastAsia="Arial" w:hAnsi="Arial"/>
          <w:sz w:val="20"/>
          <w:szCs w:val="20"/>
          <w:color w:val="auto"/>
        </w:rPr>
        <w:t>+1-646-357-8785 for international callers</w:t>
      </w:r>
    </w:p>
    <w:p>
      <w:pPr>
        <w:spacing w:after="0" w:line="202" w:lineRule="exact"/>
        <w:rPr>
          <w:sz w:val="20"/>
          <w:szCs w:val="20"/>
          <w:color w:val="auto"/>
        </w:rPr>
      </w:pPr>
    </w:p>
    <w:p>
      <w:pPr>
        <w:jc w:val="both"/>
        <w:spacing w:after="0" w:line="231" w:lineRule="auto"/>
        <w:rPr>
          <w:sz w:val="20"/>
          <w:szCs w:val="20"/>
          <w:color w:val="auto"/>
        </w:rPr>
      </w:pPr>
      <w:r>
        <w:rPr>
          <w:rFonts w:ascii="Arial" w:cs="Arial" w:eastAsia="Arial" w:hAnsi="Arial"/>
          <w:sz w:val="20"/>
          <w:szCs w:val="20"/>
          <w:color w:val="auto"/>
        </w:rPr>
        <w:t>A live webcast will be available on the Events and Presentations link on the Investors page of the Company's website, www.veronapharma.com, and the audio replay will be available for 90 days. An electronic copy of the fourth quarter and full year 2024 results press release will also be made available today on the Company’s website.</w:t>
      </w:r>
    </w:p>
    <w:p>
      <w:pPr>
        <w:spacing w:after="0" w:line="7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Important Safety Information</w:t>
      </w:r>
    </w:p>
    <w:p>
      <w:pPr>
        <w:spacing w:after="0" w:line="8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Indication</w:t>
      </w:r>
    </w:p>
    <w:p>
      <w:pPr>
        <w:sectPr>
          <w:pgSz w:w="11900" w:h="16838" w:orient="portrait"/>
          <w:cols w:equalWidth="0" w:num="1">
            <w:col w:w="11240"/>
          </w:cols>
          <w:pgMar w:left="320" w:top="1391" w:right="339" w:bottom="1440" w:gutter="0" w:footer="0" w:header="0"/>
        </w:sectPr>
      </w:pPr>
    </w:p>
    <w:bookmarkStart w:id="7" w:name="page8"/>
    <w:bookmarkEnd w:id="7"/>
    <w:p>
      <w:pPr>
        <w:ind w:right="360"/>
        <w:spacing w:after="0" w:line="243" w:lineRule="auto"/>
        <w:rPr>
          <w:sz w:val="20"/>
          <w:szCs w:val="20"/>
          <w:color w:val="auto"/>
        </w:rPr>
      </w:pPr>
      <w:r>
        <w:rPr>
          <w:rFonts w:ascii="Arial" w:cs="Arial" w:eastAsia="Arial" w:hAnsi="Arial"/>
          <w:sz w:val="20"/>
          <w:szCs w:val="20"/>
          <w:color w:val="auto"/>
        </w:rPr>
        <w:t>Ohtuvayre is a prescription medicine used to treat COPD in adults. COPD is a chronic (long-term) lung disease that includes chronic bronchitis, emphysema, or both.</w:t>
      </w:r>
    </w:p>
    <w:p>
      <w:pPr>
        <w:spacing w:after="0" w:line="3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What is the most important information I should know about Ohtuvayre?</w:t>
      </w:r>
    </w:p>
    <w:p>
      <w:pPr>
        <w:spacing w:after="0" w:line="43" w:lineRule="exact"/>
        <w:rPr>
          <w:sz w:val="20"/>
          <w:szCs w:val="20"/>
          <w:color w:val="auto"/>
        </w:rPr>
      </w:pPr>
    </w:p>
    <w:p>
      <w:pPr>
        <w:spacing w:after="0"/>
        <w:rPr>
          <w:sz w:val="20"/>
          <w:szCs w:val="20"/>
          <w:color w:val="auto"/>
        </w:rPr>
      </w:pPr>
      <w:r>
        <w:rPr>
          <w:rFonts w:ascii="Arial" w:cs="Arial" w:eastAsia="Arial" w:hAnsi="Arial"/>
          <w:sz w:val="20"/>
          <w:szCs w:val="20"/>
          <w:color w:val="auto"/>
        </w:rPr>
        <w:t>Ohtuvayre can cause serious side effects, including:</w:t>
      </w:r>
    </w:p>
    <w:p>
      <w:pPr>
        <w:spacing w:after="0" w:line="17" w:lineRule="exact"/>
        <w:rPr>
          <w:sz w:val="20"/>
          <w:szCs w:val="20"/>
          <w:color w:val="auto"/>
        </w:rPr>
      </w:pPr>
    </w:p>
    <w:p>
      <w:pPr>
        <w:jc w:val="both"/>
        <w:ind w:left="660" w:hanging="328"/>
        <w:spacing w:after="0" w:line="225" w:lineRule="auto"/>
        <w:tabs>
          <w:tab w:leader="none" w:pos="648" w:val="left"/>
        </w:tabs>
        <w:numPr>
          <w:ilvl w:val="0"/>
          <w:numId w:val="8"/>
        </w:numPr>
        <w:rPr>
          <w:rFonts w:ascii="Arial" w:cs="Arial" w:eastAsia="Arial" w:hAnsi="Arial"/>
          <w:sz w:val="20"/>
          <w:szCs w:val="20"/>
          <w:color w:val="auto"/>
        </w:rPr>
      </w:pPr>
      <w:r>
        <w:rPr>
          <w:rFonts w:ascii="Arial" w:cs="Arial" w:eastAsia="Arial" w:hAnsi="Arial"/>
          <w:sz w:val="20"/>
          <w:szCs w:val="20"/>
          <w:color w:val="auto"/>
        </w:rPr>
        <w:t>Sudden breathing problems immediately after inhaling your medicine. If you have sudden breathing problems immediately after inhaling your medicine, stop using Ohtuvayre and call your healthcare provider right away or go to the nearest hospital emergency room right away.</w:t>
      </w:r>
    </w:p>
    <w:p>
      <w:pPr>
        <w:spacing w:after="0" w:line="1" w:lineRule="exact"/>
        <w:rPr>
          <w:rFonts w:ascii="Arial" w:cs="Arial" w:eastAsia="Arial" w:hAnsi="Arial"/>
          <w:sz w:val="20"/>
          <w:szCs w:val="20"/>
          <w:color w:val="auto"/>
        </w:rPr>
      </w:pPr>
    </w:p>
    <w:p>
      <w:pPr>
        <w:jc w:val="both"/>
        <w:ind w:left="660" w:hanging="328"/>
        <w:spacing w:after="0" w:line="216" w:lineRule="auto"/>
        <w:tabs>
          <w:tab w:leader="none" w:pos="648" w:val="left"/>
        </w:tabs>
        <w:numPr>
          <w:ilvl w:val="0"/>
          <w:numId w:val="8"/>
        </w:numPr>
        <w:rPr>
          <w:rFonts w:ascii="Arial" w:cs="Arial" w:eastAsia="Arial" w:hAnsi="Arial"/>
          <w:sz w:val="20"/>
          <w:szCs w:val="20"/>
          <w:color w:val="auto"/>
        </w:rPr>
      </w:pPr>
      <w:r>
        <w:rPr>
          <w:rFonts w:ascii="Arial" w:cs="Arial" w:eastAsia="Arial" w:hAnsi="Arial"/>
          <w:sz w:val="20"/>
          <w:szCs w:val="20"/>
          <w:color w:val="auto"/>
        </w:rPr>
        <w:t>Mental health problems including suicidal thoughts and behavior. You may experience mood or behavior changes when taking Ohtuvayre. Call your healthcare provider right away if you have any of these symptoms, especially if they are new, worse, or worry you: thoughts of suicide or dying, attempt to commit suicide, trouble sleeping (insomnia), new or worse anxiety, new or worse depression, acting on dangerous impulses, and/or other unusual changes in your behavior or mood.</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Do not use Ohtuvayre to treat sudden breathing problems. Always have a rescue inhaler with you.</w:t>
      </w:r>
    </w:p>
    <w:p>
      <w:pPr>
        <w:spacing w:after="0" w:line="7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Who Should Not use Ohtuvayre?</w:t>
      </w:r>
    </w:p>
    <w:p>
      <w:pPr>
        <w:spacing w:after="0" w:line="33" w:lineRule="exact"/>
        <w:rPr>
          <w:sz w:val="20"/>
          <w:szCs w:val="20"/>
          <w:color w:val="auto"/>
        </w:rPr>
      </w:pPr>
    </w:p>
    <w:p>
      <w:pPr>
        <w:ind w:right="1480"/>
        <w:spacing w:after="0" w:line="294" w:lineRule="auto"/>
        <w:rPr>
          <w:sz w:val="20"/>
          <w:szCs w:val="20"/>
          <w:color w:val="auto"/>
        </w:rPr>
      </w:pPr>
      <w:r>
        <w:rPr>
          <w:rFonts w:ascii="Arial" w:cs="Arial" w:eastAsia="Arial" w:hAnsi="Arial"/>
          <w:sz w:val="20"/>
          <w:szCs w:val="20"/>
          <w:color w:val="auto"/>
        </w:rPr>
        <w:t xml:space="preserve">Do not use Ohtuvayre if you have had an allergic reaction to ensifentrine or any of the ingredients in Ohtuvayre. </w:t>
      </w:r>
      <w:r>
        <w:rPr>
          <w:rFonts w:ascii="Arial" w:cs="Arial" w:eastAsia="Arial" w:hAnsi="Arial"/>
          <w:sz w:val="20"/>
          <w:szCs w:val="20"/>
          <w:b w:val="1"/>
          <w:bCs w:val="1"/>
          <w:color w:val="auto"/>
        </w:rPr>
        <w:t>What should I tell my healthcare provider before using Ohtuvayre?</w:t>
      </w:r>
    </w:p>
    <w:p>
      <w:pPr>
        <w:ind w:right="120"/>
        <w:spacing w:after="0" w:line="216" w:lineRule="auto"/>
        <w:rPr>
          <w:sz w:val="20"/>
          <w:szCs w:val="20"/>
          <w:color w:val="auto"/>
        </w:rPr>
      </w:pPr>
      <w:r>
        <w:rPr>
          <w:rFonts w:ascii="Arial" w:cs="Arial" w:eastAsia="Arial" w:hAnsi="Arial"/>
          <w:sz w:val="19"/>
          <w:szCs w:val="19"/>
          <w:color w:val="auto"/>
        </w:rPr>
        <w:t>Before you use Ohtuvayre, tell your healthcare professional if you have or have had a history of mental health problems including depression and suicidal behavior; have liver problems; are pregnant or plan to become pregnant; are breastfeeding. It</w:t>
      </w:r>
    </w:p>
    <w:p>
      <w:pPr>
        <w:spacing w:after="0" w:line="2" w:lineRule="exact"/>
        <w:rPr>
          <w:sz w:val="20"/>
          <w:szCs w:val="20"/>
          <w:color w:val="auto"/>
        </w:rPr>
      </w:pPr>
    </w:p>
    <w:p>
      <w:pPr>
        <w:ind w:right="100"/>
        <w:spacing w:after="0" w:line="225" w:lineRule="auto"/>
        <w:rPr>
          <w:sz w:val="20"/>
          <w:szCs w:val="20"/>
          <w:color w:val="auto"/>
        </w:rPr>
      </w:pPr>
      <w:r>
        <w:rPr>
          <w:rFonts w:ascii="Arial" w:cs="Arial" w:eastAsia="Arial" w:hAnsi="Arial"/>
          <w:sz w:val="20"/>
          <w:szCs w:val="20"/>
          <w:color w:val="auto"/>
        </w:rPr>
        <w:t>is not known if Ohtuvayre may harm your unborn baby. It is not known if the medicine in Ohtuvayre passes into your breast milk and if it can harm your baby.</w:t>
      </w:r>
    </w:p>
    <w:p>
      <w:pPr>
        <w:spacing w:after="0" w:line="50" w:lineRule="exact"/>
        <w:rPr>
          <w:sz w:val="20"/>
          <w:szCs w:val="20"/>
          <w:color w:val="auto"/>
        </w:rPr>
      </w:pPr>
    </w:p>
    <w:p>
      <w:pPr>
        <w:ind w:right="160"/>
        <w:spacing w:after="0" w:line="243" w:lineRule="auto"/>
        <w:rPr>
          <w:sz w:val="20"/>
          <w:szCs w:val="20"/>
          <w:color w:val="auto"/>
        </w:rPr>
      </w:pPr>
      <w:r>
        <w:rPr>
          <w:rFonts w:ascii="Arial" w:cs="Arial" w:eastAsia="Arial" w:hAnsi="Arial"/>
          <w:sz w:val="20"/>
          <w:szCs w:val="20"/>
          <w:color w:val="auto"/>
        </w:rPr>
        <w:t>Tell your healthcare provider about all the medicines you take, including prescription and over-the-counter medicines, vitamins, and herbal supplements.</w:t>
      </w:r>
    </w:p>
    <w:p>
      <w:pPr>
        <w:spacing w:after="0" w:line="3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What are the most common side effects of Ohtuvayre?</w:t>
      </w:r>
    </w:p>
    <w:p>
      <w:pPr>
        <w:spacing w:after="0" w:line="43" w:lineRule="exact"/>
        <w:rPr>
          <w:sz w:val="20"/>
          <w:szCs w:val="20"/>
          <w:color w:val="auto"/>
        </w:rPr>
      </w:pPr>
    </w:p>
    <w:p>
      <w:pPr>
        <w:spacing w:after="0"/>
        <w:rPr>
          <w:sz w:val="20"/>
          <w:szCs w:val="20"/>
          <w:color w:val="auto"/>
        </w:rPr>
      </w:pPr>
      <w:r>
        <w:rPr>
          <w:rFonts w:ascii="Arial" w:cs="Arial" w:eastAsia="Arial" w:hAnsi="Arial"/>
          <w:sz w:val="20"/>
          <w:szCs w:val="20"/>
          <w:color w:val="auto"/>
        </w:rPr>
        <w:t>The most common side effects of Ohtuvayre include back pain, high blood pressure, bladder infection and diarrhea.</w:t>
      </w:r>
    </w:p>
    <w:p>
      <w:pPr>
        <w:spacing w:after="0" w:line="66" w:lineRule="exact"/>
        <w:rPr>
          <w:sz w:val="20"/>
          <w:szCs w:val="20"/>
          <w:color w:val="auto"/>
        </w:rPr>
      </w:pPr>
    </w:p>
    <w:p>
      <w:pPr>
        <w:ind w:right="220"/>
        <w:spacing w:after="0" w:line="234" w:lineRule="auto"/>
        <w:rPr>
          <w:sz w:val="20"/>
          <w:szCs w:val="20"/>
          <w:color w:val="auto"/>
        </w:rPr>
      </w:pPr>
      <w:r>
        <w:rPr>
          <w:rFonts w:ascii="Arial" w:cs="Arial" w:eastAsia="Arial" w:hAnsi="Arial"/>
          <w:sz w:val="20"/>
          <w:szCs w:val="20"/>
          <w:color w:val="auto"/>
        </w:rPr>
        <w:t>These are not all the possible side effects of Ohtuvayre. Call your doctor for medical advice about side effects. You may report side effects to FDA at 1-800-FDA-1088.</w:t>
      </w:r>
    </w:p>
    <w:p>
      <w:pPr>
        <w:spacing w:after="0" w:line="90" w:lineRule="exact"/>
        <w:rPr>
          <w:sz w:val="20"/>
          <w:szCs w:val="20"/>
          <w:color w:val="auto"/>
        </w:rPr>
      </w:pPr>
    </w:p>
    <w:p>
      <w:pPr>
        <w:spacing w:after="0" w:line="242" w:lineRule="auto"/>
        <w:rPr>
          <w:sz w:val="20"/>
          <w:szCs w:val="20"/>
          <w:color w:val="auto"/>
        </w:rPr>
      </w:pPr>
      <w:r>
        <w:rPr>
          <w:rFonts w:ascii="Arial" w:cs="Arial" w:eastAsia="Arial" w:hAnsi="Arial"/>
          <w:sz w:val="20"/>
          <w:szCs w:val="20"/>
          <w:b w:val="1"/>
          <w:bCs w:val="1"/>
          <w:color w:val="auto"/>
        </w:rPr>
        <w:t>This summary does not include all the information about Ohtuvayre and is not meant to take the place of a discussion with your healthcare provider about your treatment.</w:t>
      </w:r>
    </w:p>
    <w:p>
      <w:pPr>
        <w:spacing w:after="0" w:line="4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For further information, please see the </w:t>
      </w:r>
      <w:r>
        <w:rPr>
          <w:rFonts w:ascii="Arial" w:cs="Arial" w:eastAsia="Arial" w:hAnsi="Arial"/>
          <w:sz w:val="20"/>
          <w:szCs w:val="20"/>
          <w:b w:val="1"/>
          <w:bCs w:val="1"/>
          <w:color w:val="0000FF"/>
        </w:rPr>
        <w:t>full Prescribing Information</w:t>
      </w:r>
      <w:r>
        <w:rPr>
          <w:rFonts w:ascii="Arial" w:cs="Arial" w:eastAsia="Arial" w:hAnsi="Arial"/>
          <w:sz w:val="20"/>
          <w:szCs w:val="20"/>
          <w:b w:val="1"/>
          <w:bCs w:val="1"/>
          <w:color w:val="auto"/>
        </w:rPr>
        <w:t>, including the Patient Information Leaflet.</w:t>
      </w:r>
    </w:p>
    <w:p>
      <w:pPr>
        <w:spacing w:after="0" w:line="94" w:lineRule="exact"/>
        <w:rPr>
          <w:sz w:val="20"/>
          <w:szCs w:val="20"/>
          <w:color w:val="auto"/>
        </w:rPr>
      </w:pPr>
    </w:p>
    <w:p>
      <w:pPr>
        <w:ind w:right="20"/>
        <w:spacing w:after="0" w:line="284" w:lineRule="auto"/>
        <w:rPr>
          <w:sz w:val="20"/>
          <w:szCs w:val="20"/>
          <w:color w:val="auto"/>
        </w:rPr>
      </w:pPr>
      <w:r>
        <w:rPr>
          <w:rFonts w:ascii="Arial" w:cs="Arial" w:eastAsia="Arial" w:hAnsi="Arial"/>
          <w:sz w:val="20"/>
          <w:szCs w:val="20"/>
          <w:b w:val="1"/>
          <w:bCs w:val="1"/>
          <w:color w:val="auto"/>
        </w:rPr>
        <w:t xml:space="preserve">You are encouraged to report negative side effects of prescription drugs to the FDA. Visit </w:t>
      </w:r>
      <w:r>
        <w:rPr>
          <w:rFonts w:ascii="Arial" w:cs="Arial" w:eastAsia="Arial" w:hAnsi="Arial"/>
          <w:sz w:val="20"/>
          <w:szCs w:val="20"/>
          <w:b w:val="1"/>
          <w:bCs w:val="1"/>
          <w:color w:val="0000FF"/>
        </w:rPr>
        <w:t>www.fda.gov/medwatch</w:t>
      </w:r>
      <w:r>
        <w:rPr>
          <w:rFonts w:ascii="Arial" w:cs="Arial" w:eastAsia="Arial" w:hAnsi="Arial"/>
          <w:sz w:val="20"/>
          <w:szCs w:val="20"/>
          <w:b w:val="1"/>
          <w:bCs w:val="1"/>
          <w:color w:val="auto"/>
        </w:rPr>
        <w:t xml:space="preserve"> or call 1-800-FDA-1088.</w:t>
      </w:r>
    </w:p>
    <w:p>
      <w:pPr>
        <w:spacing w:after="0" w:line="79" w:lineRule="exact"/>
        <w:rPr>
          <w:sz w:val="20"/>
          <w:szCs w:val="20"/>
          <w:color w:val="auto"/>
        </w:rPr>
      </w:pPr>
    </w:p>
    <w:p>
      <w:pPr>
        <w:spacing w:after="0"/>
        <w:rPr>
          <w:sz w:val="20"/>
          <w:szCs w:val="20"/>
          <w:color w:val="auto"/>
        </w:rPr>
      </w:pPr>
      <w:r>
        <w:rPr>
          <w:rFonts w:ascii="Arial" w:cs="Arial" w:eastAsia="Arial" w:hAnsi="Arial"/>
          <w:sz w:val="20"/>
          <w:szCs w:val="20"/>
          <w:color w:val="auto"/>
        </w:rPr>
        <w:t>For further information please contact:</w:t>
      </w:r>
    </w:p>
    <w:p>
      <w:pPr>
        <w:spacing w:after="0" w:line="150" w:lineRule="exact"/>
        <w:rPr>
          <w:sz w:val="20"/>
          <w:szCs w:val="20"/>
          <w:color w:val="auto"/>
        </w:rPr>
      </w:pPr>
    </w:p>
    <w:tbl>
      <w:tblPr>
        <w:tblLayout w:type="fixed"/>
        <w:tblInd w:w="10" w:type="dxa"/>
        <w:tblCellMar>
          <w:top w:w="0" w:type="dxa"/>
          <w:left w:w="0" w:type="dxa"/>
          <w:bottom w:w="0" w:type="dxa"/>
          <w:right w:w="0" w:type="dxa"/>
        </w:tblCellMar>
      </w:tblPr>
      <w:tr>
        <w:trPr>
          <w:trHeight w:val="294"/>
        </w:trPr>
        <w:tc>
          <w:tcPr>
            <w:tcW w:w="6260" w:type="dxa"/>
            <w:vAlign w:val="bottom"/>
            <w:tcBorders>
              <w:top w:val="single" w:sz="8" w:color="CFCFCF"/>
              <w:left w:val="single" w:sz="8" w:color="CFCFCF"/>
              <w:bottom w:val="single" w:sz="8" w:color="CFCFCF"/>
              <w:right w:val="single" w:sz="8" w:color="CFCFCF"/>
            </w:tcBorders>
          </w:tcPr>
          <w:p>
            <w:pPr>
              <w:ind w:left="40"/>
              <w:spacing w:after="0"/>
              <w:rPr>
                <w:sz w:val="20"/>
                <w:szCs w:val="20"/>
                <w:color w:val="auto"/>
              </w:rPr>
            </w:pPr>
            <w:r>
              <w:rPr>
                <w:rFonts w:ascii="Arial" w:cs="Arial" w:eastAsia="Arial" w:hAnsi="Arial"/>
                <w:sz w:val="20"/>
                <w:szCs w:val="20"/>
                <w:b w:val="1"/>
                <w:bCs w:val="1"/>
                <w:color w:val="auto"/>
              </w:rPr>
              <w:t>Verona Pharma plc</w:t>
            </w:r>
          </w:p>
        </w:tc>
        <w:tc>
          <w:tcPr>
            <w:tcW w:w="4980" w:type="dxa"/>
            <w:vAlign w:val="bottom"/>
            <w:tcBorders>
              <w:top w:val="single" w:sz="8" w:color="CFCFCF"/>
              <w:bottom w:val="single" w:sz="8" w:color="CFCFCF"/>
              <w:right w:val="single" w:sz="8" w:color="CFCFCF"/>
            </w:tcBorders>
          </w:tcPr>
          <w:p>
            <w:pPr>
              <w:ind w:left="20"/>
              <w:spacing w:after="0"/>
              <w:rPr>
                <w:sz w:val="20"/>
                <w:szCs w:val="20"/>
                <w:color w:val="auto"/>
              </w:rPr>
            </w:pPr>
            <w:r>
              <w:rPr>
                <w:rFonts w:ascii="Arial" w:cs="Arial" w:eastAsia="Arial" w:hAnsi="Arial"/>
                <w:sz w:val="20"/>
                <w:szCs w:val="20"/>
                <w:color w:val="auto"/>
              </w:rPr>
              <w:t>Tel: +1-844-341-9901</w:t>
            </w:r>
          </w:p>
        </w:tc>
      </w:tr>
      <w:tr>
        <w:trPr>
          <w:trHeight w:val="232"/>
        </w:trPr>
        <w:tc>
          <w:tcPr>
            <w:tcW w:w="6260" w:type="dxa"/>
            <w:vAlign w:val="bottom"/>
            <w:tcBorders>
              <w:left w:val="single" w:sz="8" w:color="CFCFCF"/>
              <w:right w:val="single" w:sz="8" w:color="CFCFCF"/>
            </w:tcBorders>
          </w:tcPr>
          <w:p>
            <w:pPr>
              <w:ind w:left="40"/>
              <w:spacing w:after="0"/>
              <w:rPr>
                <w:sz w:val="20"/>
                <w:szCs w:val="20"/>
                <w:color w:val="auto"/>
              </w:rPr>
            </w:pPr>
            <w:r>
              <w:rPr>
                <w:rFonts w:ascii="Arial" w:cs="Arial" w:eastAsia="Arial" w:hAnsi="Arial"/>
                <w:sz w:val="20"/>
                <w:szCs w:val="20"/>
                <w:color w:val="auto"/>
              </w:rPr>
              <w:t>Victoria Stewart, Senior Director of Investor Relations and</w:t>
            </w:r>
          </w:p>
        </w:tc>
        <w:tc>
          <w:tcPr>
            <w:tcW w:w="4980" w:type="dxa"/>
            <w:vAlign w:val="bottom"/>
            <w:tcBorders>
              <w:right w:val="single" w:sz="8" w:color="CFCFCF"/>
            </w:tcBorders>
          </w:tcPr>
          <w:p>
            <w:pPr>
              <w:ind w:left="20"/>
              <w:spacing w:after="0"/>
              <w:rPr>
                <w:sz w:val="20"/>
                <w:szCs w:val="20"/>
                <w:color w:val="auto"/>
              </w:rPr>
            </w:pPr>
            <w:r>
              <w:rPr>
                <w:rFonts w:ascii="Arial" w:cs="Arial" w:eastAsia="Arial" w:hAnsi="Arial"/>
                <w:sz w:val="20"/>
                <w:szCs w:val="20"/>
                <w:color w:val="0000FF"/>
              </w:rPr>
              <w:t>IR@veronapharma.com</w:t>
            </w:r>
          </w:p>
        </w:tc>
      </w:tr>
      <w:tr>
        <w:trPr>
          <w:trHeight w:val="263"/>
        </w:trPr>
        <w:tc>
          <w:tcPr>
            <w:tcW w:w="6260" w:type="dxa"/>
            <w:vAlign w:val="bottom"/>
            <w:tcBorders>
              <w:left w:val="single" w:sz="8" w:color="CFCFCF"/>
              <w:bottom w:val="single" w:sz="8" w:color="CFCFCF"/>
              <w:right w:val="single" w:sz="8" w:color="CFCFCF"/>
            </w:tcBorders>
          </w:tcPr>
          <w:p>
            <w:pPr>
              <w:ind w:left="40"/>
              <w:spacing w:after="0"/>
              <w:rPr>
                <w:sz w:val="20"/>
                <w:szCs w:val="20"/>
                <w:color w:val="auto"/>
              </w:rPr>
            </w:pPr>
            <w:r>
              <w:rPr>
                <w:rFonts w:ascii="Arial" w:cs="Arial" w:eastAsia="Arial" w:hAnsi="Arial"/>
                <w:sz w:val="20"/>
                <w:szCs w:val="20"/>
                <w:color w:val="auto"/>
              </w:rPr>
              <w:t>Communications</w:t>
            </w:r>
          </w:p>
        </w:tc>
        <w:tc>
          <w:tcPr>
            <w:tcW w:w="4980" w:type="dxa"/>
            <w:vAlign w:val="bottom"/>
            <w:tcBorders>
              <w:bottom w:val="single" w:sz="8" w:color="CFCFCF"/>
              <w:right w:val="single" w:sz="8" w:color="CFCFCF"/>
            </w:tcBorders>
          </w:tcPr>
          <w:p>
            <w:pPr>
              <w:spacing w:after="0"/>
              <w:rPr>
                <w:sz w:val="22"/>
                <w:szCs w:val="22"/>
                <w:color w:val="auto"/>
              </w:rPr>
            </w:pPr>
          </w:p>
        </w:tc>
      </w:tr>
      <w:tr>
        <w:trPr>
          <w:trHeight w:val="230"/>
        </w:trPr>
        <w:tc>
          <w:tcPr>
            <w:tcW w:w="6260" w:type="dxa"/>
            <w:vAlign w:val="bottom"/>
            <w:tcBorders>
              <w:left w:val="single" w:sz="8" w:color="CFCFCF"/>
              <w:right w:val="single" w:sz="8" w:color="CFCFCF"/>
            </w:tcBorders>
          </w:tcPr>
          <w:p>
            <w:pPr>
              <w:ind w:left="40"/>
              <w:spacing w:after="0"/>
              <w:rPr>
                <w:sz w:val="20"/>
                <w:szCs w:val="20"/>
                <w:color w:val="auto"/>
              </w:rPr>
            </w:pPr>
            <w:r>
              <w:rPr>
                <w:rFonts w:ascii="Arial" w:cs="Arial" w:eastAsia="Arial" w:hAnsi="Arial"/>
                <w:sz w:val="20"/>
                <w:szCs w:val="20"/>
                <w:b w:val="1"/>
                <w:bCs w:val="1"/>
                <w:color w:val="auto"/>
              </w:rPr>
              <w:t>Argot Partners</w:t>
            </w:r>
          </w:p>
        </w:tc>
        <w:tc>
          <w:tcPr>
            <w:tcW w:w="4980" w:type="dxa"/>
            <w:vAlign w:val="bottom"/>
            <w:tcBorders>
              <w:right w:val="single" w:sz="8" w:color="CFCFCF"/>
            </w:tcBorders>
          </w:tcPr>
          <w:p>
            <w:pPr>
              <w:ind w:left="20"/>
              <w:spacing w:after="0"/>
              <w:rPr>
                <w:sz w:val="20"/>
                <w:szCs w:val="20"/>
                <w:color w:val="auto"/>
              </w:rPr>
            </w:pPr>
            <w:r>
              <w:rPr>
                <w:rFonts w:ascii="Arial" w:cs="Arial" w:eastAsia="Arial" w:hAnsi="Arial"/>
                <w:sz w:val="20"/>
                <w:szCs w:val="20"/>
                <w:color w:val="auto"/>
              </w:rPr>
              <w:t xml:space="preserve">Tel: +1-212-600-1902 </w:t>
            </w:r>
            <w:r>
              <w:rPr>
                <w:rFonts w:ascii="Arial" w:cs="Arial" w:eastAsia="Arial" w:hAnsi="Arial"/>
                <w:sz w:val="20"/>
                <w:szCs w:val="20"/>
                <w:color w:val="0000FF"/>
              </w:rPr>
              <w:t>verona@argotpartners.com</w:t>
            </w:r>
          </w:p>
        </w:tc>
      </w:tr>
      <w:tr>
        <w:trPr>
          <w:trHeight w:val="263"/>
        </w:trPr>
        <w:tc>
          <w:tcPr>
            <w:tcW w:w="6260" w:type="dxa"/>
            <w:vAlign w:val="bottom"/>
            <w:tcBorders>
              <w:left w:val="single" w:sz="8" w:color="CFCFCF"/>
              <w:bottom w:val="single" w:sz="8" w:color="CFCFCF"/>
              <w:right w:val="single" w:sz="8" w:color="CFCFCF"/>
            </w:tcBorders>
          </w:tcPr>
          <w:p>
            <w:pPr>
              <w:ind w:left="40"/>
              <w:spacing w:after="0"/>
              <w:rPr>
                <w:sz w:val="20"/>
                <w:szCs w:val="20"/>
                <w:color w:val="auto"/>
              </w:rPr>
            </w:pPr>
            <w:r>
              <w:rPr>
                <w:rFonts w:ascii="Arial" w:cs="Arial" w:eastAsia="Arial" w:hAnsi="Arial"/>
                <w:sz w:val="20"/>
                <w:szCs w:val="20"/>
                <w:color w:val="auto"/>
              </w:rPr>
              <w:t>US Investor Enquiries</w:t>
            </w:r>
          </w:p>
        </w:tc>
        <w:tc>
          <w:tcPr>
            <w:tcW w:w="4980" w:type="dxa"/>
            <w:vAlign w:val="bottom"/>
            <w:tcBorders>
              <w:bottom w:val="single" w:sz="8" w:color="CFCFCF"/>
              <w:right w:val="single" w:sz="8" w:color="CFCFCF"/>
            </w:tcBorders>
          </w:tcPr>
          <w:p>
            <w:pPr>
              <w:spacing w:after="0"/>
              <w:rPr>
                <w:sz w:val="22"/>
                <w:szCs w:val="22"/>
                <w:color w:val="auto"/>
              </w:rPr>
            </w:pPr>
          </w:p>
        </w:tc>
      </w:tr>
      <w:tr>
        <w:trPr>
          <w:trHeight w:val="230"/>
        </w:trPr>
        <w:tc>
          <w:tcPr>
            <w:tcW w:w="6260" w:type="dxa"/>
            <w:vAlign w:val="bottom"/>
            <w:tcBorders>
              <w:left w:val="single" w:sz="8" w:color="CFCFCF"/>
              <w:right w:val="single" w:sz="8" w:color="CFCFCF"/>
            </w:tcBorders>
          </w:tcPr>
          <w:p>
            <w:pPr>
              <w:ind w:left="40"/>
              <w:spacing w:after="0"/>
              <w:rPr>
                <w:sz w:val="20"/>
                <w:szCs w:val="20"/>
                <w:color w:val="auto"/>
              </w:rPr>
            </w:pPr>
            <w:r>
              <w:rPr>
                <w:rFonts w:ascii="Arial" w:cs="Arial" w:eastAsia="Arial" w:hAnsi="Arial"/>
                <w:sz w:val="20"/>
                <w:szCs w:val="20"/>
                <w:b w:val="1"/>
                <w:bCs w:val="1"/>
                <w:color w:val="auto"/>
              </w:rPr>
              <w:t>Ten Bridge Communications</w:t>
            </w:r>
          </w:p>
        </w:tc>
        <w:tc>
          <w:tcPr>
            <w:tcW w:w="4980" w:type="dxa"/>
            <w:vAlign w:val="bottom"/>
            <w:tcBorders>
              <w:right w:val="single" w:sz="8" w:color="CFCFCF"/>
            </w:tcBorders>
          </w:tcPr>
          <w:p>
            <w:pPr>
              <w:ind w:left="20"/>
              <w:spacing w:after="0"/>
              <w:rPr>
                <w:sz w:val="20"/>
                <w:szCs w:val="20"/>
                <w:color w:val="auto"/>
              </w:rPr>
            </w:pPr>
            <w:r>
              <w:rPr>
                <w:rFonts w:ascii="Arial" w:cs="Arial" w:eastAsia="Arial" w:hAnsi="Arial"/>
                <w:sz w:val="20"/>
                <w:szCs w:val="20"/>
                <w:color w:val="auto"/>
              </w:rPr>
              <w:t>Tel: +1-781-316-4424</w:t>
            </w:r>
          </w:p>
        </w:tc>
      </w:tr>
      <w:tr>
        <w:trPr>
          <w:trHeight w:val="263"/>
        </w:trPr>
        <w:tc>
          <w:tcPr>
            <w:tcW w:w="6260" w:type="dxa"/>
            <w:vAlign w:val="bottom"/>
            <w:tcBorders>
              <w:left w:val="single" w:sz="8" w:color="CFCFCF"/>
              <w:bottom w:val="single" w:sz="8" w:color="CFCFCF"/>
              <w:right w:val="single" w:sz="8" w:color="CFCFCF"/>
            </w:tcBorders>
          </w:tcPr>
          <w:p>
            <w:pPr>
              <w:ind w:left="40"/>
              <w:spacing w:after="0"/>
              <w:rPr>
                <w:sz w:val="20"/>
                <w:szCs w:val="20"/>
                <w:color w:val="auto"/>
              </w:rPr>
            </w:pPr>
            <w:r>
              <w:rPr>
                <w:rFonts w:ascii="Arial" w:cs="Arial" w:eastAsia="Arial" w:hAnsi="Arial"/>
                <w:sz w:val="20"/>
                <w:szCs w:val="20"/>
                <w:color w:val="auto"/>
              </w:rPr>
              <w:t>International / US Media Enquiries</w:t>
            </w:r>
          </w:p>
        </w:tc>
        <w:tc>
          <w:tcPr>
            <w:tcW w:w="4980" w:type="dxa"/>
            <w:vAlign w:val="bottom"/>
            <w:tcBorders>
              <w:bottom w:val="single" w:sz="8" w:color="CFCFCF"/>
              <w:right w:val="single" w:sz="8" w:color="CFCFCF"/>
            </w:tcBorders>
          </w:tcPr>
          <w:p>
            <w:pPr>
              <w:ind w:left="20"/>
              <w:spacing w:after="0"/>
              <w:rPr>
                <w:sz w:val="20"/>
                <w:szCs w:val="20"/>
                <w:color w:val="auto"/>
              </w:rPr>
            </w:pPr>
            <w:r>
              <w:rPr>
                <w:rFonts w:ascii="Arial" w:cs="Arial" w:eastAsia="Arial" w:hAnsi="Arial"/>
                <w:sz w:val="20"/>
                <w:szCs w:val="20"/>
                <w:color w:val="0000FF"/>
              </w:rPr>
              <w:t>tbcverona@tenbridgecommunications.com</w:t>
            </w:r>
          </w:p>
        </w:tc>
      </w:tr>
      <w:tr>
        <w:trPr>
          <w:trHeight w:val="261"/>
        </w:trPr>
        <w:tc>
          <w:tcPr>
            <w:tcW w:w="6260" w:type="dxa"/>
            <w:vAlign w:val="bottom"/>
            <w:tcBorders>
              <w:left w:val="single" w:sz="8" w:color="CFCFCF"/>
              <w:bottom w:val="single" w:sz="8" w:color="CFCFCF"/>
              <w:right w:val="single" w:sz="8" w:color="CFCFCF"/>
            </w:tcBorders>
          </w:tcPr>
          <w:p>
            <w:pPr>
              <w:ind w:left="40"/>
              <w:spacing w:after="0"/>
              <w:rPr>
                <w:sz w:val="20"/>
                <w:szCs w:val="20"/>
                <w:color w:val="auto"/>
              </w:rPr>
            </w:pPr>
            <w:r>
              <w:rPr>
                <w:rFonts w:ascii="Arial" w:cs="Arial" w:eastAsia="Arial" w:hAnsi="Arial"/>
                <w:sz w:val="20"/>
                <w:szCs w:val="20"/>
                <w:color w:val="auto"/>
              </w:rPr>
              <w:t>Wendy Ryan</w:t>
            </w:r>
          </w:p>
        </w:tc>
        <w:tc>
          <w:tcPr>
            <w:tcW w:w="4980" w:type="dxa"/>
            <w:vAlign w:val="bottom"/>
            <w:tcBorders>
              <w:bottom w:val="single" w:sz="8" w:color="CFCFCF"/>
              <w:right w:val="single" w:sz="8" w:color="CFCFCF"/>
            </w:tcBorders>
          </w:tcPr>
          <w:p>
            <w:pPr>
              <w:spacing w:after="0"/>
              <w:rPr>
                <w:sz w:val="22"/>
                <w:szCs w:val="22"/>
                <w:color w:val="auto"/>
              </w:rPr>
            </w:pPr>
          </w:p>
        </w:tc>
      </w:tr>
      <w:tr>
        <w:trPr>
          <w:trHeight w:val="571"/>
        </w:trPr>
        <w:tc>
          <w:tcPr>
            <w:tcW w:w="6260" w:type="dxa"/>
            <w:vAlign w:val="bottom"/>
          </w:tcPr>
          <w:p>
            <w:pPr>
              <w:spacing w:after="0"/>
              <w:rPr>
                <w:sz w:val="20"/>
                <w:szCs w:val="20"/>
                <w:color w:val="auto"/>
              </w:rPr>
            </w:pPr>
            <w:r>
              <w:rPr>
                <w:rFonts w:ascii="Arial" w:cs="Arial" w:eastAsia="Arial" w:hAnsi="Arial"/>
                <w:sz w:val="20"/>
                <w:szCs w:val="20"/>
                <w:b w:val="1"/>
                <w:bCs w:val="1"/>
                <w:color w:val="auto"/>
              </w:rPr>
              <w:t>About Verona Pharma</w:t>
            </w:r>
          </w:p>
        </w:tc>
        <w:tc>
          <w:tcPr>
            <w:tcW w:w="4980" w:type="dxa"/>
            <w:vAlign w:val="bottom"/>
          </w:tcPr>
          <w:p>
            <w:pPr>
              <w:spacing w:after="0"/>
              <w:rPr>
                <w:sz w:val="24"/>
                <w:szCs w:val="24"/>
                <w:color w:val="auto"/>
              </w:rPr>
            </w:pPr>
          </w:p>
        </w:tc>
      </w:tr>
    </w:tbl>
    <w:p>
      <w:pPr>
        <w:sectPr>
          <w:pgSz w:w="11900" w:h="16838" w:orient="portrait"/>
          <w:cols w:equalWidth="0" w:num="1">
            <w:col w:w="11240"/>
          </w:cols>
          <w:pgMar w:left="320" w:top="1400" w:right="339" w:bottom="1440" w:gutter="0" w:footer="0" w:header="0"/>
        </w:sectPr>
      </w:pPr>
    </w:p>
    <w:bookmarkStart w:id="8" w:name="page9"/>
    <w:bookmarkEnd w:id="8"/>
    <w:p>
      <w:pPr>
        <w:jc w:val="both"/>
        <w:spacing w:after="0"/>
        <w:rPr>
          <w:sz w:val="20"/>
          <w:szCs w:val="20"/>
          <w:color w:val="auto"/>
        </w:rPr>
      </w:pPr>
      <w:r>
        <w:rPr>
          <w:rFonts w:ascii="Arial" w:cs="Arial" w:eastAsia="Arial" w:hAnsi="Arial"/>
          <w:sz w:val="19"/>
          <w:szCs w:val="19"/>
          <w:color w:val="auto"/>
        </w:rPr>
        <w:t>Verona Pharma is a biopharmaceutical company focused on developing and commercializing innovative therapies for the treatment of chronic respiratory diseases with significant unmet medical needs. Ohtuvayre</w:t>
      </w:r>
      <w:r>
        <w:rPr>
          <w:rFonts w:ascii="Arial" w:cs="Arial" w:eastAsia="Arial" w:hAnsi="Arial"/>
          <w:sz w:val="24"/>
          <w:szCs w:val="24"/>
          <w:color w:val="auto"/>
          <w:vertAlign w:val="superscript"/>
        </w:rPr>
        <w:t>TM</w:t>
      </w:r>
      <w:r>
        <w:rPr>
          <w:rFonts w:ascii="Arial" w:cs="Arial" w:eastAsia="Arial" w:hAnsi="Arial"/>
          <w:sz w:val="19"/>
          <w:szCs w:val="19"/>
          <w:color w:val="auto"/>
        </w:rPr>
        <w:t xml:space="preserve"> (ensifentrine) is the Company’s first commercial product and the first inhaled therapy for the maintenance treatment of COPD that combines bronchodilator and non-steroidal anti-inflammatory activities in one molecule. Ensifentrine has potential applications in non-cystic fibrosis bronchiectasis, cystic fibrosis, asthma and other respiratory diseases. For more information, please visit </w:t>
      </w:r>
      <w:r>
        <w:rPr>
          <w:rFonts w:ascii="Arial" w:cs="Arial" w:eastAsia="Arial" w:hAnsi="Arial"/>
          <w:sz w:val="19"/>
          <w:szCs w:val="19"/>
          <w:color w:val="0000FF"/>
        </w:rPr>
        <w:t>www.veronapharma.com</w:t>
      </w:r>
      <w:r>
        <w:rPr>
          <w:rFonts w:ascii="Arial" w:cs="Arial" w:eastAsia="Arial" w:hAnsi="Arial"/>
          <w:sz w:val="19"/>
          <w:szCs w:val="19"/>
          <w:color w:val="auto"/>
        </w:rPr>
        <w:t>.</w:t>
      </w:r>
    </w:p>
    <w:p>
      <w:pPr>
        <w:spacing w:after="0" w:line="5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96" w:lineRule="exact"/>
        <w:rPr>
          <w:sz w:val="20"/>
          <w:szCs w:val="20"/>
          <w:color w:val="auto"/>
        </w:rPr>
      </w:pPr>
    </w:p>
    <w:p>
      <w:pPr>
        <w:jc w:val="both"/>
        <w:spacing w:after="0" w:line="236" w:lineRule="auto"/>
        <w:rPr>
          <w:sz w:val="20"/>
          <w:szCs w:val="20"/>
          <w:color w:val="auto"/>
        </w:rPr>
      </w:pPr>
      <w:r>
        <w:rPr>
          <w:rFonts w:ascii="Arial" w:cs="Arial" w:eastAsia="Arial" w:hAnsi="Arial"/>
          <w:sz w:val="20"/>
          <w:szCs w:val="20"/>
          <w:color w:val="auto"/>
        </w:rPr>
        <w:t>This press release contains forward-looking statements within the meaning of the Private Securities Litigation Reform Act of 1995, as amended. All statements contained in this press release other than statements of historical fact should be considered forward-looking statements. Words such as “anticipate,” “believe,” “plan,” “expect,” “intend,” “may,” “potential,” “prepare,” “possible” and similar words and expressions are intended to identify forward-looking statements. These forward-looking statements include, but are not limited to, statements regarding the potential benefits and efficacy of our drug Ohtuvayre to treat adult patients in the US with COPD, statements regarding our two recently initiated Phase 2 clinical trials, the Company’s plans to initiate a Phase 2b clinical trial, potential regulatory approvals in the EU and UK, and Nuance Pharma’s results from its pivotal Phase 3 trial, and the timing of any of the foregoing.</w:t>
      </w:r>
    </w:p>
    <w:p>
      <w:pPr>
        <w:spacing w:after="0" w:line="67" w:lineRule="exact"/>
        <w:rPr>
          <w:sz w:val="20"/>
          <w:szCs w:val="20"/>
          <w:color w:val="auto"/>
        </w:rPr>
      </w:pPr>
    </w:p>
    <w:p>
      <w:pPr>
        <w:jc w:val="both"/>
        <w:spacing w:after="0" w:line="245" w:lineRule="auto"/>
        <w:rPr>
          <w:sz w:val="20"/>
          <w:szCs w:val="20"/>
          <w:color w:val="auto"/>
        </w:rPr>
      </w:pPr>
      <w:r>
        <w:rPr>
          <w:rFonts w:ascii="Arial" w:cs="Arial" w:eastAsia="Arial" w:hAnsi="Arial"/>
          <w:sz w:val="19"/>
          <w:szCs w:val="19"/>
          <w:color w:val="auto"/>
        </w:rPr>
        <w:t>These forward-looking statements are based on management's current expectations. These statements are neither promises nor guarantees, but involve known and unknown risks, uncertainties and other important factors that may cause our actual results, performance or achievements to be materially different from our expectations expressed or implied by the forward-looking statements, including, but not limited to, the following: risks related to our limited operating history; our need for additional funding to complete development and commercialization of Ohtuvayre which may not be available and which may force us to delay, reduce or eliminate our development or commercialization efforts; our reliance on the success of Ohtuvayre, our only commercial product; our reliance on third-party manufacturers and suppliers; the efficacy of Ohtuvayre compared to competing drugs; our ability to successfully commercialize Ohtuvayre; serious adverse, undesirable or unacceptable side effects associated with Ohtuvayre which could adversely affect our ability to commercialize Ohtuvayre; failure to develop Ohtuvayre for additional indications, alternate delivery methods, or as a combination therapy; failure to obtain approval for and commercialize Ohtuvayre in multiple major pharmaceutical markets; our commercial capabilities and infrastructure, including sales, marketing, operations, distribution, and reimbursement infrastructure, may not be adequate to successfully commercialize Ohtuvayre; lawsuits related to patents covering Ohtuvayre and the potential for our patents to be found invalid or unenforceable; lawsuits related to our licensing of patents and know-how from third parties for the commercialization of Ohtuvayre; changes in our tax rates, unavailability of certain tax credits or reliefs or exposure to additional tax liabilities or assessments that could affect our profitability, and audits by tax authorities that could result in additional tax payments for prior periods; the terms of our credit agreement and the revenue interest purchase and sale agreement ("RIPSA”) place restrictions on our operating and financial flexibility, and if we fail to comply with certain covenants in the RIPSA, our results of operations and financial condition may be harmed; our vulnerability to natural disasters, global economic factors, geo-political actions and unexpected events, including health epidemics or pandemics; and the other important factors discussed under the caption “Risk Factors” in our Annual Report on Form 10-K for the period ended December 31, 2024, filed with the Securities and Exchange Commission (“SEC”) on February 27, 2025, as such factors may be updated from time to time in our other filings with the SEC. We disclaim any obligation to update or revise any forward-looking statement contained in this press release, even if subsequent events cause</w:t>
      </w:r>
    </w:p>
    <w:p>
      <w:pPr>
        <w:spacing w:after="0" w:line="5" w:lineRule="exact"/>
        <w:rPr>
          <w:sz w:val="20"/>
          <w:szCs w:val="20"/>
          <w:color w:val="auto"/>
        </w:rPr>
      </w:pPr>
    </w:p>
    <w:p>
      <w:pPr>
        <w:jc w:val="both"/>
        <w:ind w:right="20"/>
        <w:spacing w:after="0" w:line="253" w:lineRule="auto"/>
        <w:rPr>
          <w:sz w:val="20"/>
          <w:szCs w:val="20"/>
          <w:color w:val="auto"/>
        </w:rPr>
      </w:pPr>
      <w:r>
        <w:rPr>
          <w:rFonts w:ascii="Arial" w:cs="Arial" w:eastAsia="Arial" w:hAnsi="Arial"/>
          <w:sz w:val="20"/>
          <w:szCs w:val="20"/>
          <w:color w:val="auto"/>
        </w:rPr>
        <w:t>our views to change, except as required under applicable law. These forward-looking statements should not be relied upon as representing our views as of any date subsequent to the date of this press release.</w:t>
      </w:r>
    </w:p>
    <w:p>
      <w:pPr>
        <w:sectPr>
          <w:pgSz w:w="11900" w:h="16838" w:orient="portrait"/>
          <w:cols w:equalWidth="0" w:num="1">
            <w:col w:w="11240"/>
          </w:cols>
          <w:pgMar w:left="320" w:top="1414" w:right="339" w:bottom="1440" w:gutter="0" w:footer="0" w:header="0"/>
        </w:sectPr>
      </w:pPr>
    </w:p>
    <w:bookmarkStart w:id="9" w:name="page10"/>
    <w:bookmarkEnd w:id="9"/>
    <w:p>
      <w:pPr>
        <w:jc w:val="center"/>
        <w:ind w:right="20"/>
        <w:spacing w:after="0"/>
        <w:rPr>
          <w:sz w:val="20"/>
          <w:szCs w:val="20"/>
          <w:color w:val="auto"/>
        </w:rPr>
      </w:pPr>
      <w:r>
        <w:rPr>
          <w:rFonts w:ascii="Arial" w:cs="Arial" w:eastAsia="Arial" w:hAnsi="Arial"/>
          <w:sz w:val="22"/>
          <w:szCs w:val="22"/>
          <w:b w:val="1"/>
          <w:bCs w:val="1"/>
          <w:color w:val="232323"/>
        </w:rPr>
        <w:t>Verona Pharma plc</w:t>
      </w:r>
    </w:p>
    <w:p>
      <w:pPr>
        <w:spacing w:after="0" w:line="152"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232323"/>
        </w:rPr>
        <w:t>Consolidated Financial Summary</w:t>
      </w:r>
    </w:p>
    <w:p>
      <w:pPr>
        <w:spacing w:after="0" w:line="152"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232323"/>
        </w:rPr>
        <w:t>(unaudited)</w:t>
      </w:r>
    </w:p>
    <w:p>
      <w:pPr>
        <w:spacing w:after="0" w:line="13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(in thousands, except share and per share amounts)</w:t>
      </w:r>
    </w:p>
    <w:p>
      <w:pPr>
        <w:spacing w:after="0" w:line="251" w:lineRule="exact"/>
        <w:rPr>
          <w:sz w:val="20"/>
          <w:szCs w:val="20"/>
          <w:color w:val="auto"/>
        </w:rPr>
      </w:pPr>
    </w:p>
    <w:tbl>
      <w:tblPr>
        <w:tblLayout w:type="fixed"/>
        <w:tblInd w:w="10" w:type="dxa"/>
        <w:tblCellMar>
          <w:top w:w="0" w:type="dxa"/>
          <w:left w:w="0" w:type="dxa"/>
          <w:bottom w:w="0" w:type="dxa"/>
          <w:right w:w="0" w:type="dxa"/>
        </w:tblCellMar>
      </w:tblPr>
      <w:tr>
        <w:trPr>
          <w:trHeight w:val="241"/>
        </w:trPr>
        <w:tc>
          <w:tcPr>
            <w:tcW w:w="3300" w:type="dxa"/>
            <w:vAlign w:val="bottom"/>
            <w:tcBorders>
              <w:top w:val="single" w:sz="8" w:color="auto"/>
              <w:left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3320" w:type="dxa"/>
            <w:vAlign w:val="bottom"/>
            <w:tcBorders>
              <w:top w:val="single" w:sz="8" w:color="auto"/>
            </w:tcBorders>
            <w:gridSpan w:val="4"/>
          </w:tcPr>
          <w:p>
            <w:pPr>
              <w:jc w:val="right"/>
              <w:ind w:right="459"/>
              <w:spacing w:after="0"/>
              <w:rPr>
                <w:sz w:val="20"/>
                <w:szCs w:val="20"/>
                <w:color w:val="auto"/>
              </w:rPr>
            </w:pPr>
            <w:r>
              <w:rPr>
                <w:rFonts w:ascii="Arial" w:cs="Arial" w:eastAsia="Arial" w:hAnsi="Arial"/>
                <w:sz w:val="16"/>
                <w:szCs w:val="16"/>
                <w:color w:val="auto"/>
              </w:rPr>
              <w:t>Three months ended December 31,</w:t>
            </w:r>
          </w:p>
        </w:tc>
        <w:tc>
          <w:tcPr>
            <w:tcW w:w="78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3160" w:type="dxa"/>
            <w:vAlign w:val="bottom"/>
            <w:tcBorders>
              <w:top w:val="single" w:sz="8" w:color="auto"/>
              <w:right w:val="single" w:sz="8" w:color="auto"/>
            </w:tcBorders>
            <w:gridSpan w:val="4"/>
          </w:tcPr>
          <w:p>
            <w:pPr>
              <w:jc w:val="right"/>
              <w:ind w:right="719"/>
              <w:spacing w:after="0"/>
              <w:rPr>
                <w:sz w:val="20"/>
                <w:szCs w:val="20"/>
                <w:color w:val="auto"/>
              </w:rPr>
            </w:pPr>
            <w:r>
              <w:rPr>
                <w:rFonts w:ascii="Arial" w:cs="Arial" w:eastAsia="Arial" w:hAnsi="Arial"/>
                <w:sz w:val="16"/>
                <w:szCs w:val="16"/>
                <w:color w:val="auto"/>
              </w:rPr>
              <w:t>Years ended December 31,</w:t>
            </w:r>
          </w:p>
        </w:tc>
        <w:tc>
          <w:tcPr>
            <w:tcW w:w="0" w:type="dxa"/>
            <w:vAlign w:val="bottom"/>
          </w:tcPr>
          <w:p>
            <w:pPr>
              <w:spacing w:after="0"/>
              <w:rPr>
                <w:sz w:val="1"/>
                <w:szCs w:val="1"/>
                <w:color w:val="auto"/>
              </w:rPr>
            </w:pPr>
          </w:p>
        </w:tc>
      </w:tr>
      <w:tr>
        <w:trPr>
          <w:trHeight w:val="257"/>
        </w:trPr>
        <w:tc>
          <w:tcPr>
            <w:tcW w:w="3300" w:type="dxa"/>
            <w:vAlign w:val="bottom"/>
            <w:tcBorders>
              <w:left w:val="single" w:sz="8" w:color="auto"/>
            </w:tcBorders>
          </w:tcPr>
          <w:p>
            <w:pPr>
              <w:spacing w:after="0"/>
              <w:rPr>
                <w:sz w:val="22"/>
                <w:szCs w:val="22"/>
                <w:color w:val="auto"/>
              </w:rPr>
            </w:pPr>
          </w:p>
        </w:tc>
        <w:tc>
          <w:tcPr>
            <w:tcW w:w="320" w:type="dxa"/>
            <w:vAlign w:val="bottom"/>
          </w:tcPr>
          <w:p>
            <w:pPr>
              <w:spacing w:after="0"/>
              <w:rPr>
                <w:sz w:val="22"/>
                <w:szCs w:val="22"/>
                <w:color w:val="auto"/>
              </w:rPr>
            </w:pPr>
          </w:p>
        </w:tc>
        <w:tc>
          <w:tcPr>
            <w:tcW w:w="1360" w:type="dxa"/>
            <w:vAlign w:val="bottom"/>
          </w:tcPr>
          <w:p>
            <w:pPr>
              <w:jc w:val="right"/>
              <w:ind w:right="579"/>
              <w:spacing w:after="0"/>
              <w:rPr>
                <w:sz w:val="20"/>
                <w:szCs w:val="20"/>
                <w:color w:val="auto"/>
              </w:rPr>
            </w:pPr>
            <w:r>
              <w:rPr>
                <w:rFonts w:ascii="Arial" w:cs="Arial" w:eastAsia="Arial" w:hAnsi="Arial"/>
                <w:sz w:val="16"/>
                <w:szCs w:val="16"/>
                <w:color w:val="auto"/>
              </w:rPr>
              <w:t>2024</w:t>
            </w:r>
          </w:p>
        </w:tc>
        <w:tc>
          <w:tcPr>
            <w:tcW w:w="2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jc w:val="right"/>
              <w:ind w:right="579"/>
              <w:spacing w:after="0"/>
              <w:rPr>
                <w:sz w:val="20"/>
                <w:szCs w:val="20"/>
                <w:color w:val="auto"/>
              </w:rPr>
            </w:pPr>
            <w:r>
              <w:rPr>
                <w:rFonts w:ascii="Arial" w:cs="Arial" w:eastAsia="Arial" w:hAnsi="Arial"/>
                <w:sz w:val="16"/>
                <w:szCs w:val="16"/>
                <w:color w:val="auto"/>
              </w:rPr>
              <w:t>2023</w:t>
            </w:r>
          </w:p>
        </w:tc>
        <w:tc>
          <w:tcPr>
            <w:tcW w:w="7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40" w:type="dxa"/>
            <w:vAlign w:val="bottom"/>
          </w:tcPr>
          <w:p>
            <w:pPr>
              <w:jc w:val="right"/>
              <w:ind w:right="539"/>
              <w:spacing w:after="0"/>
              <w:rPr>
                <w:sz w:val="20"/>
                <w:szCs w:val="20"/>
                <w:color w:val="auto"/>
              </w:rPr>
            </w:pPr>
            <w:r>
              <w:rPr>
                <w:rFonts w:ascii="Arial" w:cs="Arial" w:eastAsia="Arial" w:hAnsi="Arial"/>
                <w:sz w:val="16"/>
                <w:szCs w:val="16"/>
                <w:color w:val="auto"/>
              </w:rPr>
              <w:t>2024</w:t>
            </w:r>
          </w:p>
        </w:tc>
        <w:tc>
          <w:tcPr>
            <w:tcW w:w="3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60" w:type="dxa"/>
            <w:vAlign w:val="bottom"/>
            <w:tcBorders>
              <w:right w:val="single" w:sz="8" w:color="auto"/>
            </w:tcBorders>
          </w:tcPr>
          <w:p>
            <w:pPr>
              <w:jc w:val="right"/>
              <w:ind w:right="559"/>
              <w:spacing w:after="0"/>
              <w:rPr>
                <w:sz w:val="20"/>
                <w:szCs w:val="20"/>
                <w:color w:val="auto"/>
              </w:rPr>
            </w:pPr>
            <w:r>
              <w:rPr>
                <w:rFonts w:ascii="Arial" w:cs="Arial" w:eastAsia="Arial" w:hAnsi="Arial"/>
                <w:sz w:val="16"/>
                <w:szCs w:val="16"/>
                <w:color w:val="auto"/>
              </w:rPr>
              <w:t>2023</w:t>
            </w:r>
          </w:p>
        </w:tc>
        <w:tc>
          <w:tcPr>
            <w:tcW w:w="0" w:type="dxa"/>
            <w:vAlign w:val="bottom"/>
          </w:tcPr>
          <w:p>
            <w:pPr>
              <w:spacing w:after="0"/>
              <w:rPr>
                <w:sz w:val="1"/>
                <w:szCs w:val="1"/>
                <w:color w:val="auto"/>
              </w:rPr>
            </w:pPr>
          </w:p>
        </w:tc>
      </w:tr>
      <w:tr>
        <w:trPr>
          <w:trHeight w:val="265"/>
        </w:trPr>
        <w:tc>
          <w:tcPr>
            <w:tcW w:w="330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Revenue</w:t>
            </w:r>
          </w:p>
        </w:tc>
        <w:tc>
          <w:tcPr>
            <w:tcW w:w="3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48"/>
        </w:trPr>
        <w:tc>
          <w:tcPr>
            <w:tcW w:w="3300" w:type="dxa"/>
            <w:vAlign w:val="bottom"/>
            <w:tcBorders>
              <w:left w:val="single" w:sz="8" w:color="auto"/>
            </w:tcBorders>
          </w:tcPr>
          <w:p>
            <w:pPr>
              <w:ind w:left="40"/>
              <w:spacing w:after="0"/>
              <w:rPr>
                <w:sz w:val="20"/>
                <w:szCs w:val="20"/>
                <w:color w:val="auto"/>
              </w:rPr>
            </w:pPr>
            <w:r>
              <w:rPr>
                <w:rFonts w:ascii="Arial" w:cs="Arial" w:eastAsia="Arial" w:hAnsi="Arial"/>
                <w:sz w:val="16"/>
                <w:szCs w:val="16"/>
                <w:color w:val="auto"/>
              </w:rPr>
              <w:t>Product sales, net</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36,637</w:t>
            </w:r>
          </w:p>
        </w:tc>
        <w:tc>
          <w:tcPr>
            <w:tcW w:w="280" w:type="dxa"/>
            <w:vAlign w:val="bottom"/>
          </w:tcPr>
          <w:p>
            <w:pPr>
              <w:spacing w:after="0"/>
              <w:rPr>
                <w:sz w:val="21"/>
                <w:szCs w:val="21"/>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42,261</w:t>
            </w:r>
          </w:p>
        </w:tc>
        <w:tc>
          <w:tcPr>
            <w:tcW w:w="300" w:type="dxa"/>
            <w:vAlign w:val="bottom"/>
          </w:tcPr>
          <w:p>
            <w:pPr>
              <w:spacing w:after="0"/>
              <w:rPr>
                <w:sz w:val="21"/>
                <w:szCs w:val="21"/>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6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7"/>
        </w:trPr>
        <w:tc>
          <w:tcPr>
            <w:tcW w:w="3300" w:type="dxa"/>
            <w:vAlign w:val="bottom"/>
            <w:tcBorders>
              <w:left w:val="single" w:sz="8" w:color="auto"/>
            </w:tcBorders>
          </w:tcPr>
          <w:p>
            <w:pPr>
              <w:ind w:left="40"/>
              <w:spacing w:after="0"/>
              <w:rPr>
                <w:sz w:val="20"/>
                <w:szCs w:val="20"/>
                <w:color w:val="auto"/>
              </w:rPr>
            </w:pPr>
            <w:r>
              <w:rPr>
                <w:rFonts w:ascii="Arial" w:cs="Arial" w:eastAsia="Arial" w:hAnsi="Arial"/>
                <w:sz w:val="16"/>
                <w:szCs w:val="16"/>
                <w:color w:val="auto"/>
              </w:rPr>
              <w:t>Other revenue</w:t>
            </w:r>
          </w:p>
        </w:tc>
        <w:tc>
          <w:tcPr>
            <w:tcW w:w="32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18</w:t>
            </w:r>
          </w:p>
        </w:tc>
        <w:tc>
          <w:tcPr>
            <w:tcW w:w="2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18</w:t>
            </w:r>
          </w:p>
        </w:tc>
        <w:tc>
          <w:tcPr>
            <w:tcW w:w="3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6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9"/>
        </w:trPr>
        <w:tc>
          <w:tcPr>
            <w:tcW w:w="3300" w:type="dxa"/>
            <w:vAlign w:val="bottom"/>
            <w:tcBorders>
              <w:left w:val="single" w:sz="8" w:color="auto"/>
            </w:tcBorders>
            <w:vMerge w:val="restart"/>
          </w:tcPr>
          <w:p>
            <w:pPr>
              <w:ind w:left="40"/>
              <w:spacing w:after="0"/>
              <w:rPr>
                <w:sz w:val="20"/>
                <w:szCs w:val="20"/>
                <w:color w:val="auto"/>
              </w:rPr>
            </w:pPr>
            <w:r>
              <w:rPr>
                <w:rFonts w:ascii="Arial" w:cs="Arial" w:eastAsia="Arial" w:hAnsi="Arial"/>
                <w:sz w:val="16"/>
                <w:szCs w:val="16"/>
                <w:b w:val="1"/>
                <w:bCs w:val="1"/>
                <w:color w:val="auto"/>
              </w:rPr>
              <w:t>Total Revenue, net</w:t>
            </w: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7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9"/>
        </w:trPr>
        <w:tc>
          <w:tcPr>
            <w:tcW w:w="3300" w:type="dxa"/>
            <w:vAlign w:val="bottom"/>
            <w:tcBorders>
              <w:left w:val="single" w:sz="8" w:color="auto"/>
            </w:tcBorders>
            <w:vMerge w:val="continue"/>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36,655</w:t>
            </w: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42,279</w:t>
            </w: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
        </w:trPr>
        <w:tc>
          <w:tcPr>
            <w:tcW w:w="3300" w:type="dxa"/>
            <w:vAlign w:val="bottom"/>
            <w:tcBorders>
              <w:left w:val="single" w:sz="8" w:color="auto"/>
            </w:tcBorders>
            <w:vMerge w:val="restart"/>
          </w:tcPr>
          <w:p>
            <w:pPr>
              <w:ind w:left="40"/>
              <w:spacing w:after="0"/>
              <w:rPr>
                <w:sz w:val="20"/>
                <w:szCs w:val="20"/>
                <w:color w:val="auto"/>
              </w:rPr>
            </w:pPr>
            <w:r>
              <w:rPr>
                <w:rFonts w:ascii="Arial" w:cs="Arial" w:eastAsia="Arial" w:hAnsi="Arial"/>
                <w:sz w:val="16"/>
                <w:szCs w:val="16"/>
                <w:b w:val="1"/>
                <w:bCs w:val="1"/>
                <w:color w:val="auto"/>
              </w:rPr>
              <w:t>Operating expenses</w:t>
            </w:r>
          </w:p>
        </w:tc>
        <w:tc>
          <w:tcPr>
            <w:tcW w:w="3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3300" w:type="dxa"/>
            <w:vAlign w:val="bottom"/>
            <w:tcBorders>
              <w:left w:val="single" w:sz="8" w:color="auto"/>
            </w:tcBorders>
            <w:vMerge w:val="continue"/>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3300" w:type="dxa"/>
            <w:vAlign w:val="bottom"/>
            <w:tcBorders>
              <w:left w:val="single" w:sz="8" w:color="auto"/>
            </w:tcBorders>
          </w:tcPr>
          <w:p>
            <w:pPr>
              <w:ind w:left="40"/>
              <w:spacing w:after="0"/>
              <w:rPr>
                <w:sz w:val="20"/>
                <w:szCs w:val="20"/>
                <w:color w:val="auto"/>
              </w:rPr>
            </w:pPr>
            <w:r>
              <w:rPr>
                <w:rFonts w:ascii="Arial" w:cs="Arial" w:eastAsia="Arial" w:hAnsi="Arial"/>
                <w:sz w:val="16"/>
                <w:szCs w:val="16"/>
                <w:color w:val="auto"/>
              </w:rPr>
              <w:t>Cost of sales</w:t>
            </w:r>
          </w:p>
        </w:tc>
        <w:tc>
          <w:tcPr>
            <w:tcW w:w="3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2,039</w:t>
            </w:r>
          </w:p>
        </w:tc>
        <w:tc>
          <w:tcPr>
            <w:tcW w:w="2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2,582</w:t>
            </w:r>
          </w:p>
        </w:tc>
        <w:tc>
          <w:tcPr>
            <w:tcW w:w="3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7"/>
        </w:trPr>
        <w:tc>
          <w:tcPr>
            <w:tcW w:w="3300" w:type="dxa"/>
            <w:vAlign w:val="bottom"/>
            <w:tcBorders>
              <w:left w:val="single" w:sz="8" w:color="auto"/>
            </w:tcBorders>
          </w:tcPr>
          <w:p>
            <w:pPr>
              <w:ind w:left="40"/>
              <w:spacing w:after="0"/>
              <w:rPr>
                <w:sz w:val="20"/>
                <w:szCs w:val="20"/>
                <w:color w:val="auto"/>
              </w:rPr>
            </w:pPr>
            <w:r>
              <w:rPr>
                <w:rFonts w:ascii="Arial" w:cs="Arial" w:eastAsia="Arial" w:hAnsi="Arial"/>
                <w:sz w:val="16"/>
                <w:szCs w:val="16"/>
                <w:color w:val="auto"/>
              </w:rPr>
              <w:t>Research and development</w:t>
            </w:r>
          </w:p>
        </w:tc>
        <w:tc>
          <w:tcPr>
            <w:tcW w:w="32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7,870</w:t>
            </w:r>
          </w:p>
        </w:tc>
        <w:tc>
          <w:tcPr>
            <w:tcW w:w="2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4,122</w:t>
            </w:r>
          </w:p>
        </w:tc>
        <w:tc>
          <w:tcPr>
            <w:tcW w:w="7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44,574</w:t>
            </w:r>
          </w:p>
        </w:tc>
        <w:tc>
          <w:tcPr>
            <w:tcW w:w="3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6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17,216</w:t>
            </w:r>
          </w:p>
        </w:tc>
        <w:tc>
          <w:tcPr>
            <w:tcW w:w="0" w:type="dxa"/>
            <w:vAlign w:val="bottom"/>
          </w:tcPr>
          <w:p>
            <w:pPr>
              <w:spacing w:after="0"/>
              <w:rPr>
                <w:sz w:val="1"/>
                <w:szCs w:val="1"/>
                <w:color w:val="auto"/>
              </w:rPr>
            </w:pPr>
          </w:p>
        </w:tc>
      </w:tr>
      <w:tr>
        <w:trPr>
          <w:trHeight w:val="256"/>
        </w:trPr>
        <w:tc>
          <w:tcPr>
            <w:tcW w:w="3300" w:type="dxa"/>
            <w:vAlign w:val="bottom"/>
            <w:tcBorders>
              <w:left w:val="single" w:sz="8" w:color="auto"/>
            </w:tcBorders>
          </w:tcPr>
          <w:p>
            <w:pPr>
              <w:ind w:left="40"/>
              <w:spacing w:after="0"/>
              <w:rPr>
                <w:sz w:val="20"/>
                <w:szCs w:val="20"/>
                <w:color w:val="auto"/>
              </w:rPr>
            </w:pPr>
            <w:r>
              <w:rPr>
                <w:rFonts w:ascii="Arial" w:cs="Arial" w:eastAsia="Arial" w:hAnsi="Arial"/>
                <w:sz w:val="16"/>
                <w:szCs w:val="16"/>
                <w:color w:val="auto"/>
              </w:rPr>
              <w:t>Selling, general and administrative</w:t>
            </w:r>
          </w:p>
        </w:tc>
        <w:tc>
          <w:tcPr>
            <w:tcW w:w="32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45,085</w:t>
            </w:r>
          </w:p>
        </w:tc>
        <w:tc>
          <w:tcPr>
            <w:tcW w:w="2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14,972</w:t>
            </w:r>
          </w:p>
        </w:tc>
        <w:tc>
          <w:tcPr>
            <w:tcW w:w="7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149,750</w:t>
            </w:r>
          </w:p>
        </w:tc>
        <w:tc>
          <w:tcPr>
            <w:tcW w:w="3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6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50,353</w:t>
            </w:r>
          </w:p>
        </w:tc>
        <w:tc>
          <w:tcPr>
            <w:tcW w:w="0" w:type="dxa"/>
            <w:vAlign w:val="bottom"/>
          </w:tcPr>
          <w:p>
            <w:pPr>
              <w:spacing w:after="0"/>
              <w:rPr>
                <w:sz w:val="1"/>
                <w:szCs w:val="1"/>
                <w:color w:val="auto"/>
              </w:rPr>
            </w:pPr>
          </w:p>
        </w:tc>
      </w:tr>
      <w:tr>
        <w:trPr>
          <w:trHeight w:val="29"/>
        </w:trPr>
        <w:tc>
          <w:tcPr>
            <w:tcW w:w="3300" w:type="dxa"/>
            <w:vAlign w:val="bottom"/>
            <w:tcBorders>
              <w:left w:val="single" w:sz="8" w:color="auto"/>
            </w:tcBorders>
            <w:vMerge w:val="restart"/>
          </w:tcPr>
          <w:p>
            <w:pPr>
              <w:ind w:left="40"/>
              <w:spacing w:after="0"/>
              <w:rPr>
                <w:sz w:val="20"/>
                <w:szCs w:val="20"/>
                <w:color w:val="auto"/>
              </w:rPr>
            </w:pPr>
            <w:r>
              <w:rPr>
                <w:rFonts w:ascii="Arial" w:cs="Arial" w:eastAsia="Arial" w:hAnsi="Arial"/>
                <w:sz w:val="16"/>
                <w:szCs w:val="16"/>
                <w:b w:val="1"/>
                <w:bCs w:val="1"/>
                <w:color w:val="auto"/>
              </w:rPr>
              <w:t>Total operating expenses</w:t>
            </w: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7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9"/>
        </w:trPr>
        <w:tc>
          <w:tcPr>
            <w:tcW w:w="3300" w:type="dxa"/>
            <w:vAlign w:val="bottom"/>
            <w:tcBorders>
              <w:left w:val="single" w:sz="8" w:color="auto"/>
            </w:tcBorders>
            <w:vMerge w:val="continue"/>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54,994</w:t>
            </w: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19,094</w:t>
            </w:r>
          </w:p>
        </w:tc>
        <w:tc>
          <w:tcPr>
            <w:tcW w:w="7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196,906</w:t>
            </w: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67,569</w:t>
            </w:r>
          </w:p>
        </w:tc>
        <w:tc>
          <w:tcPr>
            <w:tcW w:w="0" w:type="dxa"/>
            <w:vAlign w:val="bottom"/>
          </w:tcPr>
          <w:p>
            <w:pPr>
              <w:spacing w:after="0"/>
              <w:rPr>
                <w:sz w:val="1"/>
                <w:szCs w:val="1"/>
                <w:color w:val="auto"/>
              </w:rPr>
            </w:pPr>
          </w:p>
        </w:tc>
      </w:tr>
      <w:tr>
        <w:trPr>
          <w:trHeight w:val="21"/>
        </w:trPr>
        <w:tc>
          <w:tcPr>
            <w:tcW w:w="3300" w:type="dxa"/>
            <w:vAlign w:val="bottom"/>
            <w:tcBorders>
              <w:left w:val="single" w:sz="8" w:color="auto"/>
            </w:tcBorders>
            <w:vMerge w:val="restart"/>
          </w:tcPr>
          <w:p>
            <w:pPr>
              <w:ind w:left="40"/>
              <w:spacing w:after="0"/>
              <w:rPr>
                <w:sz w:val="20"/>
                <w:szCs w:val="20"/>
                <w:color w:val="auto"/>
              </w:rPr>
            </w:pPr>
            <w:r>
              <w:rPr>
                <w:rFonts w:ascii="Arial" w:cs="Arial" w:eastAsia="Arial" w:hAnsi="Arial"/>
                <w:sz w:val="16"/>
                <w:szCs w:val="16"/>
                <w:b w:val="1"/>
                <w:bCs w:val="1"/>
                <w:color w:val="auto"/>
              </w:rPr>
              <w:t>Operating loss</w:t>
            </w:r>
          </w:p>
        </w:tc>
        <w:tc>
          <w:tcPr>
            <w:tcW w:w="3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9"/>
        </w:trPr>
        <w:tc>
          <w:tcPr>
            <w:tcW w:w="3300" w:type="dxa"/>
            <w:vAlign w:val="bottom"/>
            <w:tcBorders>
              <w:left w:val="single" w:sz="8" w:color="auto"/>
            </w:tcBorders>
            <w:vMerge w:val="continue"/>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(18,339)</w:t>
            </w: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(19,094)</w:t>
            </w:r>
          </w:p>
        </w:tc>
        <w:tc>
          <w:tcPr>
            <w:tcW w:w="7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(154,627)</w:t>
            </w: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(67,569)</w:t>
            </w:r>
          </w:p>
        </w:tc>
        <w:tc>
          <w:tcPr>
            <w:tcW w:w="0" w:type="dxa"/>
            <w:vAlign w:val="bottom"/>
          </w:tcPr>
          <w:p>
            <w:pPr>
              <w:spacing w:after="0"/>
              <w:rPr>
                <w:sz w:val="1"/>
                <w:szCs w:val="1"/>
                <w:color w:val="auto"/>
              </w:rPr>
            </w:pPr>
          </w:p>
        </w:tc>
      </w:tr>
      <w:tr>
        <w:trPr>
          <w:trHeight w:val="257"/>
        </w:trPr>
        <w:tc>
          <w:tcPr>
            <w:tcW w:w="330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Other income/(expense)</w:t>
            </w:r>
          </w:p>
        </w:tc>
        <w:tc>
          <w:tcPr>
            <w:tcW w:w="3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49"/>
        </w:trPr>
        <w:tc>
          <w:tcPr>
            <w:tcW w:w="3300" w:type="dxa"/>
            <w:vAlign w:val="bottom"/>
            <w:tcBorders>
              <w:left w:val="single" w:sz="8" w:color="auto"/>
            </w:tcBorders>
          </w:tcPr>
          <w:p>
            <w:pPr>
              <w:ind w:left="40"/>
              <w:spacing w:after="0"/>
              <w:rPr>
                <w:sz w:val="20"/>
                <w:szCs w:val="20"/>
                <w:color w:val="auto"/>
              </w:rPr>
            </w:pPr>
            <w:r>
              <w:rPr>
                <w:rFonts w:ascii="Arial" w:cs="Arial" w:eastAsia="Arial" w:hAnsi="Arial"/>
                <w:sz w:val="16"/>
                <w:szCs w:val="16"/>
                <w:color w:val="auto"/>
              </w:rPr>
              <w:t>Research &amp; development tax credit</w:t>
            </w:r>
          </w:p>
        </w:tc>
        <w:tc>
          <w:tcPr>
            <w:tcW w:w="3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556</w:t>
            </w:r>
          </w:p>
        </w:tc>
        <w:tc>
          <w:tcPr>
            <w:tcW w:w="2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1,034</w:t>
            </w:r>
          </w:p>
        </w:tc>
        <w:tc>
          <w:tcPr>
            <w:tcW w:w="7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3,600</w:t>
            </w:r>
          </w:p>
        </w:tc>
        <w:tc>
          <w:tcPr>
            <w:tcW w:w="3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1,104</w:t>
            </w:r>
          </w:p>
        </w:tc>
        <w:tc>
          <w:tcPr>
            <w:tcW w:w="0" w:type="dxa"/>
            <w:vAlign w:val="bottom"/>
          </w:tcPr>
          <w:p>
            <w:pPr>
              <w:spacing w:after="0"/>
              <w:rPr>
                <w:sz w:val="1"/>
                <w:szCs w:val="1"/>
                <w:color w:val="auto"/>
              </w:rPr>
            </w:pPr>
          </w:p>
        </w:tc>
      </w:tr>
      <w:tr>
        <w:trPr>
          <w:trHeight w:val="256"/>
        </w:trPr>
        <w:tc>
          <w:tcPr>
            <w:tcW w:w="3300" w:type="dxa"/>
            <w:vAlign w:val="bottom"/>
            <w:tcBorders>
              <w:left w:val="single" w:sz="8" w:color="auto"/>
            </w:tcBorders>
          </w:tcPr>
          <w:p>
            <w:pPr>
              <w:ind w:left="40"/>
              <w:spacing w:after="0"/>
              <w:rPr>
                <w:sz w:val="20"/>
                <w:szCs w:val="20"/>
                <w:color w:val="auto"/>
              </w:rPr>
            </w:pPr>
            <w:r>
              <w:rPr>
                <w:rFonts w:ascii="Arial" w:cs="Arial" w:eastAsia="Arial" w:hAnsi="Arial"/>
                <w:sz w:val="16"/>
                <w:szCs w:val="16"/>
                <w:color w:val="auto"/>
              </w:rPr>
              <w:t>Loss on extinguishment of debt</w:t>
            </w:r>
          </w:p>
        </w:tc>
        <w:tc>
          <w:tcPr>
            <w:tcW w:w="320" w:type="dxa"/>
            <w:vAlign w:val="bottom"/>
          </w:tcPr>
          <w:p>
            <w:pPr>
              <w:spacing w:after="0"/>
              <w:rPr>
                <w:sz w:val="22"/>
                <w:szCs w:val="22"/>
                <w:color w:val="auto"/>
              </w:rPr>
            </w:pPr>
          </w:p>
        </w:tc>
        <w:tc>
          <w:tcPr>
            <w:tcW w:w="164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(3,653)</w:t>
            </w:r>
          </w:p>
        </w:tc>
        <w:tc>
          <w:tcPr>
            <w:tcW w:w="3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6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7"/>
        </w:trPr>
        <w:tc>
          <w:tcPr>
            <w:tcW w:w="3300" w:type="dxa"/>
            <w:vAlign w:val="bottom"/>
            <w:tcBorders>
              <w:left w:val="single" w:sz="8" w:color="auto"/>
            </w:tcBorders>
          </w:tcPr>
          <w:p>
            <w:pPr>
              <w:ind w:left="40"/>
              <w:spacing w:after="0"/>
              <w:rPr>
                <w:sz w:val="20"/>
                <w:szCs w:val="20"/>
                <w:color w:val="auto"/>
              </w:rPr>
            </w:pPr>
            <w:r>
              <w:rPr>
                <w:rFonts w:ascii="Arial" w:cs="Arial" w:eastAsia="Arial" w:hAnsi="Arial"/>
                <w:sz w:val="16"/>
                <w:szCs w:val="16"/>
                <w:color w:val="auto"/>
              </w:rPr>
              <w:t>Interest income</w:t>
            </w:r>
          </w:p>
        </w:tc>
        <w:tc>
          <w:tcPr>
            <w:tcW w:w="32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3,994</w:t>
            </w:r>
          </w:p>
        </w:tc>
        <w:tc>
          <w:tcPr>
            <w:tcW w:w="2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3,292</w:t>
            </w:r>
          </w:p>
        </w:tc>
        <w:tc>
          <w:tcPr>
            <w:tcW w:w="7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15,262</w:t>
            </w:r>
          </w:p>
        </w:tc>
        <w:tc>
          <w:tcPr>
            <w:tcW w:w="3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6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12,761</w:t>
            </w:r>
          </w:p>
        </w:tc>
        <w:tc>
          <w:tcPr>
            <w:tcW w:w="0" w:type="dxa"/>
            <w:vAlign w:val="bottom"/>
          </w:tcPr>
          <w:p>
            <w:pPr>
              <w:spacing w:after="0"/>
              <w:rPr>
                <w:sz w:val="1"/>
                <w:szCs w:val="1"/>
                <w:color w:val="auto"/>
              </w:rPr>
            </w:pPr>
          </w:p>
        </w:tc>
      </w:tr>
      <w:tr>
        <w:trPr>
          <w:trHeight w:val="256"/>
        </w:trPr>
        <w:tc>
          <w:tcPr>
            <w:tcW w:w="3300" w:type="dxa"/>
            <w:vAlign w:val="bottom"/>
            <w:tcBorders>
              <w:left w:val="single" w:sz="8" w:color="auto"/>
            </w:tcBorders>
          </w:tcPr>
          <w:p>
            <w:pPr>
              <w:ind w:left="40"/>
              <w:spacing w:after="0"/>
              <w:rPr>
                <w:sz w:val="20"/>
                <w:szCs w:val="20"/>
                <w:color w:val="auto"/>
              </w:rPr>
            </w:pPr>
            <w:r>
              <w:rPr>
                <w:rFonts w:ascii="Arial" w:cs="Arial" w:eastAsia="Arial" w:hAnsi="Arial"/>
                <w:sz w:val="16"/>
                <w:szCs w:val="16"/>
                <w:color w:val="auto"/>
              </w:rPr>
              <w:t>Interest expense</w:t>
            </w:r>
          </w:p>
        </w:tc>
        <w:tc>
          <w:tcPr>
            <w:tcW w:w="32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(10,317)</w:t>
            </w:r>
          </w:p>
        </w:tc>
        <w:tc>
          <w:tcPr>
            <w:tcW w:w="2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(623)</w:t>
            </w:r>
          </w:p>
        </w:tc>
        <w:tc>
          <w:tcPr>
            <w:tcW w:w="7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(23,542)</w:t>
            </w:r>
          </w:p>
        </w:tc>
        <w:tc>
          <w:tcPr>
            <w:tcW w:w="3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6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(2,057)</w:t>
            </w:r>
          </w:p>
        </w:tc>
        <w:tc>
          <w:tcPr>
            <w:tcW w:w="0" w:type="dxa"/>
            <w:vAlign w:val="bottom"/>
          </w:tcPr>
          <w:p>
            <w:pPr>
              <w:spacing w:after="0"/>
              <w:rPr>
                <w:sz w:val="1"/>
                <w:szCs w:val="1"/>
                <w:color w:val="auto"/>
              </w:rPr>
            </w:pPr>
          </w:p>
        </w:tc>
      </w:tr>
      <w:tr>
        <w:trPr>
          <w:trHeight w:val="257"/>
        </w:trPr>
        <w:tc>
          <w:tcPr>
            <w:tcW w:w="3300" w:type="dxa"/>
            <w:vAlign w:val="bottom"/>
            <w:tcBorders>
              <w:left w:val="single" w:sz="8" w:color="auto"/>
            </w:tcBorders>
          </w:tcPr>
          <w:p>
            <w:pPr>
              <w:ind w:left="40"/>
              <w:spacing w:after="0"/>
              <w:rPr>
                <w:sz w:val="20"/>
                <w:szCs w:val="20"/>
                <w:color w:val="auto"/>
              </w:rPr>
            </w:pPr>
            <w:r>
              <w:rPr>
                <w:rFonts w:ascii="Arial" w:cs="Arial" w:eastAsia="Arial" w:hAnsi="Arial"/>
                <w:sz w:val="16"/>
                <w:szCs w:val="16"/>
                <w:color w:val="auto"/>
              </w:rPr>
              <w:t>Foreign exchange gain/(loss)</w:t>
            </w:r>
          </w:p>
        </w:tc>
        <w:tc>
          <w:tcPr>
            <w:tcW w:w="32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(1,450)</w:t>
            </w:r>
          </w:p>
        </w:tc>
        <w:tc>
          <w:tcPr>
            <w:tcW w:w="2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1,206</w:t>
            </w:r>
          </w:p>
        </w:tc>
        <w:tc>
          <w:tcPr>
            <w:tcW w:w="7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(169)</w:t>
            </w:r>
          </w:p>
        </w:tc>
        <w:tc>
          <w:tcPr>
            <w:tcW w:w="3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6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1,866</w:t>
            </w:r>
          </w:p>
        </w:tc>
        <w:tc>
          <w:tcPr>
            <w:tcW w:w="0" w:type="dxa"/>
            <w:vAlign w:val="bottom"/>
          </w:tcPr>
          <w:p>
            <w:pPr>
              <w:spacing w:after="0"/>
              <w:rPr>
                <w:sz w:val="1"/>
                <w:szCs w:val="1"/>
                <w:color w:val="auto"/>
              </w:rPr>
            </w:pPr>
          </w:p>
        </w:tc>
      </w:tr>
      <w:tr>
        <w:trPr>
          <w:trHeight w:val="29"/>
        </w:trPr>
        <w:tc>
          <w:tcPr>
            <w:tcW w:w="3300" w:type="dxa"/>
            <w:vAlign w:val="bottom"/>
            <w:tcBorders>
              <w:left w:val="single" w:sz="8" w:color="auto"/>
            </w:tcBorders>
            <w:vMerge w:val="restart"/>
          </w:tcPr>
          <w:p>
            <w:pPr>
              <w:ind w:left="40"/>
              <w:spacing w:after="0"/>
              <w:rPr>
                <w:sz w:val="20"/>
                <w:szCs w:val="20"/>
                <w:color w:val="auto"/>
              </w:rPr>
            </w:pPr>
            <w:r>
              <w:rPr>
                <w:rFonts w:ascii="Arial" w:cs="Arial" w:eastAsia="Arial" w:hAnsi="Arial"/>
                <w:sz w:val="16"/>
                <w:szCs w:val="16"/>
                <w:b w:val="1"/>
                <w:bCs w:val="1"/>
                <w:color w:val="auto"/>
              </w:rPr>
              <w:t>Total other income/(expense), net</w:t>
            </w: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7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9"/>
        </w:trPr>
        <w:tc>
          <w:tcPr>
            <w:tcW w:w="3300" w:type="dxa"/>
            <w:vAlign w:val="bottom"/>
            <w:tcBorders>
              <w:left w:val="single" w:sz="8" w:color="auto"/>
            </w:tcBorders>
            <w:vMerge w:val="continue"/>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(7,217)</w:t>
            </w: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4,909</w:t>
            </w:r>
          </w:p>
        </w:tc>
        <w:tc>
          <w:tcPr>
            <w:tcW w:w="7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(8,502)</w:t>
            </w: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13,674</w:t>
            </w:r>
          </w:p>
        </w:tc>
        <w:tc>
          <w:tcPr>
            <w:tcW w:w="0" w:type="dxa"/>
            <w:vAlign w:val="bottom"/>
          </w:tcPr>
          <w:p>
            <w:pPr>
              <w:spacing w:after="0"/>
              <w:rPr>
                <w:sz w:val="1"/>
                <w:szCs w:val="1"/>
                <w:color w:val="auto"/>
              </w:rPr>
            </w:pPr>
          </w:p>
        </w:tc>
      </w:tr>
      <w:tr>
        <w:trPr>
          <w:trHeight w:val="21"/>
        </w:trPr>
        <w:tc>
          <w:tcPr>
            <w:tcW w:w="3300" w:type="dxa"/>
            <w:vAlign w:val="bottom"/>
            <w:tcBorders>
              <w:left w:val="single" w:sz="8" w:color="auto"/>
            </w:tcBorders>
            <w:vMerge w:val="restart"/>
          </w:tcPr>
          <w:p>
            <w:pPr>
              <w:ind w:left="40"/>
              <w:spacing w:after="0"/>
              <w:rPr>
                <w:sz w:val="20"/>
                <w:szCs w:val="20"/>
                <w:color w:val="auto"/>
              </w:rPr>
            </w:pPr>
            <w:r>
              <w:rPr>
                <w:rFonts w:ascii="Arial" w:cs="Arial" w:eastAsia="Arial" w:hAnsi="Arial"/>
                <w:sz w:val="16"/>
                <w:szCs w:val="16"/>
                <w:b w:val="1"/>
                <w:bCs w:val="1"/>
                <w:color w:val="auto"/>
              </w:rPr>
              <w:t>Loss before income taxes</w:t>
            </w:r>
          </w:p>
        </w:tc>
        <w:tc>
          <w:tcPr>
            <w:tcW w:w="3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9"/>
        </w:trPr>
        <w:tc>
          <w:tcPr>
            <w:tcW w:w="3300" w:type="dxa"/>
            <w:vAlign w:val="bottom"/>
            <w:tcBorders>
              <w:left w:val="single" w:sz="8" w:color="auto"/>
            </w:tcBorders>
            <w:vMerge w:val="continue"/>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(25,556)</w:t>
            </w: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(14,185)</w:t>
            </w:r>
          </w:p>
        </w:tc>
        <w:tc>
          <w:tcPr>
            <w:tcW w:w="7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(163,129)</w:t>
            </w: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(53,895)</w:t>
            </w:r>
          </w:p>
        </w:tc>
        <w:tc>
          <w:tcPr>
            <w:tcW w:w="0" w:type="dxa"/>
            <w:vAlign w:val="bottom"/>
          </w:tcPr>
          <w:p>
            <w:pPr>
              <w:spacing w:after="0"/>
              <w:rPr>
                <w:sz w:val="1"/>
                <w:szCs w:val="1"/>
                <w:color w:val="auto"/>
              </w:rPr>
            </w:pPr>
          </w:p>
        </w:tc>
      </w:tr>
      <w:tr>
        <w:trPr>
          <w:trHeight w:val="248"/>
        </w:trPr>
        <w:tc>
          <w:tcPr>
            <w:tcW w:w="3300" w:type="dxa"/>
            <w:vAlign w:val="bottom"/>
            <w:tcBorders>
              <w:left w:val="single" w:sz="8" w:color="auto"/>
            </w:tcBorders>
          </w:tcPr>
          <w:p>
            <w:pPr>
              <w:ind w:left="40"/>
              <w:spacing w:after="0"/>
              <w:rPr>
                <w:sz w:val="20"/>
                <w:szCs w:val="20"/>
                <w:color w:val="auto"/>
              </w:rPr>
            </w:pPr>
            <w:r>
              <w:rPr>
                <w:rFonts w:ascii="Arial" w:cs="Arial" w:eastAsia="Arial" w:hAnsi="Arial"/>
                <w:sz w:val="16"/>
                <w:szCs w:val="16"/>
                <w:color w:val="auto"/>
              </w:rPr>
              <w:t>Income tax benefit/(expense)</w:t>
            </w:r>
          </w:p>
        </w:tc>
        <w:tc>
          <w:tcPr>
            <w:tcW w:w="3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(8,271)</w:t>
            </w:r>
          </w:p>
        </w:tc>
        <w:tc>
          <w:tcPr>
            <w:tcW w:w="2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53</w:t>
            </w:r>
          </w:p>
        </w:tc>
        <w:tc>
          <w:tcPr>
            <w:tcW w:w="7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(10,289)</w:t>
            </w:r>
          </w:p>
        </w:tc>
        <w:tc>
          <w:tcPr>
            <w:tcW w:w="3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(474)</w:t>
            </w:r>
          </w:p>
        </w:tc>
        <w:tc>
          <w:tcPr>
            <w:tcW w:w="0" w:type="dxa"/>
            <w:vAlign w:val="bottom"/>
          </w:tcPr>
          <w:p>
            <w:pPr>
              <w:spacing w:after="0"/>
              <w:rPr>
                <w:sz w:val="1"/>
                <w:szCs w:val="1"/>
                <w:color w:val="auto"/>
              </w:rPr>
            </w:pPr>
          </w:p>
        </w:tc>
      </w:tr>
      <w:tr>
        <w:trPr>
          <w:trHeight w:val="29"/>
        </w:trPr>
        <w:tc>
          <w:tcPr>
            <w:tcW w:w="3300" w:type="dxa"/>
            <w:vAlign w:val="bottom"/>
            <w:tcBorders>
              <w:left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7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30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Net loss</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(33,827)</w:t>
            </w:r>
          </w:p>
        </w:tc>
        <w:tc>
          <w:tcPr>
            <w:tcW w:w="280" w:type="dxa"/>
            <w:vAlign w:val="bottom"/>
          </w:tcPr>
          <w:p>
            <w:pPr>
              <w:spacing w:after="0"/>
              <w:rPr>
                <w:sz w:val="21"/>
                <w:szCs w:val="21"/>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(14,132)</w:t>
            </w:r>
          </w:p>
        </w:tc>
        <w:tc>
          <w:tcPr>
            <w:tcW w:w="11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(173,418)</w:t>
            </w:r>
          </w:p>
        </w:tc>
        <w:tc>
          <w:tcPr>
            <w:tcW w:w="300" w:type="dxa"/>
            <w:vAlign w:val="bottom"/>
          </w:tcPr>
          <w:p>
            <w:pPr>
              <w:spacing w:after="0"/>
              <w:rPr>
                <w:sz w:val="21"/>
                <w:szCs w:val="21"/>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6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(54,369)</w:t>
            </w:r>
          </w:p>
        </w:tc>
        <w:tc>
          <w:tcPr>
            <w:tcW w:w="0" w:type="dxa"/>
            <w:vAlign w:val="bottom"/>
          </w:tcPr>
          <w:p>
            <w:pPr>
              <w:spacing w:after="0"/>
              <w:rPr>
                <w:sz w:val="1"/>
                <w:szCs w:val="1"/>
                <w:color w:val="auto"/>
              </w:rPr>
            </w:pPr>
          </w:p>
        </w:tc>
      </w:tr>
      <w:tr>
        <w:trPr>
          <w:trHeight w:val="20"/>
        </w:trPr>
        <w:tc>
          <w:tcPr>
            <w:tcW w:w="3300" w:type="dxa"/>
            <w:vAlign w:val="bottom"/>
            <w:tcBorders>
              <w:left w:val="single" w:sz="8" w:color="auto"/>
            </w:tcBorders>
            <w:vMerge w:val="restart"/>
          </w:tcPr>
          <w:p>
            <w:pPr>
              <w:ind w:left="40"/>
              <w:spacing w:after="0"/>
              <w:rPr>
                <w:sz w:val="20"/>
                <w:szCs w:val="20"/>
                <w:color w:val="auto"/>
              </w:rPr>
            </w:pPr>
            <w:r>
              <w:rPr>
                <w:rFonts w:ascii="Arial" w:cs="Arial" w:eastAsia="Arial" w:hAnsi="Arial"/>
                <w:sz w:val="16"/>
                <w:szCs w:val="16"/>
                <w:color w:val="auto"/>
              </w:rPr>
              <w:t>Weighted average shares outstanding –</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5"/>
        </w:trPr>
        <w:tc>
          <w:tcPr>
            <w:tcW w:w="3300" w:type="dxa"/>
            <w:vAlign w:val="bottom"/>
            <w:tcBorders>
              <w:left w:val="single" w:sz="8" w:color="auto"/>
            </w:tcBorders>
            <w:vMerge w:val="continue"/>
          </w:tcPr>
          <w:p>
            <w:pPr>
              <w:spacing w:after="0"/>
              <w:rPr>
                <w:sz w:val="24"/>
                <w:szCs w:val="24"/>
                <w:color w:val="auto"/>
              </w:rPr>
            </w:pPr>
          </w:p>
        </w:tc>
        <w:tc>
          <w:tcPr>
            <w:tcW w:w="320" w:type="dxa"/>
            <w:vAlign w:val="bottom"/>
          </w:tcPr>
          <w:p>
            <w:pPr>
              <w:spacing w:after="0"/>
              <w:rPr>
                <w:sz w:val="24"/>
                <w:szCs w:val="24"/>
                <w:color w:val="auto"/>
              </w:rPr>
            </w:pPr>
          </w:p>
        </w:tc>
        <w:tc>
          <w:tcPr>
            <w:tcW w:w="1360" w:type="dxa"/>
            <w:vAlign w:val="bottom"/>
            <w:vMerge w:val="restart"/>
          </w:tcPr>
          <w:p>
            <w:pPr>
              <w:jc w:val="right"/>
              <w:spacing w:after="0"/>
              <w:rPr>
                <w:sz w:val="20"/>
                <w:szCs w:val="20"/>
                <w:color w:val="auto"/>
              </w:rPr>
            </w:pPr>
            <w:r>
              <w:rPr>
                <w:rFonts w:ascii="Arial" w:cs="Arial" w:eastAsia="Arial" w:hAnsi="Arial"/>
                <w:sz w:val="16"/>
                <w:szCs w:val="16"/>
                <w:color w:val="auto"/>
              </w:rPr>
              <w:t>663,263,855</w:t>
            </w: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vMerge w:val="restart"/>
          </w:tcPr>
          <w:p>
            <w:pPr>
              <w:jc w:val="right"/>
              <w:spacing w:after="0"/>
              <w:rPr>
                <w:sz w:val="20"/>
                <w:szCs w:val="20"/>
                <w:color w:val="auto"/>
              </w:rPr>
            </w:pPr>
            <w:r>
              <w:rPr>
                <w:rFonts w:ascii="Arial" w:cs="Arial" w:eastAsia="Arial" w:hAnsi="Arial"/>
                <w:sz w:val="16"/>
                <w:szCs w:val="16"/>
                <w:color w:val="auto"/>
              </w:rPr>
              <w:t>642,139,211</w:t>
            </w: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vMerge w:val="restart"/>
          </w:tcPr>
          <w:p>
            <w:pPr>
              <w:jc w:val="right"/>
              <w:spacing w:after="0"/>
              <w:rPr>
                <w:sz w:val="20"/>
                <w:szCs w:val="20"/>
                <w:color w:val="auto"/>
              </w:rPr>
            </w:pPr>
            <w:r>
              <w:rPr>
                <w:rFonts w:ascii="Arial" w:cs="Arial" w:eastAsia="Arial" w:hAnsi="Arial"/>
                <w:sz w:val="16"/>
                <w:szCs w:val="16"/>
                <w:color w:val="auto"/>
              </w:rPr>
              <w:t>652,310,582</w:t>
            </w: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Borders>
              <w:right w:val="single" w:sz="8" w:color="auto"/>
            </w:tcBorders>
            <w:vMerge w:val="restart"/>
          </w:tcPr>
          <w:p>
            <w:pPr>
              <w:jc w:val="right"/>
              <w:spacing w:after="0"/>
              <w:rPr>
                <w:sz w:val="20"/>
                <w:szCs w:val="20"/>
                <w:color w:val="auto"/>
              </w:rPr>
            </w:pPr>
            <w:r>
              <w:rPr>
                <w:rFonts w:ascii="Arial" w:cs="Arial" w:eastAsia="Arial" w:hAnsi="Arial"/>
                <w:sz w:val="16"/>
                <w:szCs w:val="16"/>
                <w:color w:val="auto"/>
              </w:rPr>
              <w:t>634,142,660</w:t>
            </w:r>
          </w:p>
        </w:tc>
        <w:tc>
          <w:tcPr>
            <w:tcW w:w="0" w:type="dxa"/>
            <w:vAlign w:val="bottom"/>
          </w:tcPr>
          <w:p>
            <w:pPr>
              <w:spacing w:after="0"/>
              <w:rPr>
                <w:sz w:val="1"/>
                <w:szCs w:val="1"/>
                <w:color w:val="auto"/>
              </w:rPr>
            </w:pPr>
          </w:p>
        </w:tc>
      </w:tr>
      <w:tr>
        <w:trPr>
          <w:trHeight w:val="237"/>
        </w:trPr>
        <w:tc>
          <w:tcPr>
            <w:tcW w:w="3300" w:type="dxa"/>
            <w:vAlign w:val="bottom"/>
            <w:tcBorders>
              <w:left w:val="single" w:sz="8" w:color="auto"/>
            </w:tcBorders>
          </w:tcPr>
          <w:p>
            <w:pPr>
              <w:ind w:left="40"/>
              <w:spacing w:after="0"/>
              <w:rPr>
                <w:sz w:val="20"/>
                <w:szCs w:val="20"/>
                <w:color w:val="auto"/>
              </w:rPr>
            </w:pPr>
            <w:r>
              <w:rPr>
                <w:rFonts w:ascii="Arial" w:cs="Arial" w:eastAsia="Arial" w:hAnsi="Arial"/>
                <w:sz w:val="16"/>
                <w:szCs w:val="16"/>
                <w:color w:val="auto"/>
              </w:rPr>
              <w:t>basic and diluted</w:t>
            </w:r>
          </w:p>
        </w:tc>
        <w:tc>
          <w:tcPr>
            <w:tcW w:w="3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vMerge w:val="continue"/>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vMerge w:val="continue"/>
          </w:tcPr>
          <w:p>
            <w:pPr>
              <w:spacing w:after="0"/>
              <w:rPr>
                <w:sz w:val="20"/>
                <w:szCs w:val="20"/>
                <w:color w:val="auto"/>
              </w:rPr>
            </w:pPr>
          </w:p>
        </w:tc>
        <w:tc>
          <w:tcPr>
            <w:tcW w:w="7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vMerge w:val="continue"/>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6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520"/>
        </w:trPr>
        <w:tc>
          <w:tcPr>
            <w:tcW w:w="3300" w:type="dxa"/>
            <w:vAlign w:val="bottom"/>
            <w:tcBorders>
              <w:left w:val="single" w:sz="8" w:color="auto"/>
            </w:tcBorders>
          </w:tcPr>
          <w:p>
            <w:pPr>
              <w:ind w:left="40"/>
              <w:spacing w:after="0"/>
              <w:rPr>
                <w:sz w:val="20"/>
                <w:szCs w:val="20"/>
                <w:color w:val="auto"/>
              </w:rPr>
            </w:pPr>
            <w:r>
              <w:rPr>
                <w:rFonts w:ascii="Arial" w:cs="Arial" w:eastAsia="Arial" w:hAnsi="Arial"/>
                <w:sz w:val="16"/>
                <w:szCs w:val="16"/>
                <w:color w:val="auto"/>
              </w:rPr>
              <w:t>Loss per ordinary share - basic and diluted</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(0.05)</w:t>
            </w:r>
          </w:p>
        </w:tc>
        <w:tc>
          <w:tcPr>
            <w:tcW w:w="280" w:type="dxa"/>
            <w:vAlign w:val="bottom"/>
          </w:tcPr>
          <w:p>
            <w:pPr>
              <w:spacing w:after="0"/>
              <w:rPr>
                <w:sz w:val="24"/>
                <w:szCs w:val="24"/>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(0.02)</w:t>
            </w:r>
          </w:p>
        </w:tc>
        <w:tc>
          <w:tcPr>
            <w:tcW w:w="11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(0.27)</w:t>
            </w:r>
          </w:p>
        </w:tc>
        <w:tc>
          <w:tcPr>
            <w:tcW w:w="300" w:type="dxa"/>
            <w:vAlign w:val="bottom"/>
          </w:tcPr>
          <w:p>
            <w:pPr>
              <w:spacing w:after="0"/>
              <w:rPr>
                <w:sz w:val="24"/>
                <w:szCs w:val="24"/>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6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(0.09)</w:t>
            </w:r>
          </w:p>
        </w:tc>
        <w:tc>
          <w:tcPr>
            <w:tcW w:w="0" w:type="dxa"/>
            <w:vAlign w:val="bottom"/>
          </w:tcPr>
          <w:p>
            <w:pPr>
              <w:spacing w:after="0"/>
              <w:rPr>
                <w:sz w:val="1"/>
                <w:szCs w:val="1"/>
                <w:color w:val="auto"/>
              </w:rPr>
            </w:pPr>
          </w:p>
        </w:tc>
      </w:tr>
      <w:tr>
        <w:trPr>
          <w:trHeight w:val="498"/>
        </w:trPr>
        <w:tc>
          <w:tcPr>
            <w:tcW w:w="3300" w:type="dxa"/>
            <w:vAlign w:val="bottom"/>
            <w:tcBorders>
              <w:left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tcPr>
          <w:p>
            <w:pPr>
              <w:jc w:val="right"/>
              <w:ind w:right="579"/>
              <w:spacing w:after="0"/>
              <w:rPr>
                <w:sz w:val="20"/>
                <w:szCs w:val="20"/>
                <w:color w:val="auto"/>
              </w:rPr>
            </w:pPr>
            <w:r>
              <w:rPr>
                <w:rFonts w:ascii="Arial" w:cs="Arial" w:eastAsia="Arial" w:hAnsi="Arial"/>
                <w:sz w:val="16"/>
                <w:szCs w:val="16"/>
                <w:color w:val="auto"/>
              </w:rPr>
              <w:t>2024</w:t>
            </w:r>
          </w:p>
        </w:tc>
        <w:tc>
          <w:tcPr>
            <w:tcW w:w="28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jc w:val="right"/>
              <w:ind w:right="579"/>
              <w:spacing w:after="0"/>
              <w:rPr>
                <w:sz w:val="20"/>
                <w:szCs w:val="20"/>
                <w:color w:val="auto"/>
              </w:rPr>
            </w:pPr>
            <w:r>
              <w:rPr>
                <w:rFonts w:ascii="Arial" w:cs="Arial" w:eastAsia="Arial" w:hAnsi="Arial"/>
                <w:sz w:val="16"/>
                <w:szCs w:val="16"/>
                <w:color w:val="auto"/>
              </w:rPr>
              <w:t>2023</w:t>
            </w:r>
          </w:p>
        </w:tc>
        <w:tc>
          <w:tcPr>
            <w:tcW w:w="78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26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
        </w:trPr>
        <w:tc>
          <w:tcPr>
            <w:tcW w:w="3300" w:type="dxa"/>
            <w:vAlign w:val="bottom"/>
            <w:tcBorders>
              <w:left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Borders>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3300" w:type="dxa"/>
            <w:vAlign w:val="bottom"/>
            <w:tcBorders>
              <w:left w:val="single" w:sz="8" w:color="auto"/>
            </w:tcBorders>
          </w:tcPr>
          <w:p>
            <w:pPr>
              <w:ind w:left="40"/>
              <w:spacing w:after="0"/>
              <w:rPr>
                <w:sz w:val="20"/>
                <w:szCs w:val="20"/>
                <w:color w:val="auto"/>
              </w:rPr>
            </w:pPr>
            <w:r>
              <w:rPr>
                <w:rFonts w:ascii="Arial" w:cs="Arial" w:eastAsia="Arial" w:hAnsi="Arial"/>
                <w:sz w:val="16"/>
                <w:szCs w:val="16"/>
                <w:color w:val="auto"/>
              </w:rPr>
              <w:t>Cash and cash equivalents</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399,757</w:t>
            </w:r>
          </w:p>
        </w:tc>
        <w:tc>
          <w:tcPr>
            <w:tcW w:w="280" w:type="dxa"/>
            <w:vAlign w:val="bottom"/>
          </w:tcPr>
          <w:p>
            <w:pPr>
              <w:spacing w:after="0"/>
              <w:rPr>
                <w:sz w:val="19"/>
                <w:szCs w:val="19"/>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271,772</w:t>
            </w:r>
          </w:p>
        </w:tc>
        <w:tc>
          <w:tcPr>
            <w:tcW w:w="7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3300" w:type="dxa"/>
            <w:vAlign w:val="bottom"/>
            <w:tcBorders>
              <w:left w:val="single" w:sz="8" w:color="auto"/>
            </w:tcBorders>
          </w:tcPr>
          <w:p>
            <w:pPr>
              <w:ind w:left="40"/>
              <w:spacing w:after="0"/>
              <w:rPr>
                <w:sz w:val="20"/>
                <w:szCs w:val="20"/>
                <w:color w:val="auto"/>
              </w:rPr>
            </w:pPr>
            <w:r>
              <w:rPr>
                <w:rFonts w:ascii="Arial" w:cs="Arial" w:eastAsia="Arial" w:hAnsi="Arial"/>
                <w:sz w:val="16"/>
                <w:szCs w:val="16"/>
                <w:color w:val="auto"/>
              </w:rPr>
              <w:t>Total assets</w:t>
            </w:r>
          </w:p>
        </w:tc>
        <w:tc>
          <w:tcPr>
            <w:tcW w:w="32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474,242</w:t>
            </w:r>
          </w:p>
        </w:tc>
        <w:tc>
          <w:tcPr>
            <w:tcW w:w="2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308,124</w:t>
            </w:r>
          </w:p>
        </w:tc>
        <w:tc>
          <w:tcPr>
            <w:tcW w:w="7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300" w:type="dxa"/>
            <w:vAlign w:val="bottom"/>
            <w:tcBorders>
              <w:left w:val="single" w:sz="8" w:color="auto"/>
            </w:tcBorders>
          </w:tcPr>
          <w:p>
            <w:pPr>
              <w:ind w:left="40"/>
              <w:spacing w:after="0"/>
              <w:rPr>
                <w:sz w:val="20"/>
                <w:szCs w:val="20"/>
                <w:color w:val="auto"/>
              </w:rPr>
            </w:pPr>
            <w:r>
              <w:rPr>
                <w:rFonts w:ascii="Arial" w:cs="Arial" w:eastAsia="Arial" w:hAnsi="Arial"/>
                <w:sz w:val="16"/>
                <w:szCs w:val="16"/>
                <w:color w:val="auto"/>
              </w:rPr>
              <w:t>Shareholders’ equity</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204,559</w:t>
            </w:r>
          </w:p>
        </w:tc>
        <w:tc>
          <w:tcPr>
            <w:tcW w:w="280" w:type="dxa"/>
            <w:vAlign w:val="bottom"/>
          </w:tcPr>
          <w:p>
            <w:pPr>
              <w:spacing w:after="0"/>
              <w:rPr>
                <w:sz w:val="22"/>
                <w:szCs w:val="22"/>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249,283</w:t>
            </w:r>
          </w:p>
        </w:tc>
        <w:tc>
          <w:tcPr>
            <w:tcW w:w="7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690"/>
        </w:trPr>
        <w:tc>
          <w:tcPr>
            <w:tcW w:w="3300" w:type="dxa"/>
            <w:vAlign w:val="bottom"/>
            <w:tcBorders>
              <w:left w:val="single" w:sz="8" w:color="auto"/>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60"/>
      </w:cols>
      <w:pgMar w:left="320" w:top="1434"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2025-02-27T05:35:38Z</dcterms:created>
  <dcterms:modified xsi:type="dcterms:W3CDTF">2025-02-27T05:35:38Z</dcterms:modified>
</cp:coreProperties>
</file>