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60"/>
        <w:ind w:left="0" w:right="0" w:hanging="0"/>
        <w:jc w:val="left"/>
        <w:rPr>
          <w:bdr w:val="single" w:sz="16" w:space="1" w:color="000000"/>
        </w:rPr>
      </w:pPr>
      <w:bookmarkStart w:id="0" w:name="tm2413135d1_8k.htm"/>
      <w:bookmarkStart w:id="1" w:name="kstm2413135d1_8k"/>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1_edei--DocumentType_c20240426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April 26, 2024</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5_edei--EntityRegistrantName_c2024"/>
      <w:bookmarkEnd w:id="4"/>
      <w:r>
        <w:rPr>
          <w:rFonts w:ascii="Times New Roman;Times;Serif" w:hAnsi="Times New Roman;Times;Serif"/>
          <w:b/>
          <w:i w:val="false"/>
          <w:caps w:val="false"/>
          <w:smallCaps w:val="false"/>
          <w:sz w:val="36"/>
        </w:rPr>
        <w:t>Verona Pharma plc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sz w:val="20"/>
              </w:rPr>
            </w:pPr>
            <w:bookmarkStart w:id="5" w:name="xdx_901_edei--EntityIncorporationStateCo"/>
            <w:bookmarkEnd w:id="5"/>
            <w:r>
              <w:rPr>
                <w:rFonts w:ascii="Times New Roman;Times;Serif" w:hAnsi="Times New Roman;Times;Serif"/>
                <w:b/>
                <w:sz w:val="20"/>
              </w:rPr>
              <w:t>United Kingdom</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sz w:val="20"/>
              </w:rPr>
            </w:pPr>
            <w:bookmarkStart w:id="6" w:name="xdx_904_edei--EntityFileNumber_c20240426"/>
            <w:bookmarkEnd w:id="6"/>
            <w:r>
              <w:rPr>
                <w:rFonts w:ascii="Times New Roman;Times;Serif" w:hAnsi="Times New Roman;Times;Serif"/>
                <w:b/>
                <w:sz w:val="20"/>
              </w:rPr>
              <w:t>001-38067</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bookmarkStart w:id="7" w:name="xdx_905_edei--EntityTaxIdentificationNum"/>
            <w:bookmarkEnd w:id="7"/>
            <w:r>
              <w:rPr>
                <w:rFonts w:ascii="Times New Roman;Times;Serif" w:hAnsi="Times New Roman;Times;Serif"/>
                <w:b/>
                <w:sz w:val="20"/>
              </w:rPr>
              <w:t>98-1489389</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3 More London Riverside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9" w:name="xdx_90A_edei--EntityAddressCityOrTown_c2"/>
      <w:bookmarkEnd w:id="9"/>
      <w:r>
        <w:rPr>
          <w:rFonts w:ascii="Times New Roman;Times;Serif" w:hAnsi="Times New Roman;Times;Serif"/>
          <w:b/>
          <w:i w:val="false"/>
          <w:caps w:val="false"/>
          <w:smallCaps w:val="false"/>
          <w:sz w:val="20"/>
        </w:rPr>
        <w:t xml:space="preserve">London </w:t>
      </w:r>
      <w:bookmarkStart w:id="10" w:name="xdx_90F_edei--EntityAddressPostalZipCode"/>
      <w:bookmarkEnd w:id="10"/>
      <w:r>
        <w:rPr>
          <w:rFonts w:ascii="Times New Roman;Times;Serif" w:hAnsi="Times New Roman;Times;Serif"/>
          <w:b/>
          <w:i w:val="false"/>
          <w:caps w:val="false"/>
          <w:smallCaps w:val="false"/>
          <w:sz w:val="20"/>
        </w:rPr>
        <w:t>SE1 2RE</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xdx_900_edei--EntityAddressCountry_dxL_c"/>
      <w:bookmarkEnd w:id="11"/>
      <w:r>
        <w:rPr>
          <w:rFonts w:ascii="Times New Roman;Times;Serif" w:hAnsi="Times New Roman;Times;Serif"/>
          <w:b/>
          <w:i w:val="false"/>
          <w:caps w:val="false"/>
          <w:smallCaps w:val="false"/>
          <w:sz w:val="20"/>
        </w:rPr>
        <w:t>United Kingdom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2" w:name="xdx_90F_edei--CountryRegion_c20240426__2"/>
      <w:bookmarkEnd w:id="12"/>
      <w:r>
        <w:rPr>
          <w:rFonts w:ascii="Times New Roman;Times;Serif" w:hAnsi="Times New Roman;Times;Serif"/>
          <w:b/>
          <w:i w:val="false"/>
          <w:caps w:val="false"/>
          <w:smallCaps w:val="false"/>
          <w:sz w:val="20"/>
        </w:rPr>
        <w:t xml:space="preserve">44 </w:t>
      </w:r>
      <w:bookmarkStart w:id="13" w:name="xdx_908_edei--CityAreaCode_c20240426__20"/>
      <w:bookmarkEnd w:id="13"/>
      <w:r>
        <w:rPr>
          <w:rFonts w:ascii="Times New Roman;Times;Serif" w:hAnsi="Times New Roman;Times;Serif"/>
          <w:b/>
          <w:i w:val="false"/>
          <w:caps w:val="false"/>
          <w:smallCaps w:val="false"/>
          <w:sz w:val="20"/>
        </w:rPr>
        <w:t>203</w:t>
      </w:r>
      <w:r>
        <w:rPr>
          <w:rFonts w:ascii="Times New Roman;Times;Serif" w:hAnsi="Times New Roman;Times;Serif"/>
          <w:b w:val="false"/>
          <w:i w:val="false"/>
          <w:caps w:val="false"/>
          <w:smallCaps w:val="false"/>
          <w:sz w:val="20"/>
        </w:rPr>
        <w:t xml:space="preserve"> </w:t>
      </w:r>
      <w:bookmarkStart w:id="14" w:name="xdx_905_edei--LocalPhoneNumber_c20240426"/>
      <w:bookmarkEnd w:id="14"/>
      <w:r>
        <w:rPr>
          <w:rFonts w:ascii="Times New Roman;Times;Serif" w:hAnsi="Times New Roman;Times;Serif"/>
          <w:b/>
          <w:i w:val="false"/>
          <w:caps w:val="false"/>
          <w:smallCaps w:val="false"/>
          <w:sz w:val="20"/>
        </w:rPr>
        <w:t>283 4200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bookmarkStart w:id="15" w:name="xdx_90D_edei--WrittenCommunications_c202"/>
            <w:bookmarkEnd w:id="15"/>
            <w:r>
              <w:rPr/>
              <w:t>☐</w:t>
            </w:r>
          </w:p>
        </w:tc>
        <w:tc>
          <w:tcPr>
            <w:tcW w:w="7340" w:type="dxa"/>
            <w:tcBorders/>
            <w:vAlign w:val="center"/>
          </w:tcPr>
          <w:p>
            <w:pPr>
              <w:pStyle w:val="TableContents"/>
              <w:bidi w:val="0"/>
              <w:spacing w:before="0" w:after="283"/>
              <w:jc w:val="left"/>
              <w:rPr>
                <w:sz w:val="20"/>
              </w:rPr>
            </w:pPr>
            <w:r>
              <w:rPr>
                <w:sz w:val="20"/>
              </w:rPr>
              <w:t xml:space="preserve">Written communications pursuant to Rule 425 under the Securities Act (17 CFR 230.425) </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6" w:name="xdx_904_edei--SolicitingMaterial_c202404"/>
            <w:bookmarkEnd w:id="16"/>
            <w:r>
              <w:rPr/>
              <w:t>☐</w:t>
            </w:r>
          </w:p>
        </w:tc>
        <w:tc>
          <w:tcPr>
            <w:tcW w:w="732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A_edei--PreCommencementTenderOffer"/>
            <w:bookmarkEnd w:id="17"/>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8" w:name="xdx_902_edei--PreCommencementIssuerTende"/>
            <w:bookmarkEnd w:id="18"/>
            <w:r>
              <w:rPr/>
              <w:t>☐</w:t>
            </w:r>
          </w:p>
        </w:tc>
        <w:tc>
          <w:tcPr>
            <w:tcW w:w="900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 </w:t>
      </w:r>
    </w:p>
    <w:p>
      <w:pPr>
        <w:pStyle w:val="TextBody"/>
        <w:bidi w:val="0"/>
        <w:spacing w:before="0" w:after="0"/>
        <w:ind w:left="0" w:right="0" w:hanging="0"/>
        <w:jc w:val="center"/>
        <w:rPr>
          <w:caps w:val="false"/>
          <w:smallCaps w:val="false"/>
        </w:rPr>
      </w:pPr>
      <w:r>
        <w:rPr>
          <w:caps w:val="false"/>
          <w:smallCaps w:val="false"/>
        </w:rPr>
        <w:t> </w:t>
      </w:r>
    </w:p>
    <w:tbl>
      <w:tblPr>
        <w:tblW w:w="7695" w:type="dxa"/>
        <w:jc w:val="left"/>
        <w:tblInd w:w="-10" w:type="dxa"/>
        <w:tblLayout w:type="fixed"/>
        <w:tblCellMar>
          <w:top w:w="28" w:type="dxa"/>
          <w:left w:w="108" w:type="dxa"/>
          <w:bottom w:w="28" w:type="dxa"/>
          <w:right w:w="108" w:type="dxa"/>
        </w:tblCellMar>
      </w:tblPr>
      <w:tblGrid>
        <w:gridCol w:w="3935"/>
        <w:gridCol w:w="1535"/>
        <w:gridCol w:w="2225"/>
      </w:tblGrid>
      <w:tr>
        <w:trPr/>
        <w:tc>
          <w:tcPr>
            <w:tcW w:w="393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Title of each class</w:t>
            </w:r>
          </w:p>
        </w:tc>
        <w:tc>
          <w:tcPr>
            <w:tcW w:w="15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Trading Symbol(s)</w:t>
            </w:r>
          </w:p>
        </w:tc>
        <w:tc>
          <w:tcPr>
            <w:tcW w:w="22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Name of each exchange on</w:t>
              <w:br/>
              <w:t xml:space="preserve">which </w:t>
              <w:br/>
              <w:t>registered</w:t>
            </w:r>
          </w:p>
        </w:tc>
      </w:tr>
      <w:tr>
        <w:trPr/>
        <w:tc>
          <w:tcPr>
            <w:tcW w:w="39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bookmarkStart w:id="19" w:name="xdx_90F_edei--Security12bTitle_c20240426"/>
            <w:bookmarkEnd w:id="19"/>
            <w:r>
              <w:rPr>
                <w:sz w:val="20"/>
              </w:rPr>
              <w:t>Ordinary shares, nominal value £0.05 per share*</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bookmarkStart w:id="20" w:name="xdx_905_edei--TradingSymbol_c20240426__2"/>
            <w:bookmarkEnd w:id="20"/>
            <w:r>
              <w:rPr>
                <w:sz w:val="20"/>
              </w:rPr>
              <w:t>VRNA</w:t>
            </w:r>
          </w:p>
        </w:tc>
        <w:tc>
          <w:tcPr>
            <w:tcW w:w="22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bookmarkStart w:id="21" w:name="xdx_902_edei--SecurityExchangeName_c2024"/>
            <w:bookmarkEnd w:id="21"/>
            <w:r>
              <w:rPr>
                <w:sz w:val="20"/>
              </w:rPr>
              <w:t>The Nasdaq Global Market</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The ordinary shares are represented by American Depositary Shares (each representing 8 ordinary shares), which are exempt from the operation of Section 12(a) of the Securities Exchange Act of 1934, as amended, pursuant to Rule 12a-8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1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26, 2024, Verona Pharma plc (the “Company”) held its 2024 Annual General Meeting of Shareholders (the “AGM”). At the AGM, all resolutions were passed as proposed. Of the ordinary shares entitled to vote, there were 618,090,327 ordinary shares represented in person or by proxy at the AGM. The matters voted upon at the AGM, all of which were described in the Company’s definitive proxy statement on Schedule 14A filed with the Securities and Exchange Commission on March 20, 2024, and the final results of such voting are set forth below. Proxy forms that gave a person designated by the Company discretion have been included in the “For” total. In accordance with the terms of the deposit agreement by and among the Company, Citibank, N.A., as depositary, and holders and beneficial owners of American Depositary Shares (“ADSs”) issued thereunder, dated as of May 2, 2017, holders of ADSs as the ADS record date who did not provide the depositary bank with voting instructions on or before the voting cut-off time for ADS holders were deemed to have instructed the depositary bank to give a discretionary proxy to a person designated by the Company to vote the underlying ordinary shares at the AGM and the voting results below reflect that. A “vote withheld” is not a vote in law and votes withheld had no effect on the proposals. Votes withheld were counted as present and entitled to vote for purposes of determining a 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Proposal 1. To re-elect Lisa Deschamps as a Director of the Company.</w:t>
      </w:r>
    </w:p>
    <w:p>
      <w:pPr>
        <w:pStyle w:val="TextBody"/>
        <w:bidi w:val="0"/>
        <w:spacing w:before="0" w:after="0"/>
        <w:ind w:left="0" w:right="0" w:hanging="0"/>
        <w:jc w:val="left"/>
        <w:rPr>
          <w:caps w:val="false"/>
          <w:smallCaps w:val="false"/>
        </w:rPr>
      </w:pPr>
      <w:r>
        <w:rPr>
          <w:caps w:val="false"/>
          <w:smallCaps w:val="false"/>
        </w:rPr>
        <w:t> </w:t>
      </w:r>
    </w:p>
    <w:tbl>
      <w:tblPr>
        <w:tblW w:w="5075" w:type="dxa"/>
        <w:jc w:val="left"/>
        <w:tblInd w:w="0" w:type="dxa"/>
        <w:tblLayout w:type="fixed"/>
        <w:tblCellMar>
          <w:top w:w="0" w:type="dxa"/>
          <w:left w:w="0" w:type="dxa"/>
          <w:bottom w:w="28" w:type="dxa"/>
          <w:right w:w="0" w:type="dxa"/>
        </w:tblCellMar>
      </w:tblPr>
      <w:tblGrid>
        <w:gridCol w:w="1070"/>
        <w:gridCol w:w="60"/>
        <w:gridCol w:w="845"/>
        <w:gridCol w:w="60"/>
        <w:gridCol w:w="1025"/>
        <w:gridCol w:w="60"/>
        <w:gridCol w:w="1955"/>
      </w:tblGrid>
      <w:tr>
        <w:trPr/>
        <w:tc>
          <w:tcPr>
            <w:tcW w:w="1070" w:type="dxa"/>
            <w:tcBorders>
              <w:bottom w:val="single" w:sz="8" w:space="0" w:color="000000"/>
            </w:tcBorders>
            <w:vAlign w:val="center"/>
          </w:tcPr>
          <w:p>
            <w:pPr>
              <w:pStyle w:val="TableContents"/>
              <w:bidi w:val="0"/>
              <w:spacing w:before="0" w:after="283"/>
              <w:jc w:val="center"/>
              <w:rPr>
                <w:sz w:val="20"/>
              </w:rPr>
            </w:pPr>
            <w:r>
              <w:rPr>
                <w:sz w:val="20"/>
              </w:rPr>
              <w:t>FOR</w:t>
            </w:r>
          </w:p>
        </w:tc>
        <w:tc>
          <w:tcPr>
            <w:tcW w:w="60" w:type="dxa"/>
            <w:tcBorders/>
            <w:tcMar>
              <w:bottom w:w="0" w:type="dxa"/>
            </w:tcMar>
            <w:vAlign w:val="center"/>
          </w:tcPr>
          <w:p>
            <w:pPr>
              <w:pStyle w:val="TableContents"/>
              <w:bidi w:val="0"/>
              <w:spacing w:before="0" w:after="283"/>
              <w:jc w:val="left"/>
              <w:rPr/>
            </w:pPr>
            <w:r>
              <w:rPr/>
              <w:t> </w:t>
            </w:r>
          </w:p>
        </w:tc>
        <w:tc>
          <w:tcPr>
            <w:tcW w:w="845" w:type="dxa"/>
            <w:tcBorders>
              <w:bottom w:val="single" w:sz="8" w:space="0" w:color="000000"/>
            </w:tcBorders>
            <w:vAlign w:val="center"/>
          </w:tcPr>
          <w:p>
            <w:pPr>
              <w:pStyle w:val="TableContents"/>
              <w:bidi w:val="0"/>
              <w:spacing w:before="0" w:after="283"/>
              <w:jc w:val="center"/>
              <w:rPr>
                <w:sz w:val="20"/>
              </w:rPr>
            </w:pPr>
            <w:r>
              <w:rPr>
                <w:sz w:val="20"/>
              </w:rPr>
              <w:t>AGAINST</w:t>
            </w:r>
          </w:p>
        </w:tc>
        <w:tc>
          <w:tcPr>
            <w:tcW w:w="60" w:type="dxa"/>
            <w:tcBorders/>
            <w:tcMar>
              <w:bottom w:w="0" w:type="dxa"/>
            </w:tcMar>
            <w:vAlign w:val="center"/>
          </w:tcPr>
          <w:p>
            <w:pPr>
              <w:pStyle w:val="TableContents"/>
              <w:bidi w:val="0"/>
              <w:spacing w:before="0" w:after="283"/>
              <w:jc w:val="left"/>
              <w:rPr/>
            </w:pPr>
            <w:r>
              <w:rPr/>
              <w:t> </w:t>
            </w:r>
          </w:p>
        </w:tc>
        <w:tc>
          <w:tcPr>
            <w:tcW w:w="1025" w:type="dxa"/>
            <w:tcBorders>
              <w:bottom w:val="single" w:sz="8" w:space="0" w:color="000000"/>
            </w:tcBorders>
            <w:vAlign w:val="center"/>
          </w:tcPr>
          <w:p>
            <w:pPr>
              <w:pStyle w:val="TableContents"/>
              <w:bidi w:val="0"/>
              <w:spacing w:before="0" w:after="283"/>
              <w:jc w:val="center"/>
              <w:rPr>
                <w:sz w:val="20"/>
              </w:rPr>
            </w:pPr>
            <w:r>
              <w:rPr>
                <w:sz w:val="20"/>
              </w:rPr>
              <w:t>WITHHELD</w:t>
            </w:r>
          </w:p>
        </w:tc>
        <w:tc>
          <w:tcPr>
            <w:tcW w:w="60" w:type="dxa"/>
            <w:tcBorders/>
            <w:tcMar>
              <w:bottom w:w="0" w:type="dxa"/>
            </w:tcMar>
            <w:vAlign w:val="center"/>
          </w:tcPr>
          <w:p>
            <w:pPr>
              <w:pStyle w:val="TableContents"/>
              <w:bidi w:val="0"/>
              <w:spacing w:before="0" w:after="283"/>
              <w:jc w:val="left"/>
              <w:rPr/>
            </w:pPr>
            <w:r>
              <w:rPr/>
              <w:t> </w:t>
            </w:r>
          </w:p>
        </w:tc>
        <w:tc>
          <w:tcPr>
            <w:tcW w:w="1955" w:type="dxa"/>
            <w:tcBorders>
              <w:bottom w:val="single" w:sz="8" w:space="0" w:color="000000"/>
            </w:tcBorders>
            <w:vAlign w:val="center"/>
          </w:tcPr>
          <w:p>
            <w:pPr>
              <w:pStyle w:val="TableContents"/>
              <w:bidi w:val="0"/>
              <w:spacing w:before="0" w:after="283"/>
              <w:jc w:val="center"/>
              <w:rPr>
                <w:sz w:val="20"/>
              </w:rPr>
            </w:pPr>
            <w:r>
              <w:rPr>
                <w:sz w:val="20"/>
              </w:rPr>
              <w:t>BROKER NON-VOTES</w:t>
            </w:r>
          </w:p>
        </w:tc>
      </w:tr>
      <w:tr>
        <w:trPr/>
        <w:tc>
          <w:tcPr>
            <w:tcW w:w="1070" w:type="dxa"/>
            <w:tcBorders/>
            <w:shd w:fill="CCEEFF" w:val="clear"/>
            <w:tcMar>
              <w:bottom w:w="0" w:type="dxa"/>
            </w:tcMar>
            <w:vAlign w:val="center"/>
          </w:tcPr>
          <w:p>
            <w:pPr>
              <w:pStyle w:val="TableContents"/>
              <w:bidi w:val="0"/>
              <w:spacing w:before="0" w:after="283"/>
              <w:jc w:val="center"/>
              <w:rPr>
                <w:sz w:val="20"/>
              </w:rPr>
            </w:pPr>
            <w:r>
              <w:rPr>
                <w:sz w:val="20"/>
              </w:rPr>
              <w:t>615,922,153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center"/>
              <w:rPr>
                <w:sz w:val="20"/>
              </w:rPr>
            </w:pPr>
            <w:r>
              <w:rPr>
                <w:sz w:val="20"/>
              </w:rPr>
              <w:t>2,039,440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center"/>
              <w:rPr>
                <w:sz w:val="20"/>
              </w:rPr>
            </w:pPr>
            <w:r>
              <w:rPr>
                <w:sz w:val="20"/>
              </w:rPr>
              <w:t>780,158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5" w:type="dxa"/>
            <w:tcBorders/>
            <w:shd w:fill="CCEEFF" w:val="clear"/>
            <w:tcMar>
              <w:bottom w:w="0" w:type="dxa"/>
            </w:tcMar>
            <w:vAlign w:val="center"/>
          </w:tcPr>
          <w:p>
            <w:pPr>
              <w:pStyle w:val="TableContents"/>
              <w:bidi w:val="0"/>
              <w:spacing w:before="0" w:after="283"/>
              <w:jc w:val="center"/>
              <w:rPr>
                <w:b/>
                <w:i/>
                <w:sz w:val="20"/>
              </w:rPr>
            </w:pPr>
            <w:r>
              <w:rPr>
                <w:b/>
                <w:i/>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Proposal 2. To re-elect Martin Edwards as a Director of the Company.</w:t>
      </w:r>
    </w:p>
    <w:p>
      <w:pPr>
        <w:pStyle w:val="TextBody"/>
        <w:bidi w:val="0"/>
        <w:spacing w:before="0" w:after="0"/>
        <w:ind w:left="0" w:right="0" w:hanging="0"/>
        <w:jc w:val="left"/>
        <w:rPr>
          <w:caps w:val="false"/>
          <w:smallCaps w:val="false"/>
        </w:rPr>
      </w:pPr>
      <w:r>
        <w:rPr>
          <w:caps w:val="false"/>
          <w:smallCaps w:val="false"/>
        </w:rPr>
        <w:t> </w:t>
      </w:r>
    </w:p>
    <w:tbl>
      <w:tblPr>
        <w:tblW w:w="5075" w:type="dxa"/>
        <w:jc w:val="left"/>
        <w:tblInd w:w="0" w:type="dxa"/>
        <w:tblLayout w:type="fixed"/>
        <w:tblCellMar>
          <w:top w:w="0" w:type="dxa"/>
          <w:left w:w="0" w:type="dxa"/>
          <w:bottom w:w="28" w:type="dxa"/>
          <w:right w:w="0" w:type="dxa"/>
        </w:tblCellMar>
      </w:tblPr>
      <w:tblGrid>
        <w:gridCol w:w="1070"/>
        <w:gridCol w:w="60"/>
        <w:gridCol w:w="845"/>
        <w:gridCol w:w="60"/>
        <w:gridCol w:w="1025"/>
        <w:gridCol w:w="60"/>
        <w:gridCol w:w="1955"/>
      </w:tblGrid>
      <w:tr>
        <w:trPr/>
        <w:tc>
          <w:tcPr>
            <w:tcW w:w="1070" w:type="dxa"/>
            <w:tcBorders>
              <w:bottom w:val="single" w:sz="8" w:space="0" w:color="000000"/>
            </w:tcBorders>
            <w:vAlign w:val="center"/>
          </w:tcPr>
          <w:p>
            <w:pPr>
              <w:pStyle w:val="TableContents"/>
              <w:bidi w:val="0"/>
              <w:spacing w:before="0" w:after="283"/>
              <w:jc w:val="center"/>
              <w:rPr>
                <w:sz w:val="20"/>
              </w:rPr>
            </w:pPr>
            <w:r>
              <w:rPr>
                <w:sz w:val="20"/>
              </w:rPr>
              <w:t>FOR</w:t>
            </w:r>
          </w:p>
        </w:tc>
        <w:tc>
          <w:tcPr>
            <w:tcW w:w="60" w:type="dxa"/>
            <w:tcBorders/>
            <w:tcMar>
              <w:bottom w:w="0" w:type="dxa"/>
            </w:tcMar>
            <w:vAlign w:val="center"/>
          </w:tcPr>
          <w:p>
            <w:pPr>
              <w:pStyle w:val="TableContents"/>
              <w:bidi w:val="0"/>
              <w:spacing w:before="0" w:after="283"/>
              <w:jc w:val="left"/>
              <w:rPr/>
            </w:pPr>
            <w:r>
              <w:rPr/>
              <w:t> </w:t>
            </w:r>
          </w:p>
        </w:tc>
        <w:tc>
          <w:tcPr>
            <w:tcW w:w="845" w:type="dxa"/>
            <w:tcBorders>
              <w:bottom w:val="single" w:sz="8" w:space="0" w:color="000000"/>
            </w:tcBorders>
            <w:vAlign w:val="center"/>
          </w:tcPr>
          <w:p>
            <w:pPr>
              <w:pStyle w:val="TableContents"/>
              <w:bidi w:val="0"/>
              <w:spacing w:before="0" w:after="283"/>
              <w:jc w:val="center"/>
              <w:rPr>
                <w:sz w:val="20"/>
              </w:rPr>
            </w:pPr>
            <w:r>
              <w:rPr>
                <w:sz w:val="20"/>
              </w:rPr>
              <w:t>AGAINST</w:t>
            </w:r>
          </w:p>
        </w:tc>
        <w:tc>
          <w:tcPr>
            <w:tcW w:w="60" w:type="dxa"/>
            <w:tcBorders/>
            <w:tcMar>
              <w:bottom w:w="0" w:type="dxa"/>
            </w:tcMar>
            <w:vAlign w:val="center"/>
          </w:tcPr>
          <w:p>
            <w:pPr>
              <w:pStyle w:val="TableContents"/>
              <w:bidi w:val="0"/>
              <w:spacing w:before="0" w:after="283"/>
              <w:jc w:val="left"/>
              <w:rPr/>
            </w:pPr>
            <w:r>
              <w:rPr/>
              <w:t> </w:t>
            </w:r>
          </w:p>
        </w:tc>
        <w:tc>
          <w:tcPr>
            <w:tcW w:w="1025" w:type="dxa"/>
            <w:tcBorders>
              <w:bottom w:val="single" w:sz="8" w:space="0" w:color="000000"/>
            </w:tcBorders>
            <w:vAlign w:val="center"/>
          </w:tcPr>
          <w:p>
            <w:pPr>
              <w:pStyle w:val="TableContents"/>
              <w:bidi w:val="0"/>
              <w:spacing w:before="0" w:after="283"/>
              <w:jc w:val="center"/>
              <w:rPr>
                <w:sz w:val="20"/>
              </w:rPr>
            </w:pPr>
            <w:r>
              <w:rPr>
                <w:sz w:val="20"/>
              </w:rPr>
              <w:t>WITHHELD</w:t>
            </w:r>
          </w:p>
        </w:tc>
        <w:tc>
          <w:tcPr>
            <w:tcW w:w="60" w:type="dxa"/>
            <w:tcBorders/>
            <w:tcMar>
              <w:bottom w:w="0" w:type="dxa"/>
            </w:tcMar>
            <w:vAlign w:val="center"/>
          </w:tcPr>
          <w:p>
            <w:pPr>
              <w:pStyle w:val="TableContents"/>
              <w:bidi w:val="0"/>
              <w:spacing w:before="0" w:after="283"/>
              <w:jc w:val="left"/>
              <w:rPr/>
            </w:pPr>
            <w:r>
              <w:rPr/>
              <w:t> </w:t>
            </w:r>
          </w:p>
        </w:tc>
        <w:tc>
          <w:tcPr>
            <w:tcW w:w="1955" w:type="dxa"/>
            <w:tcBorders>
              <w:bottom w:val="single" w:sz="8" w:space="0" w:color="000000"/>
            </w:tcBorders>
            <w:vAlign w:val="center"/>
          </w:tcPr>
          <w:p>
            <w:pPr>
              <w:pStyle w:val="TableContents"/>
              <w:bidi w:val="0"/>
              <w:spacing w:before="0" w:after="283"/>
              <w:jc w:val="center"/>
              <w:rPr>
                <w:sz w:val="20"/>
              </w:rPr>
            </w:pPr>
            <w:r>
              <w:rPr>
                <w:sz w:val="20"/>
              </w:rPr>
              <w:t>BROKER NON-VOTES</w:t>
            </w:r>
          </w:p>
        </w:tc>
      </w:tr>
      <w:tr>
        <w:trPr/>
        <w:tc>
          <w:tcPr>
            <w:tcW w:w="1070" w:type="dxa"/>
            <w:tcBorders/>
            <w:shd w:fill="CCEEFF" w:val="clear"/>
            <w:tcMar>
              <w:bottom w:w="0" w:type="dxa"/>
            </w:tcMar>
            <w:vAlign w:val="center"/>
          </w:tcPr>
          <w:p>
            <w:pPr>
              <w:pStyle w:val="TableContents"/>
              <w:bidi w:val="0"/>
              <w:spacing w:before="0" w:after="283"/>
              <w:jc w:val="center"/>
              <w:rPr>
                <w:sz w:val="20"/>
              </w:rPr>
            </w:pPr>
            <w:r>
              <w:rPr>
                <w:sz w:val="20"/>
              </w:rPr>
              <w:t>617,654,873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center"/>
              <w:rPr>
                <w:sz w:val="20"/>
              </w:rPr>
            </w:pPr>
            <w:r>
              <w:rPr>
                <w:sz w:val="20"/>
              </w:rPr>
              <w:t>309,040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center"/>
              <w:rPr>
                <w:sz w:val="20"/>
              </w:rPr>
            </w:pPr>
            <w:r>
              <w:rPr>
                <w:sz w:val="20"/>
              </w:rPr>
              <w:t>777,838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5" w:type="dxa"/>
            <w:tcBorders/>
            <w:shd w:fill="CCEEFF" w:val="clear"/>
            <w:tcMar>
              <w:bottom w:w="0" w:type="dxa"/>
            </w:tcMar>
            <w:vAlign w:val="center"/>
          </w:tcPr>
          <w:p>
            <w:pPr>
              <w:pStyle w:val="TableContents"/>
              <w:bidi w:val="0"/>
              <w:spacing w:before="0" w:after="283"/>
              <w:jc w:val="center"/>
              <w:rPr>
                <w:b/>
                <w:i/>
                <w:sz w:val="20"/>
              </w:rPr>
            </w:pPr>
            <w:r>
              <w:rPr>
                <w:b/>
                <w:i/>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Proposal 3. To re-elect Sven Anders Ullman as a Director of the Company.</w:t>
      </w:r>
    </w:p>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28" w:type="dxa"/>
          <w:right w:w="0" w:type="dxa"/>
        </w:tblCellMar>
      </w:tblPr>
      <w:tblGrid>
        <w:gridCol w:w="1070"/>
        <w:gridCol w:w="60"/>
        <w:gridCol w:w="950"/>
        <w:gridCol w:w="60"/>
        <w:gridCol w:w="1025"/>
        <w:gridCol w:w="60"/>
        <w:gridCol w:w="1955"/>
      </w:tblGrid>
      <w:tr>
        <w:trPr/>
        <w:tc>
          <w:tcPr>
            <w:tcW w:w="1070" w:type="dxa"/>
            <w:tcBorders>
              <w:bottom w:val="single" w:sz="8" w:space="0" w:color="000000"/>
            </w:tcBorders>
            <w:vAlign w:val="center"/>
          </w:tcPr>
          <w:p>
            <w:pPr>
              <w:pStyle w:val="TableContents"/>
              <w:bidi w:val="0"/>
              <w:spacing w:before="0" w:after="283"/>
              <w:jc w:val="center"/>
              <w:rPr>
                <w:sz w:val="20"/>
              </w:rPr>
            </w:pPr>
            <w:r>
              <w:rPr>
                <w:sz w:val="20"/>
              </w:rPr>
              <w:t>FOR</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8" w:space="0" w:color="000000"/>
            </w:tcBorders>
            <w:vAlign w:val="center"/>
          </w:tcPr>
          <w:p>
            <w:pPr>
              <w:pStyle w:val="TableContents"/>
              <w:bidi w:val="0"/>
              <w:spacing w:before="0" w:after="283"/>
              <w:jc w:val="center"/>
              <w:rPr>
                <w:sz w:val="20"/>
              </w:rPr>
            </w:pPr>
            <w:r>
              <w:rPr>
                <w:sz w:val="20"/>
              </w:rPr>
              <w:t>AGAINST</w:t>
            </w:r>
          </w:p>
        </w:tc>
        <w:tc>
          <w:tcPr>
            <w:tcW w:w="60" w:type="dxa"/>
            <w:tcBorders/>
            <w:tcMar>
              <w:bottom w:w="0" w:type="dxa"/>
            </w:tcMar>
            <w:vAlign w:val="center"/>
          </w:tcPr>
          <w:p>
            <w:pPr>
              <w:pStyle w:val="TableContents"/>
              <w:bidi w:val="0"/>
              <w:spacing w:before="0" w:after="283"/>
              <w:jc w:val="left"/>
              <w:rPr/>
            </w:pPr>
            <w:r>
              <w:rPr/>
              <w:t> </w:t>
            </w:r>
          </w:p>
        </w:tc>
        <w:tc>
          <w:tcPr>
            <w:tcW w:w="1025" w:type="dxa"/>
            <w:tcBorders>
              <w:bottom w:val="single" w:sz="8" w:space="0" w:color="000000"/>
            </w:tcBorders>
            <w:vAlign w:val="center"/>
          </w:tcPr>
          <w:p>
            <w:pPr>
              <w:pStyle w:val="TableContents"/>
              <w:bidi w:val="0"/>
              <w:spacing w:before="0" w:after="283"/>
              <w:jc w:val="center"/>
              <w:rPr>
                <w:sz w:val="20"/>
              </w:rPr>
            </w:pPr>
            <w:r>
              <w:rPr>
                <w:sz w:val="20"/>
              </w:rPr>
              <w:t>WITHHELD</w:t>
            </w:r>
          </w:p>
        </w:tc>
        <w:tc>
          <w:tcPr>
            <w:tcW w:w="60" w:type="dxa"/>
            <w:tcBorders/>
            <w:tcMar>
              <w:bottom w:w="0" w:type="dxa"/>
            </w:tcMar>
            <w:vAlign w:val="center"/>
          </w:tcPr>
          <w:p>
            <w:pPr>
              <w:pStyle w:val="TableContents"/>
              <w:bidi w:val="0"/>
              <w:spacing w:before="0" w:after="283"/>
              <w:jc w:val="left"/>
              <w:rPr/>
            </w:pPr>
            <w:r>
              <w:rPr/>
              <w:t> </w:t>
            </w:r>
          </w:p>
        </w:tc>
        <w:tc>
          <w:tcPr>
            <w:tcW w:w="1955" w:type="dxa"/>
            <w:tcBorders>
              <w:bottom w:val="single" w:sz="8" w:space="0" w:color="000000"/>
            </w:tcBorders>
            <w:vAlign w:val="center"/>
          </w:tcPr>
          <w:p>
            <w:pPr>
              <w:pStyle w:val="TableContents"/>
              <w:bidi w:val="0"/>
              <w:spacing w:before="0" w:after="283"/>
              <w:jc w:val="center"/>
              <w:rPr>
                <w:sz w:val="20"/>
              </w:rPr>
            </w:pPr>
            <w:r>
              <w:rPr>
                <w:sz w:val="20"/>
              </w:rPr>
              <w:t>BROKER NON-VOTES</w:t>
            </w:r>
          </w:p>
        </w:tc>
      </w:tr>
      <w:tr>
        <w:trPr/>
        <w:tc>
          <w:tcPr>
            <w:tcW w:w="1070" w:type="dxa"/>
            <w:tcBorders/>
            <w:shd w:fill="CCEEFF" w:val="clear"/>
            <w:tcMar>
              <w:bottom w:w="0" w:type="dxa"/>
            </w:tcMar>
            <w:vAlign w:val="center"/>
          </w:tcPr>
          <w:p>
            <w:pPr>
              <w:pStyle w:val="TableContents"/>
              <w:bidi w:val="0"/>
              <w:spacing w:before="0" w:after="283"/>
              <w:jc w:val="center"/>
              <w:rPr>
                <w:sz w:val="20"/>
              </w:rPr>
            </w:pPr>
            <w:r>
              <w:rPr>
                <w:sz w:val="20"/>
              </w:rPr>
              <w:t>590,081,657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center"/>
              <w:rPr>
                <w:sz w:val="20"/>
              </w:rPr>
            </w:pPr>
            <w:r>
              <w:rPr>
                <w:sz w:val="20"/>
              </w:rPr>
              <w:t>27,882,176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center"/>
              <w:rPr>
                <w:sz w:val="20"/>
              </w:rPr>
            </w:pPr>
            <w:r>
              <w:rPr>
                <w:sz w:val="20"/>
              </w:rPr>
              <w:t>777,918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5" w:type="dxa"/>
            <w:tcBorders/>
            <w:shd w:fill="CCEEFF" w:val="clear"/>
            <w:tcMar>
              <w:bottom w:w="0" w:type="dxa"/>
            </w:tcMar>
            <w:vAlign w:val="center"/>
          </w:tcPr>
          <w:p>
            <w:pPr>
              <w:pStyle w:val="TableContents"/>
              <w:bidi w:val="0"/>
              <w:spacing w:before="0" w:after="283"/>
              <w:jc w:val="center"/>
              <w:rPr>
                <w:b/>
                <w:i/>
                <w:sz w:val="20"/>
              </w:rPr>
            </w:pPr>
            <w:r>
              <w:rPr>
                <w:b/>
                <w:i/>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Proposal 4. To re-elect Christina Ackerman as a Director of the Company.</w:t>
      </w:r>
    </w:p>
    <w:p>
      <w:pPr>
        <w:pStyle w:val="TextBody"/>
        <w:bidi w:val="0"/>
        <w:spacing w:before="0" w:after="0"/>
        <w:ind w:left="0" w:right="0" w:hanging="0"/>
        <w:jc w:val="left"/>
        <w:rPr>
          <w:caps w:val="false"/>
          <w:smallCaps w:val="false"/>
        </w:rPr>
      </w:pPr>
      <w:r>
        <w:rPr>
          <w:caps w:val="false"/>
          <w:smallCaps w:val="false"/>
        </w:rPr>
        <w:t> </w:t>
      </w:r>
    </w:p>
    <w:tbl>
      <w:tblPr>
        <w:tblW w:w="5075" w:type="dxa"/>
        <w:jc w:val="left"/>
        <w:tblInd w:w="0" w:type="dxa"/>
        <w:tblLayout w:type="fixed"/>
        <w:tblCellMar>
          <w:top w:w="0" w:type="dxa"/>
          <w:left w:w="0" w:type="dxa"/>
          <w:bottom w:w="28" w:type="dxa"/>
          <w:right w:w="0" w:type="dxa"/>
        </w:tblCellMar>
      </w:tblPr>
      <w:tblGrid>
        <w:gridCol w:w="1070"/>
        <w:gridCol w:w="60"/>
        <w:gridCol w:w="845"/>
        <w:gridCol w:w="60"/>
        <w:gridCol w:w="1025"/>
        <w:gridCol w:w="60"/>
        <w:gridCol w:w="1955"/>
      </w:tblGrid>
      <w:tr>
        <w:trPr/>
        <w:tc>
          <w:tcPr>
            <w:tcW w:w="1070" w:type="dxa"/>
            <w:tcBorders>
              <w:bottom w:val="single" w:sz="8" w:space="0" w:color="000000"/>
            </w:tcBorders>
            <w:vAlign w:val="center"/>
          </w:tcPr>
          <w:p>
            <w:pPr>
              <w:pStyle w:val="TableContents"/>
              <w:bidi w:val="0"/>
              <w:spacing w:before="0" w:after="283"/>
              <w:jc w:val="center"/>
              <w:rPr>
                <w:sz w:val="20"/>
              </w:rPr>
            </w:pPr>
            <w:r>
              <w:rPr>
                <w:sz w:val="20"/>
              </w:rPr>
              <w:t>FOR</w:t>
            </w:r>
          </w:p>
        </w:tc>
        <w:tc>
          <w:tcPr>
            <w:tcW w:w="60" w:type="dxa"/>
            <w:tcBorders/>
            <w:tcMar>
              <w:bottom w:w="0" w:type="dxa"/>
            </w:tcMar>
            <w:vAlign w:val="center"/>
          </w:tcPr>
          <w:p>
            <w:pPr>
              <w:pStyle w:val="TableContents"/>
              <w:bidi w:val="0"/>
              <w:spacing w:before="0" w:after="283"/>
              <w:jc w:val="left"/>
              <w:rPr/>
            </w:pPr>
            <w:r>
              <w:rPr/>
              <w:t> </w:t>
            </w:r>
          </w:p>
        </w:tc>
        <w:tc>
          <w:tcPr>
            <w:tcW w:w="845" w:type="dxa"/>
            <w:tcBorders>
              <w:bottom w:val="single" w:sz="8" w:space="0" w:color="000000"/>
            </w:tcBorders>
            <w:vAlign w:val="center"/>
          </w:tcPr>
          <w:p>
            <w:pPr>
              <w:pStyle w:val="TableContents"/>
              <w:bidi w:val="0"/>
              <w:spacing w:before="0" w:after="283"/>
              <w:jc w:val="center"/>
              <w:rPr>
                <w:sz w:val="20"/>
              </w:rPr>
            </w:pPr>
            <w:r>
              <w:rPr>
                <w:sz w:val="20"/>
              </w:rPr>
              <w:t>AGAINST</w:t>
            </w:r>
          </w:p>
        </w:tc>
        <w:tc>
          <w:tcPr>
            <w:tcW w:w="60" w:type="dxa"/>
            <w:tcBorders/>
            <w:tcMar>
              <w:bottom w:w="0" w:type="dxa"/>
            </w:tcMar>
            <w:vAlign w:val="center"/>
          </w:tcPr>
          <w:p>
            <w:pPr>
              <w:pStyle w:val="TableContents"/>
              <w:bidi w:val="0"/>
              <w:spacing w:before="0" w:after="283"/>
              <w:jc w:val="left"/>
              <w:rPr/>
            </w:pPr>
            <w:r>
              <w:rPr/>
              <w:t> </w:t>
            </w:r>
          </w:p>
        </w:tc>
        <w:tc>
          <w:tcPr>
            <w:tcW w:w="1025" w:type="dxa"/>
            <w:tcBorders>
              <w:bottom w:val="single" w:sz="8" w:space="0" w:color="000000"/>
            </w:tcBorders>
            <w:vAlign w:val="center"/>
          </w:tcPr>
          <w:p>
            <w:pPr>
              <w:pStyle w:val="TableContents"/>
              <w:bidi w:val="0"/>
              <w:spacing w:before="0" w:after="283"/>
              <w:jc w:val="center"/>
              <w:rPr>
                <w:sz w:val="20"/>
              </w:rPr>
            </w:pPr>
            <w:r>
              <w:rPr>
                <w:sz w:val="20"/>
              </w:rPr>
              <w:t>WITHHELD</w:t>
            </w:r>
          </w:p>
        </w:tc>
        <w:tc>
          <w:tcPr>
            <w:tcW w:w="60" w:type="dxa"/>
            <w:tcBorders/>
            <w:tcMar>
              <w:bottom w:w="0" w:type="dxa"/>
            </w:tcMar>
            <w:vAlign w:val="center"/>
          </w:tcPr>
          <w:p>
            <w:pPr>
              <w:pStyle w:val="TableContents"/>
              <w:bidi w:val="0"/>
              <w:spacing w:before="0" w:after="283"/>
              <w:jc w:val="left"/>
              <w:rPr/>
            </w:pPr>
            <w:r>
              <w:rPr/>
              <w:t> </w:t>
            </w:r>
          </w:p>
        </w:tc>
        <w:tc>
          <w:tcPr>
            <w:tcW w:w="1955" w:type="dxa"/>
            <w:tcBorders>
              <w:bottom w:val="single" w:sz="8" w:space="0" w:color="000000"/>
            </w:tcBorders>
            <w:vAlign w:val="center"/>
          </w:tcPr>
          <w:p>
            <w:pPr>
              <w:pStyle w:val="TableContents"/>
              <w:bidi w:val="0"/>
              <w:spacing w:before="0" w:after="283"/>
              <w:jc w:val="center"/>
              <w:rPr>
                <w:sz w:val="20"/>
              </w:rPr>
            </w:pPr>
            <w:r>
              <w:rPr>
                <w:sz w:val="20"/>
              </w:rPr>
              <w:t>BROKER NON-VOTES</w:t>
            </w:r>
          </w:p>
        </w:tc>
      </w:tr>
      <w:tr>
        <w:trPr/>
        <w:tc>
          <w:tcPr>
            <w:tcW w:w="1070" w:type="dxa"/>
            <w:tcBorders/>
            <w:shd w:fill="CCEEFF" w:val="clear"/>
            <w:tcMar>
              <w:bottom w:w="0" w:type="dxa"/>
            </w:tcMar>
            <w:vAlign w:val="center"/>
          </w:tcPr>
          <w:p>
            <w:pPr>
              <w:pStyle w:val="TableContents"/>
              <w:bidi w:val="0"/>
              <w:spacing w:before="0" w:after="283"/>
              <w:jc w:val="center"/>
              <w:rPr>
                <w:sz w:val="20"/>
              </w:rPr>
            </w:pPr>
            <w:r>
              <w:rPr>
                <w:sz w:val="20"/>
              </w:rPr>
              <w:t>617,786,657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center"/>
              <w:rPr>
                <w:sz w:val="20"/>
              </w:rPr>
            </w:pPr>
            <w:r>
              <w:rPr>
                <w:sz w:val="20"/>
              </w:rPr>
              <w:t>169,976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center"/>
              <w:rPr>
                <w:sz w:val="20"/>
              </w:rPr>
            </w:pPr>
            <w:r>
              <w:rPr>
                <w:sz w:val="20"/>
              </w:rPr>
              <w:t>785,118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5" w:type="dxa"/>
            <w:tcBorders/>
            <w:shd w:fill="CCEEFF" w:val="clear"/>
            <w:tcMar>
              <w:bottom w:w="0" w:type="dxa"/>
            </w:tcMar>
            <w:vAlign w:val="center"/>
          </w:tcPr>
          <w:p>
            <w:pPr>
              <w:pStyle w:val="TableContents"/>
              <w:bidi w:val="0"/>
              <w:spacing w:before="0" w:after="283"/>
              <w:jc w:val="center"/>
              <w:rPr>
                <w:b/>
                <w:i/>
                <w:sz w:val="20"/>
              </w:rPr>
            </w:pPr>
            <w:r>
              <w:rPr>
                <w:b/>
                <w:i/>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Proposal 5. To re-elect Michael Austwick as a Director of the Company.</w:t>
      </w:r>
    </w:p>
    <w:p>
      <w:pPr>
        <w:pStyle w:val="TextBody"/>
        <w:bidi w:val="0"/>
        <w:spacing w:before="0" w:after="0"/>
        <w:ind w:left="0" w:right="0" w:hanging="0"/>
        <w:jc w:val="left"/>
        <w:rPr>
          <w:caps w:val="false"/>
          <w:smallCaps w:val="false"/>
        </w:rPr>
      </w:pPr>
      <w:r>
        <w:rPr>
          <w:caps w:val="false"/>
          <w:smallCaps w:val="false"/>
        </w:rPr>
        <w:t> </w:t>
      </w:r>
    </w:p>
    <w:tbl>
      <w:tblPr>
        <w:tblW w:w="5075" w:type="dxa"/>
        <w:jc w:val="left"/>
        <w:tblInd w:w="0" w:type="dxa"/>
        <w:tblLayout w:type="fixed"/>
        <w:tblCellMar>
          <w:top w:w="0" w:type="dxa"/>
          <w:left w:w="0" w:type="dxa"/>
          <w:bottom w:w="28" w:type="dxa"/>
          <w:right w:w="0" w:type="dxa"/>
        </w:tblCellMar>
      </w:tblPr>
      <w:tblGrid>
        <w:gridCol w:w="1070"/>
        <w:gridCol w:w="60"/>
        <w:gridCol w:w="845"/>
        <w:gridCol w:w="60"/>
        <w:gridCol w:w="1025"/>
        <w:gridCol w:w="60"/>
        <w:gridCol w:w="1955"/>
      </w:tblGrid>
      <w:tr>
        <w:trPr/>
        <w:tc>
          <w:tcPr>
            <w:tcW w:w="1070" w:type="dxa"/>
            <w:tcBorders>
              <w:bottom w:val="single" w:sz="8" w:space="0" w:color="000000"/>
            </w:tcBorders>
            <w:vAlign w:val="center"/>
          </w:tcPr>
          <w:p>
            <w:pPr>
              <w:pStyle w:val="TableContents"/>
              <w:bidi w:val="0"/>
              <w:spacing w:before="0" w:after="283"/>
              <w:jc w:val="center"/>
              <w:rPr>
                <w:sz w:val="20"/>
              </w:rPr>
            </w:pPr>
            <w:r>
              <w:rPr>
                <w:sz w:val="20"/>
              </w:rPr>
              <w:t>FOR</w:t>
            </w:r>
          </w:p>
        </w:tc>
        <w:tc>
          <w:tcPr>
            <w:tcW w:w="60" w:type="dxa"/>
            <w:tcBorders/>
            <w:tcMar>
              <w:bottom w:w="0" w:type="dxa"/>
            </w:tcMar>
            <w:vAlign w:val="center"/>
          </w:tcPr>
          <w:p>
            <w:pPr>
              <w:pStyle w:val="TableContents"/>
              <w:bidi w:val="0"/>
              <w:spacing w:before="0" w:after="283"/>
              <w:jc w:val="left"/>
              <w:rPr/>
            </w:pPr>
            <w:r>
              <w:rPr/>
              <w:t> </w:t>
            </w:r>
          </w:p>
        </w:tc>
        <w:tc>
          <w:tcPr>
            <w:tcW w:w="845" w:type="dxa"/>
            <w:tcBorders>
              <w:bottom w:val="single" w:sz="8" w:space="0" w:color="000000"/>
            </w:tcBorders>
            <w:vAlign w:val="center"/>
          </w:tcPr>
          <w:p>
            <w:pPr>
              <w:pStyle w:val="TableContents"/>
              <w:bidi w:val="0"/>
              <w:spacing w:before="0" w:after="283"/>
              <w:jc w:val="center"/>
              <w:rPr>
                <w:sz w:val="20"/>
              </w:rPr>
            </w:pPr>
            <w:r>
              <w:rPr>
                <w:sz w:val="20"/>
              </w:rPr>
              <w:t>AGAINST</w:t>
            </w:r>
          </w:p>
        </w:tc>
        <w:tc>
          <w:tcPr>
            <w:tcW w:w="60" w:type="dxa"/>
            <w:tcBorders/>
            <w:tcMar>
              <w:bottom w:w="0" w:type="dxa"/>
            </w:tcMar>
            <w:vAlign w:val="center"/>
          </w:tcPr>
          <w:p>
            <w:pPr>
              <w:pStyle w:val="TableContents"/>
              <w:bidi w:val="0"/>
              <w:spacing w:before="0" w:after="283"/>
              <w:jc w:val="left"/>
              <w:rPr/>
            </w:pPr>
            <w:r>
              <w:rPr/>
              <w:t> </w:t>
            </w:r>
          </w:p>
        </w:tc>
        <w:tc>
          <w:tcPr>
            <w:tcW w:w="1025" w:type="dxa"/>
            <w:tcBorders>
              <w:bottom w:val="single" w:sz="8" w:space="0" w:color="000000"/>
            </w:tcBorders>
            <w:vAlign w:val="center"/>
          </w:tcPr>
          <w:p>
            <w:pPr>
              <w:pStyle w:val="TableContents"/>
              <w:bidi w:val="0"/>
              <w:spacing w:before="0" w:after="283"/>
              <w:jc w:val="center"/>
              <w:rPr>
                <w:sz w:val="20"/>
              </w:rPr>
            </w:pPr>
            <w:r>
              <w:rPr>
                <w:sz w:val="20"/>
              </w:rPr>
              <w:t>WITHHELD</w:t>
            </w:r>
          </w:p>
        </w:tc>
        <w:tc>
          <w:tcPr>
            <w:tcW w:w="60" w:type="dxa"/>
            <w:tcBorders/>
            <w:tcMar>
              <w:bottom w:w="0" w:type="dxa"/>
            </w:tcMar>
            <w:vAlign w:val="center"/>
          </w:tcPr>
          <w:p>
            <w:pPr>
              <w:pStyle w:val="TableContents"/>
              <w:bidi w:val="0"/>
              <w:spacing w:before="0" w:after="283"/>
              <w:jc w:val="left"/>
              <w:rPr/>
            </w:pPr>
            <w:r>
              <w:rPr/>
              <w:t> </w:t>
            </w:r>
          </w:p>
        </w:tc>
        <w:tc>
          <w:tcPr>
            <w:tcW w:w="1955" w:type="dxa"/>
            <w:tcBorders>
              <w:bottom w:val="single" w:sz="8" w:space="0" w:color="000000"/>
            </w:tcBorders>
            <w:vAlign w:val="center"/>
          </w:tcPr>
          <w:p>
            <w:pPr>
              <w:pStyle w:val="TableContents"/>
              <w:bidi w:val="0"/>
              <w:spacing w:before="0" w:after="283"/>
              <w:jc w:val="center"/>
              <w:rPr>
                <w:sz w:val="20"/>
              </w:rPr>
            </w:pPr>
            <w:r>
              <w:rPr>
                <w:sz w:val="20"/>
              </w:rPr>
              <w:t>BROKER NON-VOTES</w:t>
            </w:r>
          </w:p>
        </w:tc>
      </w:tr>
      <w:tr>
        <w:trPr/>
        <w:tc>
          <w:tcPr>
            <w:tcW w:w="1070" w:type="dxa"/>
            <w:tcBorders/>
            <w:shd w:fill="CCEEFF" w:val="clear"/>
            <w:tcMar>
              <w:bottom w:w="0" w:type="dxa"/>
            </w:tcMar>
            <w:vAlign w:val="center"/>
          </w:tcPr>
          <w:p>
            <w:pPr>
              <w:pStyle w:val="TableContents"/>
              <w:bidi w:val="0"/>
              <w:spacing w:before="0" w:after="283"/>
              <w:jc w:val="center"/>
              <w:rPr>
                <w:sz w:val="20"/>
              </w:rPr>
            </w:pPr>
            <w:r>
              <w:rPr>
                <w:sz w:val="20"/>
              </w:rPr>
              <w:t>617,807,153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center"/>
              <w:rPr>
                <w:sz w:val="20"/>
              </w:rPr>
            </w:pPr>
            <w:r>
              <w:rPr>
                <w:sz w:val="20"/>
              </w:rPr>
              <w:t>170,296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center"/>
              <w:rPr>
                <w:sz w:val="20"/>
              </w:rPr>
            </w:pPr>
            <w:r>
              <w:rPr>
                <w:sz w:val="20"/>
              </w:rPr>
              <w:t>764,302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5" w:type="dxa"/>
            <w:tcBorders/>
            <w:shd w:fill="CCEEFF" w:val="clear"/>
            <w:tcMar>
              <w:bottom w:w="0" w:type="dxa"/>
            </w:tcMar>
            <w:vAlign w:val="center"/>
          </w:tcPr>
          <w:p>
            <w:pPr>
              <w:pStyle w:val="TableContents"/>
              <w:bidi w:val="0"/>
              <w:spacing w:before="0" w:after="283"/>
              <w:jc w:val="center"/>
              <w:rPr>
                <w:b/>
                <w:i/>
                <w:sz w:val="20"/>
              </w:rPr>
            </w:pPr>
            <w:r>
              <w:rPr>
                <w:b/>
                <w:i/>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Proposal 6. To receive and adopt the U.K. statutory annual accounts and Directors’ report for the year ended December 31, 2023 and the report of the auditors thereon (the “2023 U.K. Annual Report”).</w:t>
      </w:r>
    </w:p>
    <w:p>
      <w:pPr>
        <w:pStyle w:val="TextBody"/>
        <w:bidi w:val="0"/>
        <w:spacing w:before="0" w:after="0"/>
        <w:ind w:left="0" w:right="0" w:hanging="0"/>
        <w:jc w:val="left"/>
        <w:rPr>
          <w:caps w:val="false"/>
          <w:smallCaps w:val="false"/>
        </w:rPr>
      </w:pPr>
      <w:r>
        <w:rPr>
          <w:caps w:val="false"/>
          <w:smallCaps w:val="false"/>
        </w:rPr>
        <w:t> </w:t>
      </w:r>
    </w:p>
    <w:tbl>
      <w:tblPr>
        <w:tblW w:w="5075" w:type="dxa"/>
        <w:jc w:val="left"/>
        <w:tblInd w:w="0" w:type="dxa"/>
        <w:tblLayout w:type="fixed"/>
        <w:tblCellMar>
          <w:top w:w="0" w:type="dxa"/>
          <w:left w:w="0" w:type="dxa"/>
          <w:bottom w:w="28" w:type="dxa"/>
          <w:right w:w="0" w:type="dxa"/>
        </w:tblCellMar>
      </w:tblPr>
      <w:tblGrid>
        <w:gridCol w:w="1070"/>
        <w:gridCol w:w="60"/>
        <w:gridCol w:w="845"/>
        <w:gridCol w:w="60"/>
        <w:gridCol w:w="1025"/>
        <w:gridCol w:w="60"/>
        <w:gridCol w:w="1955"/>
      </w:tblGrid>
      <w:tr>
        <w:trPr/>
        <w:tc>
          <w:tcPr>
            <w:tcW w:w="1070" w:type="dxa"/>
            <w:tcBorders>
              <w:bottom w:val="single" w:sz="8" w:space="0" w:color="000000"/>
            </w:tcBorders>
            <w:vAlign w:val="center"/>
          </w:tcPr>
          <w:p>
            <w:pPr>
              <w:pStyle w:val="TableContents"/>
              <w:bidi w:val="0"/>
              <w:spacing w:before="0" w:after="283"/>
              <w:jc w:val="center"/>
              <w:rPr>
                <w:sz w:val="20"/>
              </w:rPr>
            </w:pPr>
            <w:r>
              <w:rPr>
                <w:sz w:val="20"/>
              </w:rPr>
              <w:t>FOR</w:t>
            </w:r>
          </w:p>
        </w:tc>
        <w:tc>
          <w:tcPr>
            <w:tcW w:w="60" w:type="dxa"/>
            <w:tcBorders/>
            <w:tcMar>
              <w:bottom w:w="0" w:type="dxa"/>
            </w:tcMar>
            <w:vAlign w:val="center"/>
          </w:tcPr>
          <w:p>
            <w:pPr>
              <w:pStyle w:val="TableContents"/>
              <w:bidi w:val="0"/>
              <w:spacing w:before="0" w:after="283"/>
              <w:jc w:val="left"/>
              <w:rPr/>
            </w:pPr>
            <w:r>
              <w:rPr/>
              <w:t> </w:t>
            </w:r>
          </w:p>
        </w:tc>
        <w:tc>
          <w:tcPr>
            <w:tcW w:w="845" w:type="dxa"/>
            <w:tcBorders>
              <w:bottom w:val="single" w:sz="8" w:space="0" w:color="000000"/>
            </w:tcBorders>
            <w:vAlign w:val="center"/>
          </w:tcPr>
          <w:p>
            <w:pPr>
              <w:pStyle w:val="TableContents"/>
              <w:bidi w:val="0"/>
              <w:spacing w:before="0" w:after="283"/>
              <w:jc w:val="center"/>
              <w:rPr>
                <w:sz w:val="20"/>
              </w:rPr>
            </w:pPr>
            <w:r>
              <w:rPr>
                <w:sz w:val="20"/>
              </w:rPr>
              <w:t>AGAINST</w:t>
            </w:r>
          </w:p>
        </w:tc>
        <w:tc>
          <w:tcPr>
            <w:tcW w:w="60" w:type="dxa"/>
            <w:tcBorders/>
            <w:tcMar>
              <w:bottom w:w="0" w:type="dxa"/>
            </w:tcMar>
            <w:vAlign w:val="center"/>
          </w:tcPr>
          <w:p>
            <w:pPr>
              <w:pStyle w:val="TableContents"/>
              <w:bidi w:val="0"/>
              <w:spacing w:before="0" w:after="283"/>
              <w:jc w:val="left"/>
              <w:rPr/>
            </w:pPr>
            <w:r>
              <w:rPr/>
              <w:t> </w:t>
            </w:r>
          </w:p>
        </w:tc>
        <w:tc>
          <w:tcPr>
            <w:tcW w:w="1025" w:type="dxa"/>
            <w:tcBorders>
              <w:bottom w:val="single" w:sz="8" w:space="0" w:color="000000"/>
            </w:tcBorders>
            <w:vAlign w:val="center"/>
          </w:tcPr>
          <w:p>
            <w:pPr>
              <w:pStyle w:val="TableContents"/>
              <w:bidi w:val="0"/>
              <w:spacing w:before="0" w:after="283"/>
              <w:jc w:val="center"/>
              <w:rPr>
                <w:sz w:val="20"/>
              </w:rPr>
            </w:pPr>
            <w:r>
              <w:rPr>
                <w:sz w:val="20"/>
              </w:rPr>
              <w:t>WITHHELD</w:t>
            </w:r>
          </w:p>
        </w:tc>
        <w:tc>
          <w:tcPr>
            <w:tcW w:w="60" w:type="dxa"/>
            <w:tcBorders/>
            <w:tcMar>
              <w:bottom w:w="0" w:type="dxa"/>
            </w:tcMar>
            <w:vAlign w:val="center"/>
          </w:tcPr>
          <w:p>
            <w:pPr>
              <w:pStyle w:val="TableContents"/>
              <w:bidi w:val="0"/>
              <w:spacing w:before="0" w:after="283"/>
              <w:jc w:val="left"/>
              <w:rPr/>
            </w:pPr>
            <w:r>
              <w:rPr/>
              <w:t> </w:t>
            </w:r>
          </w:p>
        </w:tc>
        <w:tc>
          <w:tcPr>
            <w:tcW w:w="1955" w:type="dxa"/>
            <w:tcBorders>
              <w:bottom w:val="single" w:sz="8" w:space="0" w:color="000000"/>
            </w:tcBorders>
            <w:vAlign w:val="center"/>
          </w:tcPr>
          <w:p>
            <w:pPr>
              <w:pStyle w:val="TableContents"/>
              <w:bidi w:val="0"/>
              <w:spacing w:before="0" w:after="283"/>
              <w:jc w:val="center"/>
              <w:rPr>
                <w:sz w:val="20"/>
              </w:rPr>
            </w:pPr>
            <w:r>
              <w:rPr>
                <w:sz w:val="20"/>
              </w:rPr>
              <w:t>BROKER NON-VOTES</w:t>
            </w:r>
          </w:p>
        </w:tc>
      </w:tr>
      <w:tr>
        <w:trPr/>
        <w:tc>
          <w:tcPr>
            <w:tcW w:w="1070" w:type="dxa"/>
            <w:tcBorders/>
            <w:shd w:fill="CCEEFF" w:val="clear"/>
            <w:tcMar>
              <w:bottom w:w="0" w:type="dxa"/>
            </w:tcMar>
            <w:vAlign w:val="center"/>
          </w:tcPr>
          <w:p>
            <w:pPr>
              <w:pStyle w:val="TableContents"/>
              <w:bidi w:val="0"/>
              <w:spacing w:before="0" w:after="283"/>
              <w:jc w:val="center"/>
              <w:rPr>
                <w:sz w:val="20"/>
              </w:rPr>
            </w:pPr>
            <w:r>
              <w:rPr>
                <w:sz w:val="20"/>
              </w:rPr>
              <w:t>616,905,143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center"/>
              <w:rPr>
                <w:sz w:val="20"/>
              </w:rPr>
            </w:pPr>
            <w:r>
              <w:rPr>
                <w:sz w:val="20"/>
              </w:rPr>
              <w:t>1,179,344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center"/>
              <w:rPr>
                <w:sz w:val="20"/>
              </w:rPr>
            </w:pPr>
            <w:r>
              <w:rPr>
                <w:sz w:val="20"/>
              </w:rPr>
              <w:t>657,264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5" w:type="dxa"/>
            <w:tcBorders/>
            <w:shd w:fill="CCEEFF" w:val="clear"/>
            <w:tcMar>
              <w:bottom w:w="0" w:type="dxa"/>
            </w:tcMar>
            <w:vAlign w:val="center"/>
          </w:tcPr>
          <w:p>
            <w:pPr>
              <w:pStyle w:val="TableContents"/>
              <w:bidi w:val="0"/>
              <w:spacing w:before="0" w:after="283"/>
              <w:jc w:val="center"/>
              <w:rPr>
                <w:b/>
                <w:i/>
                <w:sz w:val="20"/>
              </w:rPr>
            </w:pPr>
            <w:r>
              <w:rPr>
                <w:b/>
                <w:i/>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Proposal 7. To receive and approve, as a non-binding advisory resolution, the U.K. statutory Directors’ Remuneration Report for the year ended December 31, 2023, as set out on pages 36 to 57 of the 2023 U.K. Annual Report.</w:t>
      </w:r>
    </w:p>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28" w:type="dxa"/>
          <w:right w:w="0" w:type="dxa"/>
        </w:tblCellMar>
      </w:tblPr>
      <w:tblGrid>
        <w:gridCol w:w="1070"/>
        <w:gridCol w:w="60"/>
        <w:gridCol w:w="950"/>
        <w:gridCol w:w="60"/>
        <w:gridCol w:w="1025"/>
        <w:gridCol w:w="60"/>
        <w:gridCol w:w="1955"/>
      </w:tblGrid>
      <w:tr>
        <w:trPr/>
        <w:tc>
          <w:tcPr>
            <w:tcW w:w="1070" w:type="dxa"/>
            <w:tcBorders>
              <w:bottom w:val="single" w:sz="8" w:space="0" w:color="000000"/>
            </w:tcBorders>
            <w:vAlign w:val="center"/>
          </w:tcPr>
          <w:p>
            <w:pPr>
              <w:pStyle w:val="TableContents"/>
              <w:bidi w:val="0"/>
              <w:spacing w:before="0" w:after="283"/>
              <w:jc w:val="center"/>
              <w:rPr>
                <w:sz w:val="20"/>
              </w:rPr>
            </w:pPr>
            <w:r>
              <w:rPr>
                <w:sz w:val="20"/>
              </w:rPr>
              <w:t>FOR</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8" w:space="0" w:color="000000"/>
            </w:tcBorders>
            <w:vAlign w:val="center"/>
          </w:tcPr>
          <w:p>
            <w:pPr>
              <w:pStyle w:val="TableContents"/>
              <w:bidi w:val="0"/>
              <w:spacing w:before="0" w:after="283"/>
              <w:jc w:val="center"/>
              <w:rPr>
                <w:sz w:val="20"/>
              </w:rPr>
            </w:pPr>
            <w:r>
              <w:rPr>
                <w:sz w:val="20"/>
              </w:rPr>
              <w:t>AGAINST</w:t>
            </w:r>
          </w:p>
        </w:tc>
        <w:tc>
          <w:tcPr>
            <w:tcW w:w="60" w:type="dxa"/>
            <w:tcBorders/>
            <w:tcMar>
              <w:bottom w:w="0" w:type="dxa"/>
            </w:tcMar>
            <w:vAlign w:val="center"/>
          </w:tcPr>
          <w:p>
            <w:pPr>
              <w:pStyle w:val="TableContents"/>
              <w:bidi w:val="0"/>
              <w:spacing w:before="0" w:after="283"/>
              <w:jc w:val="left"/>
              <w:rPr/>
            </w:pPr>
            <w:r>
              <w:rPr/>
              <w:t> </w:t>
            </w:r>
          </w:p>
        </w:tc>
        <w:tc>
          <w:tcPr>
            <w:tcW w:w="1025" w:type="dxa"/>
            <w:tcBorders>
              <w:bottom w:val="single" w:sz="8" w:space="0" w:color="000000"/>
            </w:tcBorders>
            <w:vAlign w:val="center"/>
          </w:tcPr>
          <w:p>
            <w:pPr>
              <w:pStyle w:val="TableContents"/>
              <w:bidi w:val="0"/>
              <w:spacing w:before="0" w:after="283"/>
              <w:jc w:val="center"/>
              <w:rPr>
                <w:sz w:val="20"/>
              </w:rPr>
            </w:pPr>
            <w:r>
              <w:rPr>
                <w:sz w:val="20"/>
              </w:rPr>
              <w:t>WITHHELD</w:t>
            </w:r>
          </w:p>
        </w:tc>
        <w:tc>
          <w:tcPr>
            <w:tcW w:w="60" w:type="dxa"/>
            <w:tcBorders/>
            <w:tcMar>
              <w:bottom w:w="0" w:type="dxa"/>
            </w:tcMar>
            <w:vAlign w:val="center"/>
          </w:tcPr>
          <w:p>
            <w:pPr>
              <w:pStyle w:val="TableContents"/>
              <w:bidi w:val="0"/>
              <w:spacing w:before="0" w:after="283"/>
              <w:jc w:val="left"/>
              <w:rPr/>
            </w:pPr>
            <w:r>
              <w:rPr/>
              <w:t> </w:t>
            </w:r>
          </w:p>
        </w:tc>
        <w:tc>
          <w:tcPr>
            <w:tcW w:w="1955" w:type="dxa"/>
            <w:tcBorders>
              <w:bottom w:val="single" w:sz="8" w:space="0" w:color="000000"/>
            </w:tcBorders>
            <w:vAlign w:val="center"/>
          </w:tcPr>
          <w:p>
            <w:pPr>
              <w:pStyle w:val="TableContents"/>
              <w:bidi w:val="0"/>
              <w:spacing w:before="0" w:after="283"/>
              <w:jc w:val="center"/>
              <w:rPr>
                <w:sz w:val="20"/>
              </w:rPr>
            </w:pPr>
            <w:r>
              <w:rPr>
                <w:sz w:val="20"/>
              </w:rPr>
              <w:t>BROKER NON-VOTES</w:t>
            </w:r>
          </w:p>
        </w:tc>
      </w:tr>
      <w:tr>
        <w:trPr/>
        <w:tc>
          <w:tcPr>
            <w:tcW w:w="1070" w:type="dxa"/>
            <w:tcBorders/>
            <w:shd w:fill="CCEEFF" w:val="clear"/>
            <w:tcMar>
              <w:bottom w:w="0" w:type="dxa"/>
            </w:tcMar>
            <w:vAlign w:val="center"/>
          </w:tcPr>
          <w:p>
            <w:pPr>
              <w:pStyle w:val="TableContents"/>
              <w:bidi w:val="0"/>
              <w:spacing w:before="0" w:after="283"/>
              <w:jc w:val="center"/>
              <w:rPr>
                <w:sz w:val="20"/>
              </w:rPr>
            </w:pPr>
            <w:r>
              <w:rPr>
                <w:sz w:val="20"/>
              </w:rPr>
              <w:t>593,000,121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center"/>
              <w:rPr>
                <w:sz w:val="20"/>
              </w:rPr>
            </w:pPr>
            <w:r>
              <w:rPr>
                <w:sz w:val="20"/>
              </w:rPr>
              <w:t>24,709,190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center"/>
              <w:rPr>
                <w:sz w:val="20"/>
              </w:rPr>
            </w:pPr>
            <w:r>
              <w:rPr>
                <w:sz w:val="20"/>
              </w:rPr>
              <w:t>1,032,440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5" w:type="dxa"/>
            <w:tcBorders/>
            <w:shd w:fill="CCEEFF" w:val="clear"/>
            <w:tcMar>
              <w:bottom w:w="0" w:type="dxa"/>
            </w:tcMar>
            <w:vAlign w:val="center"/>
          </w:tcPr>
          <w:p>
            <w:pPr>
              <w:pStyle w:val="TableContents"/>
              <w:bidi w:val="0"/>
              <w:spacing w:before="0" w:after="283"/>
              <w:jc w:val="center"/>
              <w:rPr>
                <w:b/>
                <w:i/>
                <w:sz w:val="20"/>
              </w:rPr>
            </w:pPr>
            <w:r>
              <w:rPr>
                <w:b/>
                <w:i/>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Proposal 8. To receive and approve the U.K. Directors’ Remuneration Policy, as set out on pages 47 to 57 of the 2023 U.K. Annual Report, which, if approved, will take effect upon conclusion of the AGM.</w:t>
      </w:r>
    </w:p>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28" w:type="dxa"/>
          <w:right w:w="0" w:type="dxa"/>
        </w:tblCellMar>
      </w:tblPr>
      <w:tblGrid>
        <w:gridCol w:w="1070"/>
        <w:gridCol w:w="60"/>
        <w:gridCol w:w="950"/>
        <w:gridCol w:w="60"/>
        <w:gridCol w:w="1025"/>
        <w:gridCol w:w="60"/>
        <w:gridCol w:w="1955"/>
      </w:tblGrid>
      <w:tr>
        <w:trPr/>
        <w:tc>
          <w:tcPr>
            <w:tcW w:w="1070" w:type="dxa"/>
            <w:tcBorders>
              <w:bottom w:val="single" w:sz="8" w:space="0" w:color="000000"/>
            </w:tcBorders>
            <w:vAlign w:val="center"/>
          </w:tcPr>
          <w:p>
            <w:pPr>
              <w:pStyle w:val="TableContents"/>
              <w:bidi w:val="0"/>
              <w:spacing w:before="0" w:after="283"/>
              <w:jc w:val="center"/>
              <w:rPr>
                <w:sz w:val="20"/>
              </w:rPr>
            </w:pPr>
            <w:r>
              <w:rPr>
                <w:sz w:val="20"/>
              </w:rPr>
              <w:t>FOR</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8" w:space="0" w:color="000000"/>
            </w:tcBorders>
            <w:vAlign w:val="center"/>
          </w:tcPr>
          <w:p>
            <w:pPr>
              <w:pStyle w:val="TableContents"/>
              <w:bidi w:val="0"/>
              <w:spacing w:before="0" w:after="283"/>
              <w:jc w:val="center"/>
              <w:rPr>
                <w:sz w:val="20"/>
              </w:rPr>
            </w:pPr>
            <w:r>
              <w:rPr>
                <w:sz w:val="20"/>
              </w:rPr>
              <w:t>AGAINST</w:t>
            </w:r>
          </w:p>
        </w:tc>
        <w:tc>
          <w:tcPr>
            <w:tcW w:w="60" w:type="dxa"/>
            <w:tcBorders/>
            <w:tcMar>
              <w:bottom w:w="0" w:type="dxa"/>
            </w:tcMar>
            <w:vAlign w:val="center"/>
          </w:tcPr>
          <w:p>
            <w:pPr>
              <w:pStyle w:val="TableContents"/>
              <w:bidi w:val="0"/>
              <w:spacing w:before="0" w:after="283"/>
              <w:jc w:val="left"/>
              <w:rPr/>
            </w:pPr>
            <w:r>
              <w:rPr/>
              <w:t> </w:t>
            </w:r>
          </w:p>
        </w:tc>
        <w:tc>
          <w:tcPr>
            <w:tcW w:w="1025" w:type="dxa"/>
            <w:tcBorders>
              <w:bottom w:val="single" w:sz="8" w:space="0" w:color="000000"/>
            </w:tcBorders>
            <w:vAlign w:val="center"/>
          </w:tcPr>
          <w:p>
            <w:pPr>
              <w:pStyle w:val="TableContents"/>
              <w:bidi w:val="0"/>
              <w:spacing w:before="0" w:after="283"/>
              <w:jc w:val="center"/>
              <w:rPr>
                <w:sz w:val="20"/>
              </w:rPr>
            </w:pPr>
            <w:r>
              <w:rPr>
                <w:sz w:val="20"/>
              </w:rPr>
              <w:t>WITHHELD</w:t>
            </w:r>
          </w:p>
        </w:tc>
        <w:tc>
          <w:tcPr>
            <w:tcW w:w="60" w:type="dxa"/>
            <w:tcBorders/>
            <w:tcMar>
              <w:bottom w:w="0" w:type="dxa"/>
            </w:tcMar>
            <w:vAlign w:val="center"/>
          </w:tcPr>
          <w:p>
            <w:pPr>
              <w:pStyle w:val="TableContents"/>
              <w:bidi w:val="0"/>
              <w:spacing w:before="0" w:after="283"/>
              <w:jc w:val="left"/>
              <w:rPr/>
            </w:pPr>
            <w:r>
              <w:rPr/>
              <w:t> </w:t>
            </w:r>
          </w:p>
        </w:tc>
        <w:tc>
          <w:tcPr>
            <w:tcW w:w="1955" w:type="dxa"/>
            <w:tcBorders>
              <w:bottom w:val="single" w:sz="8" w:space="0" w:color="000000"/>
            </w:tcBorders>
            <w:vAlign w:val="center"/>
          </w:tcPr>
          <w:p>
            <w:pPr>
              <w:pStyle w:val="TableContents"/>
              <w:bidi w:val="0"/>
              <w:spacing w:before="0" w:after="283"/>
              <w:jc w:val="center"/>
              <w:rPr>
                <w:sz w:val="20"/>
              </w:rPr>
            </w:pPr>
            <w:r>
              <w:rPr>
                <w:sz w:val="20"/>
              </w:rPr>
              <w:t>BROKER NON-VOTES</w:t>
            </w:r>
          </w:p>
        </w:tc>
      </w:tr>
      <w:tr>
        <w:trPr/>
        <w:tc>
          <w:tcPr>
            <w:tcW w:w="1070" w:type="dxa"/>
            <w:tcBorders/>
            <w:shd w:fill="CCEEFF" w:val="clear"/>
            <w:tcMar>
              <w:bottom w:w="0" w:type="dxa"/>
            </w:tcMar>
            <w:vAlign w:val="center"/>
          </w:tcPr>
          <w:p>
            <w:pPr>
              <w:pStyle w:val="TableContents"/>
              <w:bidi w:val="0"/>
              <w:spacing w:before="0" w:after="283"/>
              <w:jc w:val="center"/>
              <w:rPr>
                <w:sz w:val="20"/>
              </w:rPr>
            </w:pPr>
            <w:r>
              <w:rPr>
                <w:sz w:val="20"/>
              </w:rPr>
              <w:t>592,664,317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center"/>
              <w:rPr>
                <w:sz w:val="20"/>
              </w:rPr>
            </w:pPr>
            <w:r>
              <w:rPr>
                <w:sz w:val="20"/>
              </w:rPr>
              <w:t>24,906,426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center"/>
              <w:rPr>
                <w:sz w:val="20"/>
              </w:rPr>
            </w:pPr>
            <w:r>
              <w:rPr>
                <w:sz w:val="20"/>
              </w:rPr>
              <w:t>1,171,008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5" w:type="dxa"/>
            <w:tcBorders/>
            <w:shd w:fill="CCEEFF" w:val="clear"/>
            <w:tcMar>
              <w:bottom w:w="0" w:type="dxa"/>
            </w:tcMar>
            <w:vAlign w:val="center"/>
          </w:tcPr>
          <w:p>
            <w:pPr>
              <w:pStyle w:val="TableContents"/>
              <w:bidi w:val="0"/>
              <w:spacing w:before="0" w:after="283"/>
              <w:jc w:val="center"/>
              <w:rPr>
                <w:b/>
                <w:i/>
                <w:sz w:val="20"/>
              </w:rPr>
            </w:pPr>
            <w:r>
              <w:rPr>
                <w:b/>
                <w:i/>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Proposal 9. To approve an increase in the maximum aggregate level of Non-Executive Director annual remuneration (by way of fee) in accordance with Article 21.4 of the Company’s Articles of Association to £750,000 per annum on an ongoing basis.</w:t>
      </w:r>
    </w:p>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28" w:type="dxa"/>
          <w:right w:w="0" w:type="dxa"/>
        </w:tblCellMar>
      </w:tblPr>
      <w:tblGrid>
        <w:gridCol w:w="1070"/>
        <w:gridCol w:w="60"/>
        <w:gridCol w:w="950"/>
        <w:gridCol w:w="60"/>
        <w:gridCol w:w="1025"/>
        <w:gridCol w:w="60"/>
        <w:gridCol w:w="1955"/>
      </w:tblGrid>
      <w:tr>
        <w:trPr/>
        <w:tc>
          <w:tcPr>
            <w:tcW w:w="1070" w:type="dxa"/>
            <w:tcBorders>
              <w:bottom w:val="single" w:sz="8" w:space="0" w:color="000000"/>
            </w:tcBorders>
            <w:vAlign w:val="center"/>
          </w:tcPr>
          <w:p>
            <w:pPr>
              <w:pStyle w:val="TableContents"/>
              <w:bidi w:val="0"/>
              <w:spacing w:before="0" w:after="283"/>
              <w:jc w:val="center"/>
              <w:rPr>
                <w:sz w:val="20"/>
              </w:rPr>
            </w:pPr>
            <w:r>
              <w:rPr>
                <w:sz w:val="20"/>
              </w:rPr>
              <w:t>FOR</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8" w:space="0" w:color="000000"/>
            </w:tcBorders>
            <w:vAlign w:val="center"/>
          </w:tcPr>
          <w:p>
            <w:pPr>
              <w:pStyle w:val="TableContents"/>
              <w:bidi w:val="0"/>
              <w:spacing w:before="0" w:after="283"/>
              <w:jc w:val="center"/>
              <w:rPr>
                <w:sz w:val="20"/>
              </w:rPr>
            </w:pPr>
            <w:r>
              <w:rPr>
                <w:sz w:val="20"/>
              </w:rPr>
              <w:t>AGAINST</w:t>
            </w:r>
          </w:p>
        </w:tc>
        <w:tc>
          <w:tcPr>
            <w:tcW w:w="60" w:type="dxa"/>
            <w:tcBorders/>
            <w:tcMar>
              <w:bottom w:w="0" w:type="dxa"/>
            </w:tcMar>
            <w:vAlign w:val="center"/>
          </w:tcPr>
          <w:p>
            <w:pPr>
              <w:pStyle w:val="TableContents"/>
              <w:bidi w:val="0"/>
              <w:spacing w:before="0" w:after="283"/>
              <w:jc w:val="left"/>
              <w:rPr/>
            </w:pPr>
            <w:r>
              <w:rPr/>
              <w:t> </w:t>
            </w:r>
          </w:p>
        </w:tc>
        <w:tc>
          <w:tcPr>
            <w:tcW w:w="1025" w:type="dxa"/>
            <w:tcBorders>
              <w:bottom w:val="single" w:sz="8" w:space="0" w:color="000000"/>
            </w:tcBorders>
            <w:vAlign w:val="center"/>
          </w:tcPr>
          <w:p>
            <w:pPr>
              <w:pStyle w:val="TableContents"/>
              <w:bidi w:val="0"/>
              <w:spacing w:before="0" w:after="283"/>
              <w:jc w:val="center"/>
              <w:rPr>
                <w:sz w:val="20"/>
              </w:rPr>
            </w:pPr>
            <w:r>
              <w:rPr>
                <w:sz w:val="20"/>
              </w:rPr>
              <w:t>WITHHELD</w:t>
            </w:r>
          </w:p>
        </w:tc>
        <w:tc>
          <w:tcPr>
            <w:tcW w:w="60" w:type="dxa"/>
            <w:tcBorders/>
            <w:tcMar>
              <w:bottom w:w="0" w:type="dxa"/>
            </w:tcMar>
            <w:vAlign w:val="center"/>
          </w:tcPr>
          <w:p>
            <w:pPr>
              <w:pStyle w:val="TableContents"/>
              <w:bidi w:val="0"/>
              <w:spacing w:before="0" w:after="283"/>
              <w:jc w:val="left"/>
              <w:rPr/>
            </w:pPr>
            <w:r>
              <w:rPr/>
              <w:t> </w:t>
            </w:r>
          </w:p>
        </w:tc>
        <w:tc>
          <w:tcPr>
            <w:tcW w:w="1955" w:type="dxa"/>
            <w:tcBorders>
              <w:bottom w:val="single" w:sz="8" w:space="0" w:color="000000"/>
            </w:tcBorders>
            <w:vAlign w:val="center"/>
          </w:tcPr>
          <w:p>
            <w:pPr>
              <w:pStyle w:val="TableContents"/>
              <w:bidi w:val="0"/>
              <w:spacing w:before="0" w:after="283"/>
              <w:jc w:val="center"/>
              <w:rPr>
                <w:sz w:val="20"/>
              </w:rPr>
            </w:pPr>
            <w:r>
              <w:rPr>
                <w:sz w:val="20"/>
              </w:rPr>
              <w:t>BROKER NON-VOTES</w:t>
            </w:r>
          </w:p>
        </w:tc>
      </w:tr>
      <w:tr>
        <w:trPr/>
        <w:tc>
          <w:tcPr>
            <w:tcW w:w="1070" w:type="dxa"/>
            <w:tcBorders/>
            <w:shd w:fill="CCEEFF" w:val="clear"/>
            <w:tcMar>
              <w:bottom w:w="0" w:type="dxa"/>
            </w:tcMar>
            <w:vAlign w:val="center"/>
          </w:tcPr>
          <w:p>
            <w:pPr>
              <w:pStyle w:val="TableContents"/>
              <w:bidi w:val="0"/>
              <w:spacing w:before="0" w:after="283"/>
              <w:jc w:val="center"/>
              <w:rPr>
                <w:sz w:val="20"/>
              </w:rPr>
            </w:pPr>
            <w:r>
              <w:rPr>
                <w:sz w:val="20"/>
              </w:rPr>
              <w:t>589,238,589</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center"/>
              <w:rPr>
                <w:sz w:val="20"/>
              </w:rPr>
            </w:pPr>
            <w:r>
              <w:rPr>
                <w:sz w:val="20"/>
              </w:rPr>
              <w:t>28,269,274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center"/>
              <w:rPr>
                <w:sz w:val="20"/>
              </w:rPr>
            </w:pPr>
            <w:r>
              <w:rPr>
                <w:sz w:val="20"/>
              </w:rPr>
              <w:t>1,233,888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5" w:type="dxa"/>
            <w:tcBorders/>
            <w:shd w:fill="CCEEFF" w:val="clear"/>
            <w:tcMar>
              <w:bottom w:w="0" w:type="dxa"/>
            </w:tcMar>
            <w:vAlign w:val="center"/>
          </w:tcPr>
          <w:p>
            <w:pPr>
              <w:pStyle w:val="TableContents"/>
              <w:bidi w:val="0"/>
              <w:spacing w:before="0" w:after="283"/>
              <w:jc w:val="center"/>
              <w:rPr>
                <w:b/>
                <w:i/>
                <w:sz w:val="20"/>
              </w:rPr>
            </w:pPr>
            <w:r>
              <w:rPr>
                <w:b/>
                <w:i/>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Proposal 10. To appoint Ernst &amp; Young LLP as the Company’s auditors, to hold office until the conclusion of the next annual general meeting of shareholders.</w:t>
      </w:r>
    </w:p>
    <w:p>
      <w:pPr>
        <w:pStyle w:val="TextBody"/>
        <w:bidi w:val="0"/>
        <w:spacing w:before="0" w:after="0"/>
        <w:ind w:left="0" w:right="0" w:hanging="0"/>
        <w:jc w:val="left"/>
        <w:rPr>
          <w:caps w:val="false"/>
          <w:smallCaps w:val="false"/>
        </w:rPr>
      </w:pPr>
      <w:r>
        <w:rPr>
          <w:caps w:val="false"/>
          <w:smallCaps w:val="false"/>
        </w:rPr>
        <w:t> </w:t>
      </w:r>
    </w:p>
    <w:tbl>
      <w:tblPr>
        <w:tblW w:w="5075" w:type="dxa"/>
        <w:jc w:val="left"/>
        <w:tblInd w:w="0" w:type="dxa"/>
        <w:tblLayout w:type="fixed"/>
        <w:tblCellMar>
          <w:top w:w="0" w:type="dxa"/>
          <w:left w:w="0" w:type="dxa"/>
          <w:bottom w:w="28" w:type="dxa"/>
          <w:right w:w="0" w:type="dxa"/>
        </w:tblCellMar>
      </w:tblPr>
      <w:tblGrid>
        <w:gridCol w:w="1070"/>
        <w:gridCol w:w="60"/>
        <w:gridCol w:w="845"/>
        <w:gridCol w:w="60"/>
        <w:gridCol w:w="1025"/>
        <w:gridCol w:w="60"/>
        <w:gridCol w:w="1955"/>
      </w:tblGrid>
      <w:tr>
        <w:trPr/>
        <w:tc>
          <w:tcPr>
            <w:tcW w:w="1070" w:type="dxa"/>
            <w:tcBorders>
              <w:bottom w:val="single" w:sz="8" w:space="0" w:color="000000"/>
            </w:tcBorders>
            <w:vAlign w:val="center"/>
          </w:tcPr>
          <w:p>
            <w:pPr>
              <w:pStyle w:val="TableContents"/>
              <w:bidi w:val="0"/>
              <w:spacing w:before="0" w:after="283"/>
              <w:jc w:val="center"/>
              <w:rPr>
                <w:sz w:val="20"/>
              </w:rPr>
            </w:pPr>
            <w:r>
              <w:rPr>
                <w:sz w:val="20"/>
              </w:rPr>
              <w:t>FOR</w:t>
            </w:r>
          </w:p>
        </w:tc>
        <w:tc>
          <w:tcPr>
            <w:tcW w:w="60" w:type="dxa"/>
            <w:tcBorders/>
            <w:tcMar>
              <w:bottom w:w="0" w:type="dxa"/>
            </w:tcMar>
            <w:vAlign w:val="center"/>
          </w:tcPr>
          <w:p>
            <w:pPr>
              <w:pStyle w:val="TableContents"/>
              <w:bidi w:val="0"/>
              <w:spacing w:before="0" w:after="283"/>
              <w:jc w:val="left"/>
              <w:rPr/>
            </w:pPr>
            <w:r>
              <w:rPr/>
              <w:t> </w:t>
            </w:r>
          </w:p>
        </w:tc>
        <w:tc>
          <w:tcPr>
            <w:tcW w:w="845" w:type="dxa"/>
            <w:tcBorders>
              <w:bottom w:val="single" w:sz="8" w:space="0" w:color="000000"/>
            </w:tcBorders>
            <w:vAlign w:val="center"/>
          </w:tcPr>
          <w:p>
            <w:pPr>
              <w:pStyle w:val="TableContents"/>
              <w:bidi w:val="0"/>
              <w:spacing w:before="0" w:after="283"/>
              <w:jc w:val="center"/>
              <w:rPr>
                <w:sz w:val="20"/>
              </w:rPr>
            </w:pPr>
            <w:r>
              <w:rPr>
                <w:sz w:val="20"/>
              </w:rPr>
              <w:t>AGAINST</w:t>
            </w:r>
          </w:p>
        </w:tc>
        <w:tc>
          <w:tcPr>
            <w:tcW w:w="60" w:type="dxa"/>
            <w:tcBorders/>
            <w:tcMar>
              <w:bottom w:w="0" w:type="dxa"/>
            </w:tcMar>
            <w:vAlign w:val="center"/>
          </w:tcPr>
          <w:p>
            <w:pPr>
              <w:pStyle w:val="TableContents"/>
              <w:bidi w:val="0"/>
              <w:spacing w:before="0" w:after="283"/>
              <w:jc w:val="left"/>
              <w:rPr/>
            </w:pPr>
            <w:r>
              <w:rPr/>
              <w:t> </w:t>
            </w:r>
          </w:p>
        </w:tc>
        <w:tc>
          <w:tcPr>
            <w:tcW w:w="1025" w:type="dxa"/>
            <w:tcBorders>
              <w:bottom w:val="single" w:sz="8" w:space="0" w:color="000000"/>
            </w:tcBorders>
            <w:vAlign w:val="center"/>
          </w:tcPr>
          <w:p>
            <w:pPr>
              <w:pStyle w:val="TableContents"/>
              <w:bidi w:val="0"/>
              <w:spacing w:before="0" w:after="283"/>
              <w:jc w:val="center"/>
              <w:rPr>
                <w:sz w:val="20"/>
              </w:rPr>
            </w:pPr>
            <w:r>
              <w:rPr>
                <w:sz w:val="20"/>
              </w:rPr>
              <w:t>WITHHELD</w:t>
            </w:r>
          </w:p>
        </w:tc>
        <w:tc>
          <w:tcPr>
            <w:tcW w:w="60" w:type="dxa"/>
            <w:tcBorders/>
            <w:tcMar>
              <w:bottom w:w="0" w:type="dxa"/>
            </w:tcMar>
            <w:vAlign w:val="center"/>
          </w:tcPr>
          <w:p>
            <w:pPr>
              <w:pStyle w:val="TableContents"/>
              <w:bidi w:val="0"/>
              <w:spacing w:before="0" w:after="283"/>
              <w:jc w:val="left"/>
              <w:rPr/>
            </w:pPr>
            <w:r>
              <w:rPr/>
              <w:t> </w:t>
            </w:r>
          </w:p>
        </w:tc>
        <w:tc>
          <w:tcPr>
            <w:tcW w:w="1955" w:type="dxa"/>
            <w:tcBorders>
              <w:bottom w:val="single" w:sz="8" w:space="0" w:color="000000"/>
            </w:tcBorders>
            <w:vAlign w:val="center"/>
          </w:tcPr>
          <w:p>
            <w:pPr>
              <w:pStyle w:val="TableContents"/>
              <w:bidi w:val="0"/>
              <w:spacing w:before="0" w:after="283"/>
              <w:jc w:val="center"/>
              <w:rPr>
                <w:sz w:val="20"/>
              </w:rPr>
            </w:pPr>
            <w:r>
              <w:rPr>
                <w:sz w:val="20"/>
              </w:rPr>
              <w:t>BROKER NON-VOTES</w:t>
            </w:r>
          </w:p>
        </w:tc>
      </w:tr>
      <w:tr>
        <w:trPr/>
        <w:tc>
          <w:tcPr>
            <w:tcW w:w="1070" w:type="dxa"/>
            <w:tcBorders/>
            <w:shd w:fill="CCEEFF" w:val="clear"/>
            <w:tcMar>
              <w:bottom w:w="0" w:type="dxa"/>
            </w:tcMar>
            <w:vAlign w:val="center"/>
          </w:tcPr>
          <w:p>
            <w:pPr>
              <w:pStyle w:val="TableContents"/>
              <w:bidi w:val="0"/>
              <w:spacing w:before="0" w:after="283"/>
              <w:jc w:val="center"/>
              <w:rPr>
                <w:sz w:val="20"/>
              </w:rPr>
            </w:pPr>
            <w:r>
              <w:rPr>
                <w:sz w:val="20"/>
              </w:rPr>
              <w:t>603,137,815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center"/>
              <w:rPr>
                <w:sz w:val="20"/>
              </w:rPr>
            </w:pPr>
            <w:r>
              <w:rPr>
                <w:sz w:val="20"/>
              </w:rPr>
              <w:t>195,320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center"/>
              <w:rPr>
                <w:sz w:val="20"/>
              </w:rPr>
            </w:pPr>
            <w:r>
              <w:rPr>
                <w:sz w:val="20"/>
              </w:rPr>
              <w:t>15,408,616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5" w:type="dxa"/>
            <w:tcBorders/>
            <w:shd w:fill="CCEEFF" w:val="clear"/>
            <w:tcMar>
              <w:bottom w:w="0" w:type="dxa"/>
            </w:tcMar>
            <w:vAlign w:val="center"/>
          </w:tcPr>
          <w:p>
            <w:pPr>
              <w:pStyle w:val="TableContents"/>
              <w:bidi w:val="0"/>
              <w:spacing w:before="0" w:after="283"/>
              <w:jc w:val="center"/>
              <w:rPr>
                <w:b/>
                <w:i/>
                <w:sz w:val="20"/>
              </w:rPr>
            </w:pPr>
            <w:r>
              <w:rPr>
                <w:b/>
                <w:i/>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Proposal 11. To authorize the Audit and Risk Committee to determine the auditors’ remuneration for the year ending December 31, 2024.</w:t>
      </w:r>
    </w:p>
    <w:p>
      <w:pPr>
        <w:pStyle w:val="TextBody"/>
        <w:bidi w:val="0"/>
        <w:spacing w:before="0" w:after="0"/>
        <w:ind w:left="0" w:right="0" w:hanging="0"/>
        <w:jc w:val="left"/>
        <w:rPr>
          <w:caps w:val="false"/>
          <w:smallCaps w:val="false"/>
        </w:rPr>
      </w:pPr>
      <w:r>
        <w:rPr>
          <w:caps w:val="false"/>
          <w:smallCaps w:val="false"/>
        </w:rPr>
        <w:t> </w:t>
      </w:r>
    </w:p>
    <w:tbl>
      <w:tblPr>
        <w:tblW w:w="5075" w:type="dxa"/>
        <w:jc w:val="left"/>
        <w:tblInd w:w="0" w:type="dxa"/>
        <w:tblLayout w:type="fixed"/>
        <w:tblCellMar>
          <w:top w:w="0" w:type="dxa"/>
          <w:left w:w="0" w:type="dxa"/>
          <w:bottom w:w="28" w:type="dxa"/>
          <w:right w:w="0" w:type="dxa"/>
        </w:tblCellMar>
      </w:tblPr>
      <w:tblGrid>
        <w:gridCol w:w="1070"/>
        <w:gridCol w:w="60"/>
        <w:gridCol w:w="845"/>
        <w:gridCol w:w="60"/>
        <w:gridCol w:w="1025"/>
        <w:gridCol w:w="60"/>
        <w:gridCol w:w="1955"/>
      </w:tblGrid>
      <w:tr>
        <w:trPr/>
        <w:tc>
          <w:tcPr>
            <w:tcW w:w="1070" w:type="dxa"/>
            <w:tcBorders>
              <w:bottom w:val="single" w:sz="8" w:space="0" w:color="000000"/>
            </w:tcBorders>
            <w:vAlign w:val="center"/>
          </w:tcPr>
          <w:p>
            <w:pPr>
              <w:pStyle w:val="TableContents"/>
              <w:bidi w:val="0"/>
              <w:spacing w:before="0" w:after="283"/>
              <w:jc w:val="center"/>
              <w:rPr>
                <w:sz w:val="20"/>
              </w:rPr>
            </w:pPr>
            <w:r>
              <w:rPr>
                <w:sz w:val="20"/>
              </w:rPr>
              <w:t>FOR</w:t>
            </w:r>
          </w:p>
        </w:tc>
        <w:tc>
          <w:tcPr>
            <w:tcW w:w="60" w:type="dxa"/>
            <w:tcBorders/>
            <w:tcMar>
              <w:bottom w:w="0" w:type="dxa"/>
            </w:tcMar>
            <w:vAlign w:val="center"/>
          </w:tcPr>
          <w:p>
            <w:pPr>
              <w:pStyle w:val="TableContents"/>
              <w:bidi w:val="0"/>
              <w:spacing w:before="0" w:after="283"/>
              <w:jc w:val="left"/>
              <w:rPr/>
            </w:pPr>
            <w:r>
              <w:rPr/>
              <w:t> </w:t>
            </w:r>
          </w:p>
        </w:tc>
        <w:tc>
          <w:tcPr>
            <w:tcW w:w="845" w:type="dxa"/>
            <w:tcBorders>
              <w:bottom w:val="single" w:sz="8" w:space="0" w:color="000000"/>
            </w:tcBorders>
            <w:vAlign w:val="center"/>
          </w:tcPr>
          <w:p>
            <w:pPr>
              <w:pStyle w:val="TableContents"/>
              <w:bidi w:val="0"/>
              <w:spacing w:before="0" w:after="283"/>
              <w:jc w:val="center"/>
              <w:rPr>
                <w:sz w:val="20"/>
              </w:rPr>
            </w:pPr>
            <w:r>
              <w:rPr>
                <w:sz w:val="20"/>
              </w:rPr>
              <w:t>AGAINST</w:t>
            </w:r>
          </w:p>
        </w:tc>
        <w:tc>
          <w:tcPr>
            <w:tcW w:w="60" w:type="dxa"/>
            <w:tcBorders/>
            <w:tcMar>
              <w:bottom w:w="0" w:type="dxa"/>
            </w:tcMar>
            <w:vAlign w:val="center"/>
          </w:tcPr>
          <w:p>
            <w:pPr>
              <w:pStyle w:val="TableContents"/>
              <w:bidi w:val="0"/>
              <w:spacing w:before="0" w:after="283"/>
              <w:jc w:val="left"/>
              <w:rPr/>
            </w:pPr>
            <w:r>
              <w:rPr/>
              <w:t> </w:t>
            </w:r>
          </w:p>
        </w:tc>
        <w:tc>
          <w:tcPr>
            <w:tcW w:w="1025" w:type="dxa"/>
            <w:tcBorders>
              <w:bottom w:val="single" w:sz="8" w:space="0" w:color="000000"/>
            </w:tcBorders>
            <w:vAlign w:val="center"/>
          </w:tcPr>
          <w:p>
            <w:pPr>
              <w:pStyle w:val="TableContents"/>
              <w:bidi w:val="0"/>
              <w:spacing w:before="0" w:after="283"/>
              <w:jc w:val="center"/>
              <w:rPr>
                <w:sz w:val="20"/>
              </w:rPr>
            </w:pPr>
            <w:r>
              <w:rPr>
                <w:sz w:val="20"/>
              </w:rPr>
              <w:t>WITHHELD</w:t>
            </w:r>
          </w:p>
        </w:tc>
        <w:tc>
          <w:tcPr>
            <w:tcW w:w="60" w:type="dxa"/>
            <w:tcBorders/>
            <w:tcMar>
              <w:bottom w:w="0" w:type="dxa"/>
            </w:tcMar>
            <w:vAlign w:val="center"/>
          </w:tcPr>
          <w:p>
            <w:pPr>
              <w:pStyle w:val="TableContents"/>
              <w:bidi w:val="0"/>
              <w:spacing w:before="0" w:after="283"/>
              <w:jc w:val="left"/>
              <w:rPr/>
            </w:pPr>
            <w:r>
              <w:rPr/>
              <w:t> </w:t>
            </w:r>
          </w:p>
        </w:tc>
        <w:tc>
          <w:tcPr>
            <w:tcW w:w="1955" w:type="dxa"/>
            <w:tcBorders>
              <w:bottom w:val="single" w:sz="8" w:space="0" w:color="000000"/>
            </w:tcBorders>
            <w:vAlign w:val="center"/>
          </w:tcPr>
          <w:p>
            <w:pPr>
              <w:pStyle w:val="TableContents"/>
              <w:bidi w:val="0"/>
              <w:spacing w:before="0" w:after="283"/>
              <w:jc w:val="center"/>
              <w:rPr>
                <w:sz w:val="20"/>
              </w:rPr>
            </w:pPr>
            <w:r>
              <w:rPr>
                <w:sz w:val="20"/>
              </w:rPr>
              <w:t>BROKER NON-VOTES</w:t>
            </w:r>
          </w:p>
        </w:tc>
      </w:tr>
      <w:tr>
        <w:trPr/>
        <w:tc>
          <w:tcPr>
            <w:tcW w:w="1070" w:type="dxa"/>
            <w:tcBorders/>
            <w:shd w:fill="CCEEFF" w:val="clear"/>
            <w:tcMar>
              <w:bottom w:w="0" w:type="dxa"/>
            </w:tcMar>
            <w:vAlign w:val="center"/>
          </w:tcPr>
          <w:p>
            <w:pPr>
              <w:pStyle w:val="TableContents"/>
              <w:bidi w:val="0"/>
              <w:spacing w:before="0" w:after="283"/>
              <w:jc w:val="center"/>
              <w:rPr>
                <w:sz w:val="20"/>
              </w:rPr>
            </w:pPr>
            <w:r>
              <w:rPr>
                <w:sz w:val="20"/>
              </w:rPr>
              <w:t>618,024,719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center"/>
              <w:rPr>
                <w:sz w:val="20"/>
              </w:rPr>
            </w:pPr>
            <w:r>
              <w:rPr>
                <w:sz w:val="20"/>
              </w:rPr>
              <w:t>65,608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center"/>
              <w:rPr>
                <w:sz w:val="20"/>
              </w:rPr>
            </w:pPr>
            <w:r>
              <w:rPr>
                <w:sz w:val="20"/>
              </w:rPr>
              <w:t>651,424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5" w:type="dxa"/>
            <w:tcBorders/>
            <w:shd w:fill="CCEEFF" w:val="clear"/>
            <w:tcMar>
              <w:bottom w:w="0" w:type="dxa"/>
            </w:tcMar>
            <w:vAlign w:val="center"/>
          </w:tcPr>
          <w:p>
            <w:pPr>
              <w:pStyle w:val="TableContents"/>
              <w:bidi w:val="0"/>
              <w:spacing w:before="0" w:after="283"/>
              <w:jc w:val="center"/>
              <w:rPr>
                <w:b/>
                <w:i/>
                <w:sz w:val="20"/>
              </w:rPr>
            </w:pPr>
            <w:r>
              <w:rPr>
                <w:b/>
                <w:i/>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Proposal 12. To approve, on an advisory (non-binding) basis, the compensation of the Company’s named executive officers.</w:t>
      </w:r>
    </w:p>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28" w:type="dxa"/>
          <w:right w:w="0" w:type="dxa"/>
        </w:tblCellMar>
      </w:tblPr>
      <w:tblGrid>
        <w:gridCol w:w="1070"/>
        <w:gridCol w:w="60"/>
        <w:gridCol w:w="950"/>
        <w:gridCol w:w="60"/>
        <w:gridCol w:w="1025"/>
        <w:gridCol w:w="60"/>
        <w:gridCol w:w="1955"/>
      </w:tblGrid>
      <w:tr>
        <w:trPr/>
        <w:tc>
          <w:tcPr>
            <w:tcW w:w="1070" w:type="dxa"/>
            <w:tcBorders>
              <w:bottom w:val="single" w:sz="8" w:space="0" w:color="000000"/>
            </w:tcBorders>
            <w:vAlign w:val="center"/>
          </w:tcPr>
          <w:p>
            <w:pPr>
              <w:pStyle w:val="TableContents"/>
              <w:bidi w:val="0"/>
              <w:spacing w:before="0" w:after="283"/>
              <w:jc w:val="center"/>
              <w:rPr>
                <w:sz w:val="20"/>
              </w:rPr>
            </w:pPr>
            <w:r>
              <w:rPr>
                <w:sz w:val="20"/>
              </w:rPr>
              <w:t>FOR</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8" w:space="0" w:color="000000"/>
            </w:tcBorders>
            <w:vAlign w:val="center"/>
          </w:tcPr>
          <w:p>
            <w:pPr>
              <w:pStyle w:val="TableContents"/>
              <w:bidi w:val="0"/>
              <w:spacing w:before="0" w:after="283"/>
              <w:jc w:val="center"/>
              <w:rPr>
                <w:sz w:val="20"/>
              </w:rPr>
            </w:pPr>
            <w:r>
              <w:rPr>
                <w:sz w:val="20"/>
              </w:rPr>
              <w:t>AGAINST</w:t>
            </w:r>
          </w:p>
        </w:tc>
        <w:tc>
          <w:tcPr>
            <w:tcW w:w="60" w:type="dxa"/>
            <w:tcBorders/>
            <w:tcMar>
              <w:bottom w:w="0" w:type="dxa"/>
            </w:tcMar>
            <w:vAlign w:val="center"/>
          </w:tcPr>
          <w:p>
            <w:pPr>
              <w:pStyle w:val="TableContents"/>
              <w:bidi w:val="0"/>
              <w:spacing w:before="0" w:after="283"/>
              <w:jc w:val="left"/>
              <w:rPr/>
            </w:pPr>
            <w:r>
              <w:rPr/>
              <w:t> </w:t>
            </w:r>
          </w:p>
        </w:tc>
        <w:tc>
          <w:tcPr>
            <w:tcW w:w="1025" w:type="dxa"/>
            <w:tcBorders>
              <w:bottom w:val="single" w:sz="8" w:space="0" w:color="000000"/>
            </w:tcBorders>
            <w:vAlign w:val="center"/>
          </w:tcPr>
          <w:p>
            <w:pPr>
              <w:pStyle w:val="TableContents"/>
              <w:bidi w:val="0"/>
              <w:spacing w:before="0" w:after="283"/>
              <w:jc w:val="center"/>
              <w:rPr>
                <w:sz w:val="20"/>
              </w:rPr>
            </w:pPr>
            <w:r>
              <w:rPr>
                <w:sz w:val="20"/>
              </w:rPr>
              <w:t>WITHHELD</w:t>
            </w:r>
          </w:p>
        </w:tc>
        <w:tc>
          <w:tcPr>
            <w:tcW w:w="60" w:type="dxa"/>
            <w:tcBorders/>
            <w:tcMar>
              <w:bottom w:w="0" w:type="dxa"/>
            </w:tcMar>
            <w:vAlign w:val="center"/>
          </w:tcPr>
          <w:p>
            <w:pPr>
              <w:pStyle w:val="TableContents"/>
              <w:bidi w:val="0"/>
              <w:spacing w:before="0" w:after="283"/>
              <w:jc w:val="left"/>
              <w:rPr/>
            </w:pPr>
            <w:r>
              <w:rPr/>
              <w:t> </w:t>
            </w:r>
          </w:p>
        </w:tc>
        <w:tc>
          <w:tcPr>
            <w:tcW w:w="1955" w:type="dxa"/>
            <w:tcBorders>
              <w:bottom w:val="single" w:sz="8" w:space="0" w:color="000000"/>
            </w:tcBorders>
            <w:vAlign w:val="center"/>
          </w:tcPr>
          <w:p>
            <w:pPr>
              <w:pStyle w:val="TableContents"/>
              <w:bidi w:val="0"/>
              <w:spacing w:before="0" w:after="283"/>
              <w:jc w:val="center"/>
              <w:rPr>
                <w:sz w:val="20"/>
              </w:rPr>
            </w:pPr>
            <w:r>
              <w:rPr>
                <w:sz w:val="20"/>
              </w:rPr>
              <w:t>BROKER NON-VOTES</w:t>
            </w:r>
          </w:p>
        </w:tc>
      </w:tr>
      <w:tr>
        <w:trPr/>
        <w:tc>
          <w:tcPr>
            <w:tcW w:w="1070" w:type="dxa"/>
            <w:tcBorders/>
            <w:shd w:fill="CCEEFF" w:val="clear"/>
            <w:tcMar>
              <w:bottom w:w="0" w:type="dxa"/>
            </w:tcMar>
            <w:vAlign w:val="center"/>
          </w:tcPr>
          <w:p>
            <w:pPr>
              <w:pStyle w:val="TableContents"/>
              <w:bidi w:val="0"/>
              <w:spacing w:before="0" w:after="283"/>
              <w:jc w:val="center"/>
              <w:rPr>
                <w:sz w:val="20"/>
              </w:rPr>
            </w:pPr>
            <w:r>
              <w:rPr>
                <w:sz w:val="20"/>
              </w:rPr>
              <w:t>594,069,521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center"/>
              <w:rPr>
                <w:sz w:val="20"/>
              </w:rPr>
            </w:pPr>
            <w:r>
              <w:rPr>
                <w:sz w:val="20"/>
              </w:rPr>
              <w:t>23,464,550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center"/>
              <w:rPr>
                <w:sz w:val="20"/>
              </w:rPr>
            </w:pPr>
            <w:r>
              <w:rPr>
                <w:sz w:val="20"/>
              </w:rPr>
              <w:t>1,207,680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5" w:type="dxa"/>
            <w:tcBorders/>
            <w:shd w:fill="CCEEFF" w:val="clear"/>
            <w:tcMar>
              <w:bottom w:w="0" w:type="dxa"/>
            </w:tcMar>
            <w:vAlign w:val="center"/>
          </w:tcPr>
          <w:p>
            <w:pPr>
              <w:pStyle w:val="TableContents"/>
              <w:bidi w:val="0"/>
              <w:spacing w:before="0" w:after="283"/>
              <w:jc w:val="center"/>
              <w:rPr>
                <w:b/>
                <w:i/>
                <w:sz w:val="20"/>
              </w:rPr>
            </w:pPr>
            <w:r>
              <w:rPr>
                <w:b/>
                <w:i/>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Proposal 13. To authorize the Directors generally and unconditionally for the purposes of Section 551 of the U.K. Companies Act 2006 (the “Companies Act”) to exercise all the powers of the Company to allot shares in the Company or grant rights to subscribe for or to convert any security into shares in the Company (“Rights”) up to an aggregate nominal amount of £8,345,745 (being up to a maximum of 166,914,908 shares representing 25% of the Company’s existing ordinary share capital as at the close of business on March 13, 2024 ) to such persons at such times and upon such conditions as the Directors may determine (subject to the Company’s Articles of Association).</w:t>
      </w:r>
    </w:p>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28" w:type="dxa"/>
          <w:right w:w="0" w:type="dxa"/>
        </w:tblCellMar>
      </w:tblPr>
      <w:tblGrid>
        <w:gridCol w:w="1070"/>
        <w:gridCol w:w="60"/>
        <w:gridCol w:w="950"/>
        <w:gridCol w:w="60"/>
        <w:gridCol w:w="1025"/>
        <w:gridCol w:w="60"/>
        <w:gridCol w:w="1955"/>
      </w:tblGrid>
      <w:tr>
        <w:trPr/>
        <w:tc>
          <w:tcPr>
            <w:tcW w:w="1070" w:type="dxa"/>
            <w:tcBorders>
              <w:bottom w:val="single" w:sz="8" w:space="0" w:color="000000"/>
            </w:tcBorders>
            <w:vAlign w:val="center"/>
          </w:tcPr>
          <w:p>
            <w:pPr>
              <w:pStyle w:val="TableContents"/>
              <w:bidi w:val="0"/>
              <w:spacing w:before="0" w:after="283"/>
              <w:jc w:val="center"/>
              <w:rPr>
                <w:sz w:val="20"/>
              </w:rPr>
            </w:pPr>
            <w:r>
              <w:rPr>
                <w:sz w:val="20"/>
              </w:rPr>
              <w:t>FOR</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8" w:space="0" w:color="000000"/>
            </w:tcBorders>
            <w:vAlign w:val="center"/>
          </w:tcPr>
          <w:p>
            <w:pPr>
              <w:pStyle w:val="TableContents"/>
              <w:bidi w:val="0"/>
              <w:spacing w:before="0" w:after="283"/>
              <w:jc w:val="center"/>
              <w:rPr>
                <w:sz w:val="20"/>
              </w:rPr>
            </w:pPr>
            <w:r>
              <w:rPr>
                <w:sz w:val="20"/>
              </w:rPr>
              <w:t>AGAINST</w:t>
            </w:r>
          </w:p>
        </w:tc>
        <w:tc>
          <w:tcPr>
            <w:tcW w:w="60" w:type="dxa"/>
            <w:tcBorders/>
            <w:tcMar>
              <w:bottom w:w="0" w:type="dxa"/>
            </w:tcMar>
            <w:vAlign w:val="center"/>
          </w:tcPr>
          <w:p>
            <w:pPr>
              <w:pStyle w:val="TableContents"/>
              <w:bidi w:val="0"/>
              <w:spacing w:before="0" w:after="283"/>
              <w:jc w:val="left"/>
              <w:rPr/>
            </w:pPr>
            <w:r>
              <w:rPr/>
              <w:t> </w:t>
            </w:r>
          </w:p>
        </w:tc>
        <w:tc>
          <w:tcPr>
            <w:tcW w:w="1025" w:type="dxa"/>
            <w:tcBorders>
              <w:bottom w:val="single" w:sz="8" w:space="0" w:color="000000"/>
            </w:tcBorders>
            <w:vAlign w:val="center"/>
          </w:tcPr>
          <w:p>
            <w:pPr>
              <w:pStyle w:val="TableContents"/>
              <w:bidi w:val="0"/>
              <w:spacing w:before="0" w:after="283"/>
              <w:jc w:val="center"/>
              <w:rPr>
                <w:sz w:val="20"/>
              </w:rPr>
            </w:pPr>
            <w:r>
              <w:rPr>
                <w:sz w:val="20"/>
              </w:rPr>
              <w:t>WITHHELD</w:t>
            </w:r>
          </w:p>
        </w:tc>
        <w:tc>
          <w:tcPr>
            <w:tcW w:w="60" w:type="dxa"/>
            <w:tcBorders/>
            <w:tcMar>
              <w:bottom w:w="0" w:type="dxa"/>
            </w:tcMar>
            <w:vAlign w:val="center"/>
          </w:tcPr>
          <w:p>
            <w:pPr>
              <w:pStyle w:val="TableContents"/>
              <w:bidi w:val="0"/>
              <w:spacing w:before="0" w:after="283"/>
              <w:jc w:val="left"/>
              <w:rPr/>
            </w:pPr>
            <w:r>
              <w:rPr/>
              <w:t> </w:t>
            </w:r>
          </w:p>
        </w:tc>
        <w:tc>
          <w:tcPr>
            <w:tcW w:w="1955" w:type="dxa"/>
            <w:tcBorders>
              <w:bottom w:val="single" w:sz="8" w:space="0" w:color="000000"/>
            </w:tcBorders>
            <w:vAlign w:val="center"/>
          </w:tcPr>
          <w:p>
            <w:pPr>
              <w:pStyle w:val="TableContents"/>
              <w:bidi w:val="0"/>
              <w:spacing w:before="0" w:after="283"/>
              <w:jc w:val="center"/>
              <w:rPr>
                <w:sz w:val="20"/>
              </w:rPr>
            </w:pPr>
            <w:r>
              <w:rPr>
                <w:sz w:val="20"/>
              </w:rPr>
              <w:t>BROKER NON-VOTES</w:t>
            </w:r>
          </w:p>
        </w:tc>
      </w:tr>
      <w:tr>
        <w:trPr/>
        <w:tc>
          <w:tcPr>
            <w:tcW w:w="1070" w:type="dxa"/>
            <w:tcBorders/>
            <w:shd w:fill="CCEEFF" w:val="clear"/>
            <w:tcMar>
              <w:bottom w:w="0" w:type="dxa"/>
            </w:tcMar>
            <w:vAlign w:val="center"/>
          </w:tcPr>
          <w:p>
            <w:pPr>
              <w:pStyle w:val="TableContents"/>
              <w:bidi w:val="0"/>
              <w:spacing w:before="0" w:after="283"/>
              <w:jc w:val="center"/>
              <w:rPr>
                <w:sz w:val="20"/>
              </w:rPr>
            </w:pPr>
            <w:r>
              <w:rPr>
                <w:sz w:val="20"/>
              </w:rPr>
              <w:t>588,880,425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center"/>
              <w:rPr>
                <w:sz w:val="20"/>
              </w:rPr>
            </w:pPr>
            <w:r>
              <w:rPr>
                <w:sz w:val="20"/>
              </w:rPr>
              <w:t>28,995,238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center"/>
              <w:rPr>
                <w:sz w:val="20"/>
              </w:rPr>
            </w:pPr>
            <w:r>
              <w:rPr>
                <w:sz w:val="20"/>
              </w:rPr>
              <w:t>866,088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5" w:type="dxa"/>
            <w:tcBorders/>
            <w:shd w:fill="CCEEFF" w:val="clear"/>
            <w:tcMar>
              <w:bottom w:w="0" w:type="dxa"/>
            </w:tcMar>
            <w:vAlign w:val="center"/>
          </w:tcPr>
          <w:p>
            <w:pPr>
              <w:pStyle w:val="TableContents"/>
              <w:bidi w:val="0"/>
              <w:spacing w:before="0" w:after="283"/>
              <w:jc w:val="center"/>
              <w:rPr>
                <w:b/>
                <w:i/>
                <w:sz w:val="20"/>
              </w:rPr>
            </w:pPr>
            <w:r>
              <w:rPr>
                <w:b/>
                <w:i/>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Proposal 14. Subject to and conditional upon the passing of resolution 13 above, to authorize the Directors pursuant to Section 570 and 573 of the Companies Act to allot equity securities (as defined in Section 560 of the Companies Act) for cash pursuant to the authority conferred by resolution 13 above and/or to sell ordinary shares held by the Company as treasury shares for cash, as if Section 561(1) of the Companies Act did not apply to any such allotment or sale, provided that this power shall be limited to the allotment of equity securities or sale of treasury shares up to an aggregate nominal amount of £8,345,745 (being up to a maximum of 166,914,908 shares representing 25% of the Company’s existing ordinary share capital as at the close of business on March 13, 2024 ), shall replace any existing disapplication of Section 561 of the Companies Act to the extent not utilized at the date this resolution is passed and shall expire on June 1, 2025 unless previously renewed, varied or revoked by the Company in general meeting, provided that the Company may, before such expiry, make an offer or agreement which would or might require shares in the Company or rights to be allotted or granted or treasury shares to be sold after this authority expires and that the Directors may allot shares in the Company or grant rights or sell treasury shares pursuant to such an offer or agreement as if the authority conferred by this resolution had not expired..</w:t>
      </w:r>
    </w:p>
    <w:p>
      <w:pPr>
        <w:pStyle w:val="TextBody"/>
        <w:bidi w:val="0"/>
        <w:spacing w:before="0" w:after="0"/>
        <w:ind w:left="0" w:right="0" w:hanging="0"/>
        <w:jc w:val="left"/>
        <w:rPr>
          <w:caps w:val="false"/>
          <w:smallCaps w:val="false"/>
        </w:rPr>
      </w:pPr>
      <w:r>
        <w:rPr>
          <w:caps w:val="false"/>
          <w:smallCaps w:val="false"/>
        </w:rPr>
        <w:t> </w:t>
      </w:r>
    </w:p>
    <w:tbl>
      <w:tblPr>
        <w:tblW w:w="6515" w:type="dxa"/>
        <w:jc w:val="left"/>
        <w:tblInd w:w="0" w:type="dxa"/>
        <w:tblLayout w:type="fixed"/>
        <w:tblCellMar>
          <w:top w:w="0" w:type="dxa"/>
          <w:left w:w="0" w:type="dxa"/>
          <w:bottom w:w="28" w:type="dxa"/>
          <w:right w:w="0" w:type="dxa"/>
        </w:tblCellMar>
      </w:tblPr>
      <w:tblGrid>
        <w:gridCol w:w="1235"/>
        <w:gridCol w:w="60"/>
        <w:gridCol w:w="1160"/>
        <w:gridCol w:w="60"/>
        <w:gridCol w:w="1370"/>
        <w:gridCol w:w="60"/>
        <w:gridCol w:w="2570"/>
      </w:tblGrid>
      <w:tr>
        <w:trPr/>
        <w:tc>
          <w:tcPr>
            <w:tcW w:w="1235" w:type="dxa"/>
            <w:tcBorders>
              <w:bottom w:val="single" w:sz="8" w:space="0" w:color="000000"/>
            </w:tcBorders>
            <w:vAlign w:val="center"/>
          </w:tcPr>
          <w:p>
            <w:pPr>
              <w:pStyle w:val="TableContents"/>
              <w:bidi w:val="0"/>
              <w:spacing w:before="0" w:after="283"/>
              <w:jc w:val="center"/>
              <w:rPr/>
            </w:pPr>
            <w:r>
              <w:rPr/>
              <w:t xml:space="preserve">FOR </w:t>
            </w:r>
          </w:p>
        </w:tc>
        <w:tc>
          <w:tcPr>
            <w:tcW w:w="60" w:type="dxa"/>
            <w:tcBorders/>
            <w:tcMar>
              <w:bottom w:w="0" w:type="dxa"/>
            </w:tcMar>
            <w:vAlign w:val="center"/>
          </w:tcPr>
          <w:p>
            <w:pPr>
              <w:pStyle w:val="TableContents"/>
              <w:bidi w:val="0"/>
              <w:spacing w:before="0" w:after="283"/>
              <w:jc w:val="left"/>
              <w:rPr/>
            </w:pPr>
            <w:r>
              <w:rPr/>
              <w:t> </w:t>
            </w:r>
          </w:p>
        </w:tc>
        <w:tc>
          <w:tcPr>
            <w:tcW w:w="1160" w:type="dxa"/>
            <w:tcBorders>
              <w:bottom w:val="single" w:sz="8" w:space="0" w:color="000000"/>
            </w:tcBorders>
            <w:vAlign w:val="center"/>
          </w:tcPr>
          <w:p>
            <w:pPr>
              <w:pStyle w:val="TableContents"/>
              <w:bidi w:val="0"/>
              <w:spacing w:before="0" w:after="283"/>
              <w:jc w:val="center"/>
              <w:rPr/>
            </w:pPr>
            <w:r>
              <w:rPr/>
              <w:t xml:space="preserve">AGAINST </w:t>
            </w:r>
          </w:p>
        </w:tc>
        <w:tc>
          <w:tcPr>
            <w:tcW w:w="60" w:type="dxa"/>
            <w:tcBorders/>
            <w:tcMar>
              <w:bottom w:w="0" w:type="dxa"/>
            </w:tcMar>
            <w:vAlign w:val="center"/>
          </w:tcPr>
          <w:p>
            <w:pPr>
              <w:pStyle w:val="TableContents"/>
              <w:bidi w:val="0"/>
              <w:spacing w:before="0" w:after="283"/>
              <w:jc w:val="left"/>
              <w:rPr/>
            </w:pPr>
            <w:r>
              <w:rPr/>
              <w:t> </w:t>
            </w:r>
          </w:p>
        </w:tc>
        <w:tc>
          <w:tcPr>
            <w:tcW w:w="1370" w:type="dxa"/>
            <w:tcBorders>
              <w:bottom w:val="single" w:sz="8" w:space="0" w:color="000000"/>
            </w:tcBorders>
            <w:vAlign w:val="center"/>
          </w:tcPr>
          <w:p>
            <w:pPr>
              <w:pStyle w:val="TableContents"/>
              <w:bidi w:val="0"/>
              <w:spacing w:before="0" w:after="283"/>
              <w:jc w:val="center"/>
              <w:rPr/>
            </w:pPr>
            <w:r>
              <w:rPr/>
              <w:t xml:space="preserve">WITHHELD </w:t>
            </w:r>
          </w:p>
        </w:tc>
        <w:tc>
          <w:tcPr>
            <w:tcW w:w="60" w:type="dxa"/>
            <w:tcBorders/>
            <w:tcMar>
              <w:bottom w:w="0" w:type="dxa"/>
            </w:tcMar>
            <w:vAlign w:val="center"/>
          </w:tcPr>
          <w:p>
            <w:pPr>
              <w:pStyle w:val="TableContents"/>
              <w:bidi w:val="0"/>
              <w:spacing w:before="0" w:after="283"/>
              <w:jc w:val="left"/>
              <w:rPr/>
            </w:pPr>
            <w:r>
              <w:rPr/>
              <w:t> </w:t>
            </w:r>
          </w:p>
        </w:tc>
        <w:tc>
          <w:tcPr>
            <w:tcW w:w="2570" w:type="dxa"/>
            <w:tcBorders>
              <w:bottom w:val="single" w:sz="8" w:space="0" w:color="000000"/>
            </w:tcBorders>
            <w:vAlign w:val="center"/>
          </w:tcPr>
          <w:p>
            <w:pPr>
              <w:pStyle w:val="TableContents"/>
              <w:bidi w:val="0"/>
              <w:spacing w:before="0" w:after="283"/>
              <w:jc w:val="center"/>
              <w:rPr/>
            </w:pPr>
            <w:r>
              <w:rPr/>
              <w:t xml:space="preserve">BROKER NON-VOTES </w:t>
            </w:r>
          </w:p>
        </w:tc>
      </w:tr>
      <w:tr>
        <w:trPr/>
        <w:tc>
          <w:tcPr>
            <w:tcW w:w="1235" w:type="dxa"/>
            <w:tcBorders/>
            <w:shd w:fill="CCEEFF" w:val="clear"/>
            <w:tcMar>
              <w:bottom w:w="0" w:type="dxa"/>
            </w:tcMar>
            <w:vAlign w:val="center"/>
          </w:tcPr>
          <w:p>
            <w:pPr>
              <w:pStyle w:val="TableContents"/>
              <w:bidi w:val="0"/>
              <w:spacing w:before="0" w:after="283"/>
              <w:jc w:val="center"/>
              <w:rPr/>
            </w:pPr>
            <w:r>
              <w:rPr/>
              <w:t>616,327,627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center"/>
              <w:rPr/>
            </w:pPr>
            <w:r>
              <w:rPr/>
              <w:t>1,576,996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283"/>
              <w:jc w:val="center"/>
              <w:rPr/>
            </w:pPr>
            <w:r>
              <w:rPr/>
              <w:t>837,128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0" w:type="dxa"/>
            <w:tcBorders/>
            <w:shd w:fill="CCEEFF" w:val="clear"/>
            <w:tcMar>
              <w:bottom w:w="0" w:type="dxa"/>
            </w:tcMar>
            <w:vAlign w:val="center"/>
          </w:tcPr>
          <w:p>
            <w:pPr>
              <w:pStyle w:val="TableContents"/>
              <w:bidi w:val="0"/>
              <w:spacing w:before="0" w:after="283"/>
              <w:jc w:val="center"/>
              <w:rPr>
                <w:b/>
                <w:i/>
              </w:rPr>
            </w:pPr>
            <w:r>
              <w:rPr>
                <w:b/>
                <w:i/>
              </w:rPr>
              <w:t xml:space="preserv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votes, the shareholders re-elected each of Lisa Deschamps, Martin Edwards, M.D., Sven Anders Ullman, M.D., Ph.D., Christina Ackermann, and Michael Austwick as directors, and approved Proposals 6, 7, 8, 9, 10, 11, 12, 13 and 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345" w:type="dxa"/>
        <w:jc w:val="left"/>
        <w:tblInd w:w="0" w:type="dxa"/>
        <w:tblLayout w:type="fixed"/>
        <w:tblCellMar>
          <w:top w:w="0" w:type="dxa"/>
          <w:left w:w="0" w:type="dxa"/>
          <w:bottom w:w="0" w:type="dxa"/>
          <w:right w:w="0" w:type="dxa"/>
        </w:tblCellMar>
      </w:tblPr>
      <w:tblGrid>
        <w:gridCol w:w="2000"/>
        <w:gridCol w:w="710"/>
        <w:gridCol w:w="3635"/>
      </w:tblGrid>
      <w:tr>
        <w:trPr/>
        <w:tc>
          <w:tcPr>
            <w:tcW w:w="2000"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b/>
              </w:rPr>
            </w:pPr>
            <w:r>
              <w:rPr>
                <w:b/>
              </w:rPr>
              <w:t>VERONA PHARMA PLC</w:t>
            </w:r>
          </w:p>
        </w:tc>
      </w:tr>
      <w:tr>
        <w:trPr/>
        <w:tc>
          <w:tcPr>
            <w:tcW w:w="200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Date: April 30, 2024</w:t>
            </w:r>
          </w:p>
        </w:tc>
        <w:tc>
          <w:tcPr>
            <w:tcW w:w="710" w:type="dxa"/>
            <w:tcBorders/>
            <w:vAlign w:val="center"/>
          </w:tcPr>
          <w:p>
            <w:pPr>
              <w:pStyle w:val="TableContents"/>
              <w:bidi w:val="0"/>
              <w:spacing w:before="0" w:after="283"/>
              <w:jc w:val="left"/>
              <w:rPr/>
            </w:pPr>
            <w:r>
              <w:rPr/>
              <w:t>By:</w:t>
            </w:r>
          </w:p>
        </w:tc>
        <w:tc>
          <w:tcPr>
            <w:tcW w:w="3635" w:type="dxa"/>
            <w:tcBorders>
              <w:bottom w:val="single" w:sz="8" w:space="0" w:color="000000"/>
            </w:tcBorders>
            <w:tcMar>
              <w:bottom w:w="28" w:type="dxa"/>
            </w:tcMar>
            <w:vAlign w:val="center"/>
          </w:tcPr>
          <w:p>
            <w:pPr>
              <w:pStyle w:val="TableContents"/>
              <w:bidi w:val="0"/>
              <w:spacing w:before="0" w:after="283"/>
              <w:jc w:val="left"/>
              <w:rPr/>
            </w:pPr>
            <w:r>
              <w:rPr/>
              <w:t>/s/ David Zaccardelli, Pharm. D.</w:t>
            </w:r>
          </w:p>
        </w:tc>
      </w:tr>
      <w:tr>
        <w:trPr/>
        <w:tc>
          <w:tcPr>
            <w:tcW w:w="200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Name: </w:t>
            </w:r>
          </w:p>
        </w:tc>
        <w:tc>
          <w:tcPr>
            <w:tcW w:w="3635" w:type="dxa"/>
            <w:tcBorders/>
            <w:vAlign w:val="center"/>
          </w:tcPr>
          <w:p>
            <w:pPr>
              <w:pStyle w:val="TableContents"/>
              <w:bidi w:val="0"/>
              <w:spacing w:before="0" w:after="283"/>
              <w:jc w:val="left"/>
              <w:rPr/>
            </w:pPr>
            <w:r>
              <w:rPr/>
              <w:t>David Zaccardelli, Pharm. D.</w:t>
            </w:r>
          </w:p>
        </w:tc>
      </w:tr>
      <w:tr>
        <w:trPr/>
        <w:tc>
          <w:tcPr>
            <w:tcW w:w="200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1459</Words>
  <Characters>7639</Characters>
  <CharactersWithSpaces>9091</CharactersWithSpaces>
  <Paragraphs>356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