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6"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right"/>
        <w:ind w:right="3599"/>
        <w:spacing w:after="0"/>
        <w:rPr>
          <w:sz w:val="20"/>
          <w:szCs w:val="20"/>
          <w:color w:val="auto"/>
        </w:rPr>
      </w:pPr>
      <w:r>
        <w:rPr>
          <w:rFonts w:ascii="Times New Roman" w:cs="Times New Roman" w:eastAsia="Times New Roman" w:hAnsi="Times New Roman"/>
          <w:sz w:val="18"/>
          <w:szCs w:val="18"/>
          <w:b w:val="1"/>
          <w:bCs w:val="1"/>
          <w:color w:val="auto"/>
        </w:rPr>
        <w:t>Washington, DC 20549</w:t>
      </w:r>
      <w:r>
        <w:rPr>
          <w:rFonts w:ascii="Times New Roman" w:cs="Times New Roman" w:eastAsia="Times New Roman" w:hAnsi="Times New Roman"/>
          <w:sz w:val="25"/>
          <w:szCs w:val="25"/>
          <w:color w:val="auto"/>
        </w:rPr>
        <w:t>​</w:t>
      </w:r>
    </w:p>
    <w:p>
      <w:pPr>
        <w:spacing w:after="0" w:line="178" w:lineRule="exact"/>
        <w:rPr>
          <w:sz w:val="24"/>
          <w:szCs w:val="24"/>
          <w:color w:val="auto"/>
        </w:rPr>
      </w:pPr>
    </w:p>
    <w:p>
      <w:pPr>
        <w:jc w:val="right"/>
        <w:ind w:right="3599"/>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187325</wp:posOffset>
            </wp:positionV>
            <wp:extent cx="1234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117"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3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95"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160020</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ind w:left="500"/>
        <w:spacing w:after="0" w:line="207" w:lineRule="exact"/>
        <w:tabs>
          <w:tab w:leader="none" w:pos="234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144" w:lineRule="exact"/>
        <w:rPr>
          <w:sz w:val="24"/>
          <w:szCs w:val="24"/>
          <w:color w:val="auto"/>
        </w:rPr>
      </w:pPr>
    </w:p>
    <w:p>
      <w:pPr>
        <w:ind w:left="500"/>
        <w:spacing w:after="0" w:line="207" w:lineRule="exact"/>
        <w:tabs>
          <w:tab w:leader="none" w:pos="3740" w:val="left"/>
        </w:tabs>
        <w:rPr>
          <w:sz w:val="20"/>
          <w:szCs w:val="20"/>
          <w:color w:val="auto"/>
        </w:rPr>
      </w:pP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98"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58" w:lineRule="exact"/>
        <w:rPr>
          <w:sz w:val="24"/>
          <w:szCs w:val="24"/>
          <w:color w:val="auto"/>
        </w:rPr>
      </w:pPr>
    </w:p>
    <w:p>
      <w:pPr>
        <w:ind w:left="860" w:hanging="368"/>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44" w:lineRule="exact"/>
        <w:rPr>
          <w:rFonts w:ascii="MS PGothic" w:cs="MS PGothic" w:eastAsia="MS PGothic" w:hAnsi="MS PGothic"/>
          <w:sz w:val="18"/>
          <w:szCs w:val="18"/>
          <w:color w:val="auto"/>
        </w:rPr>
      </w:pPr>
    </w:p>
    <w:p>
      <w:pPr>
        <w:ind w:left="860" w:hanging="368"/>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58" w:lineRule="exact"/>
        <w:rPr>
          <w:sz w:val="24"/>
          <w:szCs w:val="24"/>
          <w:color w:val="auto"/>
        </w:rPr>
      </w:pPr>
    </w:p>
    <w:p>
      <w:pPr>
        <w:ind w:left="860" w:hanging="368"/>
        <w:spacing w:after="0"/>
        <w:tabs>
          <w:tab w:leader="none" w:pos="8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58" w:lineRule="exact"/>
        <w:rPr>
          <w:sz w:val="24"/>
          <w:szCs w:val="24"/>
          <w:color w:val="auto"/>
        </w:rPr>
      </w:pPr>
    </w:p>
    <w:p>
      <w:pPr>
        <w:ind w:left="860" w:hanging="368"/>
        <w:spacing w:after="0"/>
        <w:tabs>
          <w:tab w:leader="none" w:pos="8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44" w:lineRule="exact"/>
        <w:rPr>
          <w:rFonts w:ascii="MS PGothic" w:cs="MS PGothic" w:eastAsia="MS PGothic" w:hAnsi="MS PGothic"/>
          <w:sz w:val="18"/>
          <w:szCs w:val="18"/>
          <w:color w:val="auto"/>
        </w:rPr>
      </w:pPr>
    </w:p>
    <w:p>
      <w:pPr>
        <w:ind w:left="860" w:hanging="368"/>
        <w:spacing w:after="0"/>
        <w:tabs>
          <w:tab w:leader="none" w:pos="8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05"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9"/>
          <w:szCs w:val="29"/>
          <w:b w:val="1"/>
          <w:bCs w:val="1"/>
          <w:color w:val="auto"/>
        </w:rPr>
        <w:t>VERONA PHARMA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35560</wp:posOffset>
            </wp:positionV>
            <wp:extent cx="61893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pacing w:after="0" w:line="121"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276860</wp:posOffset>
            </wp:positionV>
            <wp:extent cx="61893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58" w:lineRule="exact"/>
        <w:rPr>
          <w:sz w:val="24"/>
          <w:szCs w:val="24"/>
          <w:color w:val="auto"/>
        </w:rPr>
      </w:pPr>
    </w:p>
    <w:p>
      <w:pPr>
        <w:ind w:left="860" w:hanging="368"/>
        <w:spacing w:after="0"/>
        <w:tabs>
          <w:tab w:leader="none" w:pos="8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44" w:lineRule="exact"/>
        <w:rPr>
          <w:sz w:val="24"/>
          <w:szCs w:val="24"/>
          <w:color w:val="auto"/>
        </w:rPr>
      </w:pPr>
    </w:p>
    <w:p>
      <w:pPr>
        <w:ind w:left="860" w:hanging="368"/>
        <w:spacing w:after="0"/>
        <w:tabs>
          <w:tab w:leader="none" w:pos="8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860" w:hanging="368"/>
        <w:spacing w:after="0"/>
        <w:tabs>
          <w:tab w:leader="none" w:pos="8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2044700</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9"/>
          <w:szCs w:val="29"/>
          <w:b w:val="1"/>
          <w:bCs w:val="1"/>
          <w:color w:val="auto"/>
        </w:rPr>
        <w:t>Verona Pharma plc</w:t>
      </w:r>
    </w:p>
    <w:p>
      <w:pPr>
        <w:spacing w:after="0" w:line="200" w:lineRule="exact"/>
        <w:rPr>
          <w:sz w:val="20"/>
          <w:szCs w:val="20"/>
          <w:color w:val="auto"/>
        </w:rPr>
      </w:pP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54"/>
          <w:szCs w:val="54"/>
          <w:color w:val="auto"/>
        </w:rPr>
        <w:t>NOTICE &amp; PROXY STATEMENT</w:t>
      </w:r>
    </w:p>
    <w:p>
      <w:pPr>
        <w:spacing w:after="0" w:line="1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45"/>
          <w:szCs w:val="45"/>
          <w:color w:val="auto"/>
        </w:rPr>
        <w:t>Annual General Meeting</w:t>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45"/>
          <w:szCs w:val="45"/>
          <w:color w:val="auto"/>
        </w:rPr>
        <w:t>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April 24, 2025</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10:30 a.m. (British Summer Time</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b w:val="1"/>
          <w:bCs w:val="1"/>
          <w:color w:val="auto"/>
        </w:rPr>
        <w:t>VERONA PHARMA PLC</w:t>
      </w:r>
    </w:p>
    <w:p>
      <w:pPr>
        <w:spacing w:after="0" w:line="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b w:val="1"/>
          <w:bCs w:val="1"/>
          <w:color w:val="auto"/>
        </w:rPr>
        <w:t>ONE CENTRAL SQUARE</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b w:val="1"/>
          <w:bCs w:val="1"/>
          <w:color w:val="auto"/>
        </w:rPr>
        <w:t>CARDIFF, CF10 1FS</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b w:val="1"/>
          <w:bCs w:val="1"/>
          <w:color w:val="auto"/>
        </w:rPr>
        <w:t>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591820</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4366260</wp:posOffset>
            </wp:positionH>
            <wp:positionV relativeFrom="paragraph">
              <wp:posOffset>509905</wp:posOffset>
            </wp:positionV>
            <wp:extent cx="1645920" cy="651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592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2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Registered office: One Central Square, Cardiff, CF10 1FS, U.K.</w:t>
      </w:r>
    </w:p>
    <w:p>
      <w:pPr>
        <w:spacing w:after="0" w:line="3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Incorporated in England and Wales with registered no. 5375156</w:t>
      </w:r>
    </w:p>
    <w:p>
      <w:pPr>
        <w:spacing w:after="0" w:line="112"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March 18, 2025​</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Dear Shareholder:</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2025 Annual General Meeting of Verona Pharma plc (“AGM”)</w:t>
      </w:r>
    </w:p>
    <w:p>
      <w:pPr>
        <w:spacing w:after="0" w:line="162"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This letter, the notice of AGM set out in this document (“Notice”) and associated materials for the AGM are being sent to you because, as of March 11, 2025 (being the latest practicable date before the circulation of this document), you are registered as a holder of voting ordinary shares in the register of members of Verona Pharma plc (the “Company”). However, this letter, the Notice and associated materials will also be available to holders of American Depositary Shares (“ADSs”) and contain information relevant to holders of ADSs.</w:t>
      </w:r>
    </w:p>
    <w:p>
      <w:pPr>
        <w:spacing w:after="0" w:line="325"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 confirm that our AGM will be held on Thursday, April 24, 2025 at 10:30 a.m. British Summer Time at the offices of Latham &amp; Watkins LLP at 99 Bishopsgate, London, EC2M 3XF, United Kingdom. The Notice is set out in this document and it contains the resolutions to be proposed at the AGM.</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Action to be taken by holders of ordinary shares in the Company</w:t>
      </w:r>
    </w:p>
    <w:p>
      <w:pPr>
        <w:spacing w:after="0" w:line="162" w:lineRule="exact"/>
        <w:rPr>
          <w:sz w:val="20"/>
          <w:szCs w:val="20"/>
          <w:color w:val="auto"/>
        </w:rPr>
      </w:pPr>
    </w:p>
    <w:p>
      <w:pPr>
        <w:ind w:left="1260" w:right="1279" w:firstLine="360"/>
        <w:spacing w:after="0" w:line="266" w:lineRule="auto"/>
        <w:rPr>
          <w:sz w:val="20"/>
          <w:szCs w:val="20"/>
          <w:color w:val="auto"/>
        </w:rPr>
      </w:pPr>
      <w:r>
        <w:rPr>
          <w:rFonts w:ascii="Times New Roman" w:cs="Times New Roman" w:eastAsia="Times New Roman" w:hAnsi="Times New Roman"/>
          <w:sz w:val="18"/>
          <w:szCs w:val="18"/>
          <w:color w:val="auto"/>
        </w:rPr>
        <w:t>If you are a holder of ADSs, please ignore this section and refer instead to the section below — “</w:t>
      </w:r>
      <w:r>
        <w:rPr>
          <w:rFonts w:ascii="Times New Roman" w:cs="Times New Roman" w:eastAsia="Times New Roman" w:hAnsi="Times New Roman"/>
          <w:sz w:val="18"/>
          <w:szCs w:val="18"/>
          <w:i w:val="1"/>
          <w:iCs w:val="1"/>
          <w:color w:val="auto"/>
        </w:rPr>
        <w:t>Holders of American Depositary Shares</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Shareholders are entitled to appoint a proxy to exercise all or any of their rights to attend and to speak</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vote on their behalf at the AGM. A proxy need not be a shareholder of the Company. A shareholder may</w:t>
      </w:r>
    </w:p>
    <w:p>
      <w:pPr>
        <w:ind w:left="1260"/>
        <w:spacing w:after="0" w:line="234" w:lineRule="auto"/>
        <w:rPr>
          <w:sz w:val="20"/>
          <w:szCs w:val="20"/>
          <w:color w:val="auto"/>
        </w:rPr>
      </w:pPr>
      <w:r>
        <w:rPr>
          <w:rFonts w:ascii="Times New Roman" w:cs="Times New Roman" w:eastAsia="Times New Roman" w:hAnsi="Times New Roman"/>
          <w:sz w:val="18"/>
          <w:szCs w:val="18"/>
          <w:color w:val="auto"/>
        </w:rPr>
        <w:t>appoint more than one proxy in relation to the AGM provided that each proxy is appointed to exercise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rights attached to a different share or shares held by that shareholder. Should you wish to appoint more than</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one proxy please return the form of proxy and attach to it a schedule detailing the names of the proxies you</w:t>
      </w:r>
    </w:p>
    <w:p>
      <w:pPr>
        <w:ind w:left="1260"/>
        <w:spacing w:after="0" w:line="234" w:lineRule="auto"/>
        <w:rPr>
          <w:sz w:val="20"/>
          <w:szCs w:val="20"/>
          <w:color w:val="auto"/>
        </w:rPr>
      </w:pPr>
      <w:r>
        <w:rPr>
          <w:rFonts w:ascii="Times New Roman" w:cs="Times New Roman" w:eastAsia="Times New Roman" w:hAnsi="Times New Roman"/>
          <w:sz w:val="18"/>
          <w:szCs w:val="18"/>
          <w:color w:val="auto"/>
        </w:rPr>
        <w:t>wish to appoint, the number of shares each proxy will represent and the way in which you wish them to vote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on the resolutions that are to be proposed. To be valid, the form of proxy and the power of attorney or other</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authority (if any) under which it is signed or a certified copy of such power or authority must be lodged at</w:t>
      </w:r>
    </w:p>
    <w:p>
      <w:pPr>
        <w:ind w:left="1260"/>
        <w:spacing w:after="0" w:line="234" w:lineRule="auto"/>
        <w:rPr>
          <w:sz w:val="20"/>
          <w:szCs w:val="20"/>
          <w:color w:val="auto"/>
        </w:rPr>
      </w:pPr>
      <w:r>
        <w:rPr>
          <w:rFonts w:ascii="Times New Roman" w:cs="Times New Roman" w:eastAsia="Times New Roman" w:hAnsi="Times New Roman"/>
          <w:sz w:val="18"/>
          <w:szCs w:val="18"/>
          <w:color w:val="auto"/>
        </w:rPr>
        <w:t>the office of the Company Secretary, Verona Pharma plc, 6th Floor, 60 Gracechurch Street, London EC3V</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0HR by hand or by post, or by email to ben.harber@shma.co.uk, so as to be received by </w:t>
      </w:r>
      <w:r>
        <w:rPr>
          <w:rFonts w:ascii="Times New Roman" w:cs="Times New Roman" w:eastAsia="Times New Roman" w:hAnsi="Times New Roman"/>
          <w:sz w:val="18"/>
          <w:szCs w:val="18"/>
          <w:b w:val="1"/>
          <w:bCs w:val="1"/>
          <w:color w:val="auto"/>
        </w:rPr>
        <w:t>no later than</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 xml:space="preserve">10:30 a.m. British Summer Time (5:30 a.m. Eastern Time) on April 22, 2025, </w:t>
      </w:r>
      <w:r>
        <w:rPr>
          <w:rFonts w:ascii="Times New Roman" w:cs="Times New Roman" w:eastAsia="Times New Roman" w:hAnsi="Times New Roman"/>
          <w:sz w:val="18"/>
          <w:szCs w:val="18"/>
          <w:color w:val="auto"/>
        </w:rPr>
        <w:t>or if the AGM is adjourned, not</w:t>
      </w:r>
    </w:p>
    <w:p>
      <w:pPr>
        <w:ind w:left="1260"/>
        <w:spacing w:after="0" w:line="234" w:lineRule="auto"/>
        <w:rPr>
          <w:sz w:val="20"/>
          <w:szCs w:val="20"/>
          <w:color w:val="auto"/>
        </w:rPr>
      </w:pPr>
      <w:r>
        <w:rPr>
          <w:rFonts w:ascii="Times New Roman" w:cs="Times New Roman" w:eastAsia="Times New Roman" w:hAnsi="Times New Roman"/>
          <w:sz w:val="18"/>
          <w:szCs w:val="18"/>
          <w:color w:val="auto"/>
        </w:rPr>
        <w:t>later than 48 hours before the time fixed for the holding of the adjourned meeting (excluding any day that is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not a working day).</w:t>
      </w:r>
    </w:p>
    <w:p>
      <w:pPr>
        <w:spacing w:after="0" w:line="124"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In the case of a shareholder which is a corporation, the form of proxy must be executed under its common seal or executed on its behalf by a duly authorized officer or attorney for the company. Any corporation which is a shareholder may also appoint one or more representatives who may exercise on its behalf all of its powers as a shareholder provided they do not do so in relation to the same shares.</w:t>
      </w:r>
    </w:p>
    <w:p>
      <w:pPr>
        <w:spacing w:after="0" w:line="110"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The completion and return of a form of proxy will not preclude you from attending in person at the AGM and voting should you wish to do so, but if you appoint a proxy and attend the AGM in person, the proxy appointment will be terminated.</w:t>
      </w:r>
    </w:p>
    <w:p>
      <w:pPr>
        <w:spacing w:after="0" w:line="102" w:lineRule="exact"/>
        <w:rPr>
          <w:sz w:val="20"/>
          <w:szCs w:val="20"/>
          <w:color w:val="auto"/>
        </w:rPr>
      </w:pPr>
    </w:p>
    <w:p>
      <w:pPr>
        <w:jc w:val="both"/>
        <w:ind w:left="1260" w:right="579" w:firstLine="360"/>
        <w:spacing w:after="0" w:line="251" w:lineRule="auto"/>
        <w:rPr>
          <w:sz w:val="20"/>
          <w:szCs w:val="20"/>
          <w:color w:val="auto"/>
        </w:rPr>
      </w:pPr>
      <w:r>
        <w:rPr>
          <w:rFonts w:ascii="Times New Roman" w:cs="Times New Roman" w:eastAsia="Times New Roman" w:hAnsi="Times New Roman"/>
          <w:sz w:val="18"/>
          <w:szCs w:val="18"/>
          <w:color w:val="auto"/>
        </w:rPr>
        <w:t>To change your proxy instructions, simply submit a new form of proxy as set out above. Note that the cut-off times for receipt of proxy appointments (see above) also apply in relation to amended instructions; any amended proxy instructions received after the relevant cut-off time will be disregarded. Please contact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718185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61" w:lineRule="auto"/>
        <w:rPr>
          <w:sz w:val="20"/>
          <w:szCs w:val="20"/>
          <w:color w:val="auto"/>
        </w:rPr>
      </w:pPr>
      <w:r>
        <w:rPr>
          <w:rFonts w:ascii="Times New Roman" w:cs="Times New Roman" w:eastAsia="Times New Roman" w:hAnsi="Times New Roman"/>
          <w:sz w:val="18"/>
          <w:szCs w:val="18"/>
          <w:color w:val="auto"/>
        </w:rPr>
        <w:t>Company Secretary (as noted above) to obtain a new form of proxy. If you submit more than one valid proxy appointment, the appointment validly received last before the latest time for receipt of forms of proxy will take precedence. If the Company is unable to determine which form of proxy was last validly received, none of them shall be treated as valid in respect of that ordinary share.</w:t>
      </w:r>
    </w:p>
    <w:p>
      <w:pPr>
        <w:spacing w:after="0" w:line="11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Further, you may terminate the appointment under the form of proxy prior to the commencement of the AGM (or any adjournment of the AGM). To be valid, the notice of termination of the authority of the person appointed to act as proxy must be deposited at the offices of the Company Secretary, Verona Pharma plc, 6th Floor, 60 Gracechurch Street, London EC3V 0HR, no less than 48 hours before the time fixed for the holding of the AGM or any adjournment thereof (as the case may be).</w:t>
      </w:r>
    </w:p>
    <w:p>
      <w:pPr>
        <w:spacing w:after="0" w:line="116"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In order for your form of proxy to remain valid, you must continue to be registered as a holder of ordinary shares in the Company’s register of members as of 10:30 a.m. British Summer Time (5:30 a.m. Eastern Time) on April 22, 2025. Therefore, if you sell or transfer your ordinary shares in the Company on or prior to April 22, 2025, your form of proxy can no longer be used and if submitted (whether before or after you sell or transfer your ordinary shares) will be treated as invalid. Please pass this document to the person who arranged the sale or transfer for delivery to the purchaser or transferee. The purchaser or transferee should contact the Company Secretary to request a new form of proxy for its use.</w:t>
      </w:r>
    </w:p>
    <w:p>
      <w:pPr>
        <w:spacing w:after="0" w:line="108"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Should you elect to convert your holding of ordinary shares in the capital of the Company into an interest in the capital of the Company represented by ADSs before the AGM, you will cease to be a holder of ordinary shares in your own name and will not be entitled to vote at the AGM as an ordinary shareholder. You will also not be able to use the form of proxy that has been sent to you. However, you may be able to exercise your vote as a holder of an interest in the capital of the Company represented by ADSs — please refer to the next section — “</w:t>
      </w:r>
      <w:r>
        <w:rPr>
          <w:rFonts w:ascii="Times New Roman" w:cs="Times New Roman" w:eastAsia="Times New Roman" w:hAnsi="Times New Roman"/>
          <w:sz w:val="18"/>
          <w:szCs w:val="18"/>
          <w:i w:val="1"/>
          <w:iCs w:val="1"/>
          <w:color w:val="auto"/>
        </w:rPr>
        <w:t>Holders of American Depositary Shares.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Holders of American Depositary Shares</w:t>
      </w:r>
    </w:p>
    <w:p>
      <w:pPr>
        <w:spacing w:after="0" w:line="16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 xml:space="preserve">In order to exercise your vote as a holder of an interest in the capital of the Company represented by ADSs, you or your bank, broker or nominee must be registered as a holder of ADSs in the ADS register </w:t>
      </w:r>
      <w:r>
        <w:rPr>
          <w:rFonts w:ascii="Times New Roman" w:cs="Times New Roman" w:eastAsia="Times New Roman" w:hAnsi="Times New Roman"/>
          <w:sz w:val="18"/>
          <w:szCs w:val="18"/>
          <w:b w:val="1"/>
          <w:bCs w:val="1"/>
          <w:color w:val="auto"/>
        </w:rPr>
        <w:t>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 5:00 p.m. Eastern Time on Tuesday, March 11, 2025 (the “ADS Record Date”)</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If you hold ADSs through a bank, broker or nominee as of 5:00 p.m. Eastern Time on the ADS Record Date, the AGM documentation, including the ADS voting instructions, will be sent to your broker who should forward the materials to you. Please reach out to your broker to provide your voting instructions.</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Please note that ADS voting instructions submitted by ADS holders must be received by Citibank, N.A.</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later than 10:00 a.m. Eastern Time on Friday, April 17, 2025</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Contact for ADS holders</w:t>
      </w:r>
    </w:p>
    <w:p>
      <w:pPr>
        <w:spacing w:after="0" w:line="162"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If you have queries about how you can deliver voting instructions, please contact Citibank, N.A. —  ADR Shareholder Services at tel: +1-877-248-4237 (toll free within the United States) or +1-781-575-4555 (for international callers) or by email: citibank@shareholders-online.com or at Citibank Shareholder Services, P.O. Box 43099, Providence, RI 02940-5000.</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Contact at Verona Pharma</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at any point you require guidance, please contact Verona Pharma General Counsel, on email:</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legal@veronapharma.com.</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148"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You will find an explanatory note in relation to each of the resolutions in the attached proxy statement. The Directors consider that each resolution is in the best interests of the Company and its shareholders as a whole and is likely to promote the success of the Company. Accordingly, the Directors unanimously recommend that Shareholders vote in favor of the resolutions to be proposed at the AGM, as they intend to do in respect of their own beneficial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586740</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3779"/>
        <w:spacing w:after="0"/>
        <w:rPr>
          <w:sz w:val="20"/>
          <w:szCs w:val="20"/>
          <w:color w:val="auto"/>
        </w:rPr>
      </w:pPr>
      <w:r>
        <w:rPr>
          <w:rFonts w:ascii="Times New Roman" w:cs="Times New Roman" w:eastAsia="Times New Roman" w:hAnsi="Times New Roman"/>
          <w:sz w:val="18"/>
          <w:szCs w:val="18"/>
          <w:color w:val="auto"/>
        </w:rPr>
        <w:t>Thank you for your ongoing support of Verona Pharma plc.</w:t>
      </w:r>
    </w:p>
    <w:p>
      <w:pPr>
        <w:spacing w:after="0" w:line="2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00" w:lineRule="exact"/>
        <w:rPr>
          <w:sz w:val="20"/>
          <w:szCs w:val="20"/>
          <w:color w:val="auto"/>
        </w:rPr>
      </w:pPr>
    </w:p>
    <w:p>
      <w:pPr>
        <w:spacing w:after="0" w:line="2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David Ebsworth, Ph.D.</w:t>
      </w:r>
    </w:p>
    <w:p>
      <w:pPr>
        <w:spacing w:after="0" w:line="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Chairperson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7151370</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2583180</wp:posOffset>
            </wp:positionH>
            <wp:positionV relativeFrom="paragraph">
              <wp:posOffset>749935</wp:posOffset>
            </wp:positionV>
            <wp:extent cx="1645920" cy="651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592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2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Registered office: One Central Square, Cardiff, CF10 1FS, U.K.</w:t>
      </w:r>
    </w:p>
    <w:p>
      <w:pPr>
        <w:spacing w:after="0" w:line="3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Incorporated in England and Wales with registered no. 5375156</w:t>
      </w:r>
    </w:p>
    <w:p>
      <w:pPr>
        <w:spacing w:after="0" w:line="189"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NOTICE OF 2025 ANNUAL GENERAL MEETING OF SHAREHOLDERS</w:t>
      </w:r>
    </w:p>
    <w:p>
      <w:pPr>
        <w:spacing w:after="0" w:line="2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TO BE HELD ON THURSDAY, APRIL 24, 2025</w:t>
      </w:r>
    </w:p>
    <w:p>
      <w:pPr>
        <w:spacing w:after="0" w:line="120" w:lineRule="exact"/>
        <w:rPr>
          <w:sz w:val="20"/>
          <w:szCs w:val="20"/>
          <w:color w:val="auto"/>
        </w:rPr>
      </w:pPr>
    </w:p>
    <w:p>
      <w:pPr>
        <w:ind w:left="1260" w:right="59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w:t>
      </w:r>
      <w:r>
        <w:rPr>
          <w:rFonts w:ascii="Times New Roman" w:cs="Times New Roman" w:eastAsia="Times New Roman" w:hAnsi="Times New Roman"/>
          <w:sz w:val="18"/>
          <w:szCs w:val="18"/>
          <w:color w:val="auto"/>
        </w:rPr>
        <w:t>that an Annual General Meeting (“AGM”) of Verona Pharma plc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be held on Thursday, April 24, 2025 at 10:30 a.m. British Summer Time at the offices of Latham &amp; Watkins LLP at 99 Bishopsgate, London, EC2M 3XF, United Kingdom.</w:t>
      </w:r>
    </w:p>
    <w:p>
      <w:pPr>
        <w:spacing w:after="0" w:line="10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the AGM, the following business shall be transacted:</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Ordinary resolutions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Re-election of Directors</w:t>
      </w:r>
    </w:p>
    <w:p>
      <w:pPr>
        <w:spacing w:after="0" w:line="160" w:lineRule="exact"/>
        <w:rPr>
          <w:sz w:val="20"/>
          <w:szCs w:val="20"/>
          <w:color w:val="auto"/>
        </w:rPr>
      </w:pPr>
    </w:p>
    <w:p>
      <w:pPr>
        <w:ind w:left="1980" w:right="719" w:hanging="360"/>
        <w:spacing w:after="0" w:line="282"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re-elect, as a Director of the Company, Dr. Kenneth Cunningham, who retires in accordance with Article 26.2 of the Company’s Articles of Association and offers himself for re-election.</w:t>
      </w:r>
    </w:p>
    <w:p>
      <w:pPr>
        <w:spacing w:after="0" w:line="67" w:lineRule="exact"/>
        <w:rPr>
          <w:rFonts w:ascii="Times New Roman" w:cs="Times New Roman" w:eastAsia="Times New Roman" w:hAnsi="Times New Roman"/>
          <w:sz w:val="18"/>
          <w:szCs w:val="18"/>
          <w:color w:val="auto"/>
        </w:rPr>
      </w:pPr>
    </w:p>
    <w:p>
      <w:pPr>
        <w:ind w:left="1980" w:right="1059" w:hanging="360"/>
        <w:spacing w:after="0" w:line="282"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re-elect, as a Director of the Company, Mr. Vikas Sinha, who retires in accordance with Article 26.2 of the Company’s Articles of Association and offers himself for re-election.</w:t>
      </w:r>
    </w:p>
    <w:p>
      <w:pPr>
        <w:spacing w:after="0" w:line="80" w:lineRule="exact"/>
        <w:rPr>
          <w:rFonts w:ascii="Times New Roman" w:cs="Times New Roman" w:eastAsia="Times New Roman" w:hAnsi="Times New Roman"/>
          <w:sz w:val="18"/>
          <w:szCs w:val="18"/>
          <w:color w:val="auto"/>
        </w:rPr>
      </w:pPr>
    </w:p>
    <w:p>
      <w:pPr>
        <w:ind w:left="1980" w:right="999" w:hanging="360"/>
        <w:spacing w:after="0" w:line="282"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re-elect, as a Director of the Company, Mr. James Brady, who retires in accordance with Article 26.2 of the Company’s Articles of Association and offers himself for re-election.</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U.K. statutory Annual Report</w:t>
      </w:r>
    </w:p>
    <w:p>
      <w:pPr>
        <w:spacing w:after="0" w:line="160" w:lineRule="exact"/>
        <w:rPr>
          <w:sz w:val="20"/>
          <w:szCs w:val="20"/>
          <w:color w:val="auto"/>
        </w:rPr>
      </w:pPr>
    </w:p>
    <w:p>
      <w:pPr>
        <w:ind w:left="1980" w:right="619" w:hanging="360"/>
        <w:spacing w:after="0" w:line="282" w:lineRule="auto"/>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and adopt the U.K. statutory annual accounts and Directors’ report for the year ended December 31, 2024 and the report of the auditors thereon (the “2024 U.K. Annual Report”).</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U.K. statutory Remuneration Report</w:t>
      </w:r>
    </w:p>
    <w:p>
      <w:pPr>
        <w:spacing w:after="0" w:line="146" w:lineRule="exact"/>
        <w:rPr>
          <w:sz w:val="20"/>
          <w:szCs w:val="20"/>
          <w:color w:val="auto"/>
        </w:rPr>
      </w:pPr>
    </w:p>
    <w:p>
      <w:pPr>
        <w:ind w:left="1980" w:right="679" w:hanging="360"/>
        <w:spacing w:after="0" w:line="266" w:lineRule="auto"/>
        <w:tabs>
          <w:tab w:leader="none" w:pos="1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and approve, as a non-binding advisory resolution, the U.K. statutory Directors’ Remuneration Report for the year ended December 31, 2024, as set out on pages 21 to 43 of the 2024 U.K. Annual Report.</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Appointment and remuneration of auditor</w:t>
      </w:r>
    </w:p>
    <w:p>
      <w:pPr>
        <w:spacing w:after="0" w:line="160" w:lineRule="exact"/>
        <w:rPr>
          <w:sz w:val="20"/>
          <w:szCs w:val="20"/>
          <w:color w:val="auto"/>
        </w:rPr>
      </w:pPr>
    </w:p>
    <w:p>
      <w:pPr>
        <w:ind w:left="1980" w:right="419" w:hanging="360"/>
        <w:spacing w:after="0" w:line="282" w:lineRule="auto"/>
        <w:tabs>
          <w:tab w:leader="none" w:pos="1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re-appoint Ernst &amp; Young LLP as the Company’s auditors, to hold office until the conclusion of the next annual general meeting of shareholders.</w:t>
      </w:r>
    </w:p>
    <w:p>
      <w:pPr>
        <w:spacing w:after="0" w:line="80" w:lineRule="exact"/>
        <w:rPr>
          <w:rFonts w:ascii="Times New Roman" w:cs="Times New Roman" w:eastAsia="Times New Roman" w:hAnsi="Times New Roman"/>
          <w:sz w:val="18"/>
          <w:szCs w:val="18"/>
          <w:color w:val="auto"/>
        </w:rPr>
      </w:pPr>
    </w:p>
    <w:p>
      <w:pPr>
        <w:ind w:left="1980" w:right="639" w:hanging="360"/>
        <w:spacing w:after="0" w:line="282" w:lineRule="auto"/>
        <w:tabs>
          <w:tab w:leader="none" w:pos="1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the Audit and Risk Committee to determine the auditors’ remuneration for the year ending December 31, 2025.</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Say-on-pay advisory vote</w:t>
      </w:r>
    </w:p>
    <w:p>
      <w:pPr>
        <w:spacing w:after="0" w:line="146" w:lineRule="exact"/>
        <w:rPr>
          <w:sz w:val="20"/>
          <w:szCs w:val="20"/>
          <w:color w:val="auto"/>
        </w:rPr>
      </w:pPr>
    </w:p>
    <w:p>
      <w:pPr>
        <w:ind w:left="1980" w:right="979" w:hanging="360"/>
        <w:spacing w:after="0" w:line="282" w:lineRule="auto"/>
        <w:tabs>
          <w:tab w:leader="none" w:pos="1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(non-binding) basis, the compensation of the Company’s named executive officers.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Authority to allot shares</w:t>
      </w:r>
    </w:p>
    <w:p>
      <w:pPr>
        <w:spacing w:after="0" w:line="160" w:lineRule="exact"/>
        <w:rPr>
          <w:sz w:val="20"/>
          <w:szCs w:val="20"/>
          <w:color w:val="auto"/>
        </w:rPr>
      </w:pPr>
    </w:p>
    <w:p>
      <w:pPr>
        <w:ind w:left="1980" w:hanging="360"/>
        <w:spacing w:after="0"/>
        <w:tabs>
          <w:tab w:leader="none" w:pos="1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the Directors generally and unconditionally for the purposes of Section 551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604520</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599"/>
        <w:spacing w:after="0" w:line="245" w:lineRule="auto"/>
        <w:rPr>
          <w:sz w:val="20"/>
          <w:szCs w:val="20"/>
          <w:color w:val="auto"/>
        </w:rPr>
      </w:pPr>
      <w:r>
        <w:rPr>
          <w:rFonts w:ascii="Times New Roman" w:cs="Times New Roman" w:eastAsia="Times New Roman" w:hAnsi="Times New Roman"/>
          <w:sz w:val="18"/>
          <w:szCs w:val="18"/>
          <w:color w:val="auto"/>
        </w:rPr>
        <w:t>U.K. Companies Act 2006 (the “Companies Act”) to exercise all the powers of the Company to allot shares in the Company or grant rights to subscribe for or to convert any security into shares in the Company (“Rights”) up to an aggregate nominal amount of £7,031,895 (being up to a maximum of 140,637,892 shares representing 20% of the Company’s existing ordinary share capital as at the close of business on March 11, 2025 (being the latest practicable date prior to publication of this document)) to such persons at such times and upon such conditions as the directors may determine (subject to the Company’s Articles of Association).</w:t>
      </w:r>
    </w:p>
    <w:p>
      <w:pPr>
        <w:spacing w:after="0" w:line="114"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This authority shall replace any existing authorities to the extent not utilized at the date this resolution is passed and shall, unless previously renewed, revoked or varied by the Company in general meeting, expire on June 1, 2026, provided that the Company may, at any time before such expiry, make an offer or enter into an agreement which would or might require shares to be allotted or Rights to be granted after such expiry and the Directors may allot such shares or grant Rights pursuant to any such offer or agreement as if the authority conferred hereby had not expired.</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Special resolution</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Disapplication of pre-emption rights</w:t>
      </w:r>
    </w:p>
    <w:p>
      <w:pPr>
        <w:spacing w:after="0" w:line="146" w:lineRule="exact"/>
        <w:rPr>
          <w:sz w:val="20"/>
          <w:szCs w:val="20"/>
          <w:color w:val="auto"/>
        </w:rPr>
      </w:pPr>
    </w:p>
    <w:p>
      <w:pPr>
        <w:ind w:left="1980" w:right="479" w:hanging="360"/>
        <w:spacing w:after="0" w:line="252" w:lineRule="auto"/>
        <w:tabs>
          <w:tab w:leader="none" w:pos="1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and conditional upon the passing of resolution 9 above, to authorize the Directors pursuant to Section 570 and 573 of the Companies Act to allot equity securities (as defined in Section 560 of the Companies Act) for cash pursuant to the authority conferred by resolution 9 above and/or to sell ordinary shares held by the Company as treasury shares for cash, as if Section 561(1) of the Companies Act did not apply to any such allotment or sale, provided that this power shall be limited to the allotment of equity securities or sale of treasury shares up to an aggregate nominal amount of £7,031,895 (being up to a maximum of 140,637,892 shares representing 20% of the Company’s existing ordinary share capital as at the close of business on March 11, 2025 (being the latest practicable date prior to publication of this document)), shall replace any existing disapplication of Section 561 of the Companies Act to the extent not utilized at the date this resolution is passed and shall expire on June 1, 2026 unless previously renewed, varied or revoked by the Company in general meeting, provided that the Company may, before such expiry, make an offer or agreement which would or might require shares in the Company or rights to be allotted or granted or treasury shares to be sold after this authority expires and that the Directors may allot shares in the Company or grant rights or sell treasury shares pursuant to such an offer or agreement as if the authority conferred by this resolution had not expired.</w:t>
      </w:r>
    </w:p>
    <w:p>
      <w:pPr>
        <w:sectPr>
          <w:pgSz w:w="11900" w:h="16838" w:orient="portrait"/>
          <w:cols w:equalWidth="0" w:num="1">
            <w:col w:w="9879"/>
          </w:cols>
          <w:pgMar w:left="580" w:top="97" w:right="1440" w:bottom="1440" w:gutter="0" w:footer="0" w:header="0"/>
        </w:sectPr>
      </w:pPr>
    </w:p>
    <w:p>
      <w:pPr>
        <w:spacing w:after="0" w:line="16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By order of the Board:</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Registered Office:</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3">
            <w:col w:w="4540" w:space="720"/>
            <w:col w:w="3120" w:space="720"/>
            <w:col w:w="779"/>
          </w:cols>
          <w:pgMar w:left="580" w:top="97" w:right="1440" w:bottom="1440" w:gutter="0" w:footer="0" w:header="0"/>
          <w:type w:val="continuous"/>
        </w:sectPr>
      </w:pPr>
    </w:p>
    <w:p>
      <w:pPr>
        <w:spacing w:after="0" w:line="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Ben Harber</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2939"/>
        <w:spacing w:after="0"/>
        <w:rPr>
          <w:sz w:val="20"/>
          <w:szCs w:val="20"/>
          <w:color w:val="auto"/>
        </w:rPr>
      </w:pPr>
      <w:r>
        <w:rPr>
          <w:rFonts w:ascii="Times New Roman" w:cs="Times New Roman" w:eastAsia="Times New Roman" w:hAnsi="Times New Roman"/>
          <w:sz w:val="18"/>
          <w:szCs w:val="18"/>
          <w:color w:val="auto"/>
        </w:rPr>
        <w:t>One Central Square</w:t>
      </w:r>
    </w:p>
    <w:p>
      <w:pPr>
        <w:spacing w:after="0" w:line="34" w:lineRule="exact"/>
        <w:rPr>
          <w:sz w:val="20"/>
          <w:szCs w:val="20"/>
          <w:color w:val="auto"/>
        </w:rPr>
      </w:pPr>
    </w:p>
    <w:p>
      <w:pPr>
        <w:sectPr>
          <w:pgSz w:w="11900" w:h="16838" w:orient="portrait"/>
          <w:cols w:equalWidth="0" w:num="2">
            <w:col w:w="4740" w:space="720"/>
            <w:col w:w="4419"/>
          </w:cols>
          <w:pgMar w:left="580" w:top="97" w:right="1440"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8"/>
          <w:szCs w:val="18"/>
          <w:i w:val="1"/>
          <w:iCs w:val="1"/>
          <w:color w:val="auto"/>
        </w:rPr>
        <w:t>Company 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Cardiff, CF10 1FS,</w:t>
      </w:r>
    </w:p>
    <w:p>
      <w:pPr>
        <w:spacing w:after="0" w:line="50" w:lineRule="exact"/>
        <w:rPr>
          <w:sz w:val="20"/>
          <w:szCs w:val="20"/>
          <w:color w:val="auto"/>
        </w:rPr>
      </w:pPr>
    </w:p>
    <w:p>
      <w:pPr>
        <w:sectPr>
          <w:pgSz w:w="11900" w:h="16838" w:orient="portrait"/>
          <w:cols w:equalWidth="0" w:num="2">
            <w:col w:w="4740" w:space="720"/>
            <w:col w:w="4419"/>
          </w:cols>
          <w:pgMar w:left="580" w:top="97" w:right="1440"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8"/>
          <w:szCs w:val="18"/>
          <w:color w:val="auto"/>
        </w:rPr>
        <w:t>March 18, 2025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U.K.</w:t>
      </w:r>
    </w:p>
    <w:p>
      <w:pPr>
        <w:spacing w:after="0" w:line="181" w:lineRule="exact"/>
        <w:rPr>
          <w:sz w:val="20"/>
          <w:szCs w:val="20"/>
          <w:color w:val="auto"/>
        </w:rPr>
      </w:pPr>
    </w:p>
    <w:p>
      <w:pPr>
        <w:sectPr>
          <w:pgSz w:w="11900" w:h="16838" w:orient="portrait"/>
          <w:cols w:equalWidth="0" w:num="2">
            <w:col w:w="4740" w:space="720"/>
            <w:col w:w="441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117" w:lineRule="exact"/>
        <w:rPr>
          <w:sz w:val="20"/>
          <w:szCs w:val="20"/>
          <w:color w:val="auto"/>
        </w:rPr>
      </w:pPr>
    </w:p>
    <w:p>
      <w:pPr>
        <w:ind w:left="1620" w:hanging="360"/>
        <w:spacing w:after="0"/>
        <w:tabs>
          <w:tab w:leader="none" w:pos="16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Resolutions and voting</w:t>
      </w:r>
    </w:p>
    <w:p>
      <w:pPr>
        <w:spacing w:after="0" w:line="161" w:lineRule="exact"/>
        <w:rPr>
          <w:rFonts w:ascii="Times New Roman" w:cs="Times New Roman" w:eastAsia="Times New Roman" w:hAnsi="Times New Roman"/>
          <w:sz w:val="18"/>
          <w:szCs w:val="18"/>
          <w:b w:val="1"/>
          <w:bCs w:val="1"/>
          <w:color w:val="auto"/>
        </w:rPr>
      </w:pPr>
    </w:p>
    <w:p>
      <w:pPr>
        <w:jc w:val="both"/>
        <w:ind w:left="1620" w:right="55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proposed resolutions will be put to vote on a poll. This results in a more accurate reflection of the views of Shareholders ensuring that votes by proxy will be fully-counted. On a poll, each Shareholder has one vote for every share held.</w:t>
      </w:r>
    </w:p>
    <w:p>
      <w:pPr>
        <w:spacing w:after="0" w:line="101" w:lineRule="exact"/>
        <w:rPr>
          <w:rFonts w:ascii="Times New Roman" w:cs="Times New Roman" w:eastAsia="Times New Roman" w:hAnsi="Times New Roman"/>
          <w:sz w:val="18"/>
          <w:szCs w:val="18"/>
          <w:b w:val="1"/>
          <w:bCs w:val="1"/>
          <w:color w:val="auto"/>
        </w:rPr>
      </w:pPr>
    </w:p>
    <w:p>
      <w:pPr>
        <w:ind w:left="1620" w:right="439"/>
        <w:spacing w:after="0" w:line="24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Resolutions 1 to 9 are proposed as ordinary resolutions. On a poll, an ordinary resolution is passed if it is approved by holders representing a simple majority of the total voting rights of shareholders present (in person or by proxy) who (being entitled to vote) vote on the resolution. Resolution 10 is proposed as a special resolution. On a poll, a special resolution is passed if it is approved by holders representing not less than 75% of the total voting rights of shareholders present (in person or by proxy) who (being entitled to vote) vote on the resolution.</w:t>
      </w:r>
    </w:p>
    <w:p>
      <w:pPr>
        <w:spacing w:after="0" w:line="114" w:lineRule="exact"/>
        <w:rPr>
          <w:rFonts w:ascii="Times New Roman" w:cs="Times New Roman" w:eastAsia="Times New Roman" w:hAnsi="Times New Roman"/>
          <w:sz w:val="18"/>
          <w:szCs w:val="18"/>
          <w:b w:val="1"/>
          <w:bCs w:val="1"/>
          <w:color w:val="auto"/>
        </w:rPr>
      </w:pPr>
    </w:p>
    <w:p>
      <w:pPr>
        <w:ind w:left="1620" w:right="59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results of the voting and any other information required by the U.K. Companies Act 2006 will be made available on our website (https://www.veronapharma.com) as soon as reasonably practicable following the AGM and for the required period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577850</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hanging="360"/>
        <w:spacing w:after="0"/>
        <w:tabs>
          <w:tab w:leader="none" w:pos="16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 of proxies</w:t>
      </w:r>
    </w:p>
    <w:p>
      <w:pPr>
        <w:spacing w:after="0" w:line="161" w:lineRule="exact"/>
        <w:rPr>
          <w:rFonts w:ascii="Times New Roman" w:cs="Times New Roman" w:eastAsia="Times New Roman" w:hAnsi="Times New Roman"/>
          <w:sz w:val="18"/>
          <w:szCs w:val="18"/>
          <w:b w:val="1"/>
          <w:bCs w:val="1"/>
          <w:color w:val="auto"/>
        </w:rPr>
      </w:pPr>
    </w:p>
    <w:p>
      <w:pPr>
        <w:ind w:left="1620" w:right="439"/>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Members are entitled to appoint a proxy to exercise all or any of their rights to attend and to speak and vote on their behalf at the AGM. A proxy need not be a shareholder of the Company. A shareholder may appoint more than one proxy in relation to the AGM provided that each proxy is appointed to exercise the rights attached to a different share or shares held by that shareholder. Should you wish to appoint more than one proxy please return the form of proxy and attach to it a schedule detailing the names of the proxies you wish to appoint, the number of shares each proxy will represent and the way in which you wish them to vote on the resolutions that are to be proposed. </w:t>
      </w:r>
      <w:r>
        <w:rPr>
          <w:rFonts w:ascii="Times New Roman" w:cs="Times New Roman" w:eastAsia="Times New Roman" w:hAnsi="Times New Roman"/>
          <w:sz w:val="18"/>
          <w:szCs w:val="18"/>
          <w:b w:val="1"/>
          <w:bCs w:val="1"/>
          <w:color w:val="auto"/>
        </w:rPr>
        <w:t>To be valid, the form of 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the power of attorney or other authority (if any) under which it is signed or a certified copy of such power or authority must be lodged at the office of the Company Secretary, Verona Pharma plc,</w:t>
      </w:r>
    </w:p>
    <w:p>
      <w:pPr>
        <w:spacing w:after="0" w:line="6" w:lineRule="exact"/>
        <w:rPr>
          <w:rFonts w:ascii="Times New Roman" w:cs="Times New Roman" w:eastAsia="Times New Roman" w:hAnsi="Times New Roman"/>
          <w:sz w:val="18"/>
          <w:szCs w:val="18"/>
          <w:b w:val="1"/>
          <w:bCs w:val="1"/>
          <w:color w:val="auto"/>
        </w:rPr>
      </w:pPr>
    </w:p>
    <w:p>
      <w:pPr>
        <w:ind w:left="1620" w:right="439"/>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 Shakespeare Martineau LLP, 6th Floor, 60 Gracechurch Street, London EC3V 0HR BY HAND or BY POST, or BY EMAIL to ben.harber@shma.co.uk, so as to be received not less than 48 hours before the time fixed for the holding of the AGM or any adjournment thereof (as the case may be), excluding any part of a day which is not a working day.</w:t>
      </w:r>
    </w:p>
    <w:p>
      <w:pPr>
        <w:spacing w:after="0" w:line="121" w:lineRule="exact"/>
        <w:rPr>
          <w:rFonts w:ascii="Times New Roman" w:cs="Times New Roman" w:eastAsia="Times New Roman" w:hAnsi="Times New Roman"/>
          <w:sz w:val="18"/>
          <w:szCs w:val="18"/>
          <w:b w:val="1"/>
          <w:bCs w:val="1"/>
          <w:color w:val="auto"/>
        </w:rPr>
      </w:pPr>
    </w:p>
    <w:p>
      <w:pPr>
        <w:ind w:left="1620" w:right="45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completion and return of a form of proxy will not preclude a member from attending in person at the AGM and voting should they wish to do so, but if a member appoints a proxy and attends the AGM in person, the proxy appointment will be terminated.</w:t>
      </w:r>
    </w:p>
    <w:p>
      <w:pPr>
        <w:spacing w:after="0" w:line="94" w:lineRule="exact"/>
        <w:rPr>
          <w:rFonts w:ascii="Times New Roman" w:cs="Times New Roman" w:eastAsia="Times New Roman" w:hAnsi="Times New Roman"/>
          <w:sz w:val="18"/>
          <w:szCs w:val="18"/>
          <w:b w:val="1"/>
          <w:bCs w:val="1"/>
          <w:color w:val="auto"/>
        </w:rPr>
      </w:pPr>
    </w:p>
    <w:p>
      <w:pPr>
        <w:ind w:left="1620" w:right="53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attached proxy statement explains proxy voting and the matters to be voted on in more detail. Please read the proxy statement carefully. For specific information regarding the voting of your ordinary shares, please refer to the proxy statement under the section entitled “</w:t>
      </w:r>
      <w:r>
        <w:rPr>
          <w:rFonts w:ascii="Times New Roman" w:cs="Times New Roman" w:eastAsia="Times New Roman" w:hAnsi="Times New Roman"/>
          <w:sz w:val="18"/>
          <w:szCs w:val="18"/>
          <w:i w:val="1"/>
          <w:iCs w:val="1"/>
          <w:color w:val="auto"/>
        </w:rPr>
        <w:t>Questions and Answers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About the Annual General Meeting</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b w:val="1"/>
          <w:bCs w:val="1"/>
          <w:color w:val="auto"/>
        </w:rPr>
      </w:pPr>
    </w:p>
    <w:p>
      <w:pPr>
        <w:ind w:left="1620" w:right="43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case of a member that is a corporation, the form of proxy must be executed under its common seal or executed on its behalf by a duly authorized officer or attorney for the company. Any corporation which is a member may also appoint one or more representatives who may exercise on its behalf all of its powers as a member provided they do not do so in relation to the same shares.</w:t>
      </w:r>
    </w:p>
    <w:p>
      <w:pPr>
        <w:spacing w:after="0" w:line="112" w:lineRule="exact"/>
        <w:rPr>
          <w:rFonts w:ascii="Times New Roman" w:cs="Times New Roman" w:eastAsia="Times New Roman" w:hAnsi="Times New Roman"/>
          <w:sz w:val="18"/>
          <w:szCs w:val="18"/>
          <w:b w:val="1"/>
          <w:bCs w:val="1"/>
          <w:color w:val="auto"/>
        </w:rPr>
      </w:pPr>
    </w:p>
    <w:p>
      <w:pPr>
        <w:ind w:left="1620" w:right="559"/>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change your proxy instructions, simply submit a new form of proxy as set out above. Note that the cut-off times for receipt of proxy appointments (see above) also apply in relation to amended instructions; any amended proxy instructions received after the relevant cut-off time will be disregarded. Please contact the Company Secretary (as noted above) to obtain a new form of proxy. If you submit more than one valid proxy appointment, the appointment validly received last before the latest time for receipt of forms of proxy will take precedence. If the Company is unable to determine which form of proxy was last validly received, none of them shall be treated as valid in respect of that Ordinary Share.</w:t>
      </w:r>
    </w:p>
    <w:p>
      <w:pPr>
        <w:spacing w:after="0" w:line="323" w:lineRule="exact"/>
        <w:rPr>
          <w:rFonts w:ascii="Times New Roman" w:cs="Times New Roman" w:eastAsia="Times New Roman" w:hAnsi="Times New Roman"/>
          <w:sz w:val="18"/>
          <w:szCs w:val="18"/>
          <w:b w:val="1"/>
          <w:bCs w:val="1"/>
          <w:color w:val="auto"/>
        </w:rPr>
      </w:pPr>
    </w:p>
    <w:p>
      <w:pPr>
        <w:ind w:left="1620" w:right="419"/>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Further, the appointment under the form of proxy may be terminated by the member prior to the commencement of the AGM (or any adjournment of the AGM). To be valid, the notice of termination of the authority of the person appointed to act as proxy must be deposited at the offices of the Company Secretary, Verona Pharma plc, c/o Shakespeare Martineau LLP, 6th Floor, 60 Gracechurch Street, London EC3V 0HR, no less than 48 hours before the time fixed for the holding of the AGM or any adjournment thereof (as the case may be).</w:t>
      </w:r>
    </w:p>
    <w:p>
      <w:pPr>
        <w:spacing w:after="0" w:line="88" w:lineRule="exact"/>
        <w:rPr>
          <w:rFonts w:ascii="Times New Roman" w:cs="Times New Roman" w:eastAsia="Times New Roman" w:hAnsi="Times New Roman"/>
          <w:sz w:val="18"/>
          <w:szCs w:val="18"/>
          <w:b w:val="1"/>
          <w:bCs w:val="1"/>
          <w:color w:val="auto"/>
        </w:rPr>
      </w:pPr>
    </w:p>
    <w:p>
      <w:pPr>
        <w:ind w:left="1620" w:hanging="360"/>
        <w:spacing w:after="0"/>
        <w:tabs>
          <w:tab w:leader="none" w:pos="16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 of proxy by joint members</w:t>
      </w:r>
    </w:p>
    <w:p>
      <w:pPr>
        <w:spacing w:after="0" w:line="148" w:lineRule="exact"/>
        <w:rPr>
          <w:rFonts w:ascii="Times New Roman" w:cs="Times New Roman" w:eastAsia="Times New Roman" w:hAnsi="Times New Roman"/>
          <w:sz w:val="18"/>
          <w:szCs w:val="18"/>
          <w:b w:val="1"/>
          <w:bCs w:val="1"/>
          <w:color w:val="auto"/>
        </w:rPr>
      </w:pPr>
    </w:p>
    <w:p>
      <w:pPr>
        <w:ind w:left="1620" w:right="55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case of joint holders, where more than one of the joint holders purports to appoint a proxy, only the appointment submitted by the most senior holder will be accepted. Seniority is determined by the order in which the names of the joint holders appear in the Company’s register of members in respect of the joint holding (the first-named being the most senior).</w:t>
      </w:r>
    </w:p>
    <w:p>
      <w:pPr>
        <w:spacing w:after="0" w:line="81" w:lineRule="exact"/>
        <w:rPr>
          <w:rFonts w:ascii="Times New Roman" w:cs="Times New Roman" w:eastAsia="Times New Roman" w:hAnsi="Times New Roman"/>
          <w:sz w:val="18"/>
          <w:szCs w:val="18"/>
          <w:b w:val="1"/>
          <w:bCs w:val="1"/>
          <w:color w:val="auto"/>
        </w:rPr>
      </w:pPr>
    </w:p>
    <w:p>
      <w:pPr>
        <w:ind w:left="1620" w:hanging="360"/>
        <w:spacing w:after="0"/>
        <w:tabs>
          <w:tab w:leader="none" w:pos="16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Issued shares and total voting rights</w:t>
      </w:r>
    </w:p>
    <w:p>
      <w:pPr>
        <w:spacing w:after="0" w:line="148" w:lineRule="exact"/>
        <w:rPr>
          <w:rFonts w:ascii="Times New Roman" w:cs="Times New Roman" w:eastAsia="Times New Roman" w:hAnsi="Times New Roman"/>
          <w:sz w:val="18"/>
          <w:szCs w:val="18"/>
          <w:b w:val="1"/>
          <w:bCs w:val="1"/>
          <w:color w:val="auto"/>
        </w:rPr>
      </w:pPr>
    </w:p>
    <w:p>
      <w:pPr>
        <w:ind w:left="1620" w:right="45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the close of business on March 11, 2025 (being the latest practicable date prior to publication of this document), the Company’s issued ordinary share capital comprised 632,885,126 voting ordinary shares. Each voting ordinary share carries the right to one vote and therefore the total number of voting rights at the close of business on March 11, 2025 is 632,885,126.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584200</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399"/>
        <w:spacing w:after="0" w:line="257" w:lineRule="auto"/>
        <w:rPr>
          <w:sz w:val="20"/>
          <w:szCs w:val="20"/>
          <w:color w:val="auto"/>
        </w:rPr>
      </w:pPr>
      <w:r>
        <w:rPr>
          <w:rFonts w:ascii="Times New Roman" w:cs="Times New Roman" w:eastAsia="Times New Roman" w:hAnsi="Times New Roman"/>
          <w:sz w:val="18"/>
          <w:szCs w:val="18"/>
          <w:b w:val="1"/>
          <w:bCs w:val="1"/>
          <w:color w:val="auto"/>
        </w:rPr>
        <w:t>In accordance with the terms of the deposit agreement by and among the Company, Citibank, N.A. as depositary and holders and beneficial owners of ADSs issued thereunder dated as of May 2, 2017, holders of ADSs as of 5:00 p.m. Eastern Time on March 11, 2025, the ADS Record Date, who do not provide the depositary bank with voting instructions on or before 10:00 a.m. Eastern Time on April 17, 2025, the ADS Voting Cut-Off Time, will be deemed to have instructed the depositary bank to give a discretionary proxy to a person designated by the Company to vote the underlying ordinary shares at the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7309485</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7900" w:type="dxa"/>
            <w:vAlign w:val="bottom"/>
            <w:gridSpan w:val="26"/>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Proxy Statement</w:t>
            </w: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900" w:type="dxa"/>
            <w:vAlign w:val="bottom"/>
            <w:gridSpan w:val="26"/>
            <w:vMerge w:val="continue"/>
          </w:tcPr>
          <w:p>
            <w:pPr>
              <w:spacing w:after="0"/>
              <w:rPr>
                <w:sz w:val="20"/>
                <w:szCs w:val="20"/>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90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0000EE"/>
              </w:rPr>
              <w:t>Questions and Answers About the Annual General Meeting</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2</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EE"/>
                <w:w w:val="91"/>
              </w:rPr>
              <w:t>Proposals to be Voted On</w:t>
            </w:r>
          </w:p>
        </w:tc>
        <w:tc>
          <w:tcPr>
            <w:tcW w:w="2520" w:type="dxa"/>
            <w:vAlign w:val="bottom"/>
            <w:gridSpan w:val="12"/>
          </w:tcPr>
          <w:p>
            <w:pPr>
              <w:spacing w:after="0"/>
              <w:rPr>
                <w:sz w:val="20"/>
                <w:szCs w:val="20"/>
                <w:color w:val="auto"/>
              </w:rPr>
            </w:pPr>
          </w:p>
        </w:tc>
        <w:tc>
          <w:tcPr>
            <w:tcW w:w="3540" w:type="dxa"/>
            <w:vAlign w:val="bottom"/>
            <w:gridSpan w:val="6"/>
          </w:tcPr>
          <w:p>
            <w:pPr>
              <w:spacing w:after="0"/>
              <w:rPr>
                <w:sz w:val="20"/>
                <w:szCs w:val="20"/>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7</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PROPOSAL 1.</w:t>
            </w:r>
          </w:p>
        </w:tc>
        <w:tc>
          <w:tcPr>
            <w:tcW w:w="520" w:type="dxa"/>
            <w:vAlign w:val="bottom"/>
            <w:gridSpan w:val="4"/>
          </w:tcPr>
          <w:p>
            <w:pPr>
              <w:spacing w:after="0"/>
              <w:rPr>
                <w:sz w:val="20"/>
                <w:szCs w:val="20"/>
                <w:color w:val="auto"/>
              </w:rPr>
            </w:pPr>
          </w:p>
        </w:tc>
        <w:tc>
          <w:tcPr>
            <w:tcW w:w="6060" w:type="dxa"/>
            <w:vAlign w:val="bottom"/>
            <w:gridSpan w:val="18"/>
          </w:tcPr>
          <w:p>
            <w:pPr>
              <w:spacing w:after="0"/>
              <w:rPr>
                <w:sz w:val="20"/>
                <w:szCs w:val="20"/>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7</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PROPOSAL 2.</w:t>
            </w:r>
          </w:p>
        </w:tc>
        <w:tc>
          <w:tcPr>
            <w:tcW w:w="6580" w:type="dxa"/>
            <w:vAlign w:val="bottom"/>
            <w:gridSpan w:val="22"/>
          </w:tcPr>
          <w:p>
            <w:pPr>
              <w:spacing w:after="0"/>
              <w:rPr>
                <w:sz w:val="20"/>
                <w:szCs w:val="20"/>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7</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PROPOSAL 3.</w:t>
            </w:r>
          </w:p>
        </w:tc>
        <w:tc>
          <w:tcPr>
            <w:tcW w:w="6580" w:type="dxa"/>
            <w:vAlign w:val="bottom"/>
            <w:gridSpan w:val="22"/>
          </w:tcPr>
          <w:p>
            <w:pPr>
              <w:spacing w:after="0"/>
              <w:rPr>
                <w:sz w:val="20"/>
                <w:szCs w:val="20"/>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76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Our Board of Directors</w:t>
            </w:r>
          </w:p>
        </w:tc>
        <w:tc>
          <w:tcPr>
            <w:tcW w:w="5960" w:type="dxa"/>
            <w:vAlign w:val="bottom"/>
            <w:gridSpan w:val="17"/>
          </w:tcPr>
          <w:p>
            <w:pPr>
              <w:spacing w:after="0"/>
              <w:rPr>
                <w:sz w:val="21"/>
                <w:szCs w:val="21"/>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PROPOSAL 4.</w:t>
            </w:r>
          </w:p>
        </w:tc>
        <w:tc>
          <w:tcPr>
            <w:tcW w:w="620" w:type="dxa"/>
            <w:vAlign w:val="bottom"/>
            <w:gridSpan w:val="5"/>
          </w:tcPr>
          <w:p>
            <w:pPr>
              <w:spacing w:after="0"/>
              <w:rPr>
                <w:sz w:val="21"/>
                <w:szCs w:val="21"/>
                <w:color w:val="auto"/>
              </w:rPr>
            </w:pPr>
          </w:p>
        </w:tc>
        <w:tc>
          <w:tcPr>
            <w:tcW w:w="5960" w:type="dxa"/>
            <w:vAlign w:val="bottom"/>
            <w:gridSpan w:val="17"/>
          </w:tcPr>
          <w:p>
            <w:pPr>
              <w:spacing w:after="0"/>
              <w:rPr>
                <w:sz w:val="21"/>
                <w:szCs w:val="21"/>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11</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PROPOSAL 5.</w:t>
            </w:r>
          </w:p>
        </w:tc>
        <w:tc>
          <w:tcPr>
            <w:tcW w:w="6580" w:type="dxa"/>
            <w:vAlign w:val="bottom"/>
            <w:gridSpan w:val="22"/>
          </w:tcPr>
          <w:p>
            <w:pPr>
              <w:spacing w:after="0"/>
              <w:rPr>
                <w:sz w:val="21"/>
                <w:szCs w:val="21"/>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12</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PROPOSAL 6.</w:t>
            </w:r>
          </w:p>
        </w:tc>
        <w:tc>
          <w:tcPr>
            <w:tcW w:w="6580" w:type="dxa"/>
            <w:vAlign w:val="bottom"/>
            <w:gridSpan w:val="22"/>
          </w:tcPr>
          <w:p>
            <w:pPr>
              <w:spacing w:after="0"/>
              <w:rPr>
                <w:sz w:val="21"/>
                <w:szCs w:val="21"/>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12</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PROPOSAL 7.</w:t>
            </w:r>
          </w:p>
        </w:tc>
        <w:tc>
          <w:tcPr>
            <w:tcW w:w="6580" w:type="dxa"/>
            <w:vAlign w:val="bottom"/>
            <w:gridSpan w:val="22"/>
          </w:tcPr>
          <w:p>
            <w:pPr>
              <w:spacing w:after="0"/>
              <w:rPr>
                <w:sz w:val="21"/>
                <w:szCs w:val="21"/>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15</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PROPOSAL 8.</w:t>
            </w:r>
          </w:p>
        </w:tc>
        <w:tc>
          <w:tcPr>
            <w:tcW w:w="6580" w:type="dxa"/>
            <w:vAlign w:val="bottom"/>
            <w:gridSpan w:val="22"/>
          </w:tcPr>
          <w:p>
            <w:pPr>
              <w:spacing w:after="0"/>
              <w:rPr>
                <w:sz w:val="21"/>
                <w:szCs w:val="21"/>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15</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PROPOSAL 9.</w:t>
            </w:r>
          </w:p>
        </w:tc>
        <w:tc>
          <w:tcPr>
            <w:tcW w:w="6580" w:type="dxa"/>
            <w:vAlign w:val="bottom"/>
            <w:gridSpan w:val="22"/>
          </w:tcPr>
          <w:p>
            <w:pPr>
              <w:spacing w:after="0"/>
              <w:rPr>
                <w:sz w:val="21"/>
                <w:szCs w:val="21"/>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16</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PROPOSAL 10.</w:t>
            </w:r>
          </w:p>
        </w:tc>
        <w:tc>
          <w:tcPr>
            <w:tcW w:w="6480" w:type="dxa"/>
            <w:vAlign w:val="bottom"/>
            <w:gridSpan w:val="21"/>
          </w:tcPr>
          <w:p>
            <w:pPr>
              <w:spacing w:after="0"/>
              <w:rPr>
                <w:sz w:val="21"/>
                <w:szCs w:val="21"/>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17</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0000EE"/>
              </w:rPr>
              <w:t>Executive Officers</w:t>
            </w: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19</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0000EE"/>
              </w:rPr>
              <w:t>Corporate Governance</w:t>
            </w: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19</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5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GENERAL</w:t>
            </w:r>
          </w:p>
        </w:tc>
        <w:tc>
          <w:tcPr>
            <w:tcW w:w="6200" w:type="dxa"/>
            <w:vAlign w:val="bottom"/>
            <w:gridSpan w:val="19"/>
          </w:tcPr>
          <w:p>
            <w:pPr>
              <w:spacing w:after="0"/>
              <w:rPr>
                <w:sz w:val="21"/>
                <w:szCs w:val="21"/>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19</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77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BOARD COMPOSITION</w:t>
            </w: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19</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77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DIRECTOR INDEPENDENCE</w:t>
            </w: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20</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0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w w:val="97"/>
              </w:rPr>
              <w:t>DIRECTOR CANDIDATES</w:t>
            </w:r>
          </w:p>
        </w:tc>
        <w:tc>
          <w:tcPr>
            <w:tcW w:w="300" w:type="dxa"/>
            <w:vAlign w:val="bottom"/>
          </w:tcPr>
          <w:p>
            <w:pPr>
              <w:spacing w:after="0"/>
              <w:rPr>
                <w:sz w:val="21"/>
                <w:szCs w:val="21"/>
                <w:color w:val="auto"/>
              </w:rPr>
            </w:pPr>
          </w:p>
        </w:tc>
        <w:tc>
          <w:tcPr>
            <w:tcW w:w="5340" w:type="dxa"/>
            <w:vAlign w:val="bottom"/>
            <w:gridSpan w:val="14"/>
          </w:tcPr>
          <w:p>
            <w:pPr>
              <w:spacing w:after="0"/>
              <w:rPr>
                <w:sz w:val="21"/>
                <w:szCs w:val="21"/>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20</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77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COMMUNICATIONS FROM SHAREHOLDERS</w:t>
            </w: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21</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77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BOARD LEADERSHIP STRUCTURE AND ROLE IN RISK OVERSIGHT</w:t>
            </w: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21</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57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PERIODIC BOARD EVALUATION</w:t>
            </w:r>
          </w:p>
        </w:tc>
        <w:tc>
          <w:tcPr>
            <w:tcW w:w="1960" w:type="dxa"/>
            <w:vAlign w:val="bottom"/>
            <w:gridSpan w:val="2"/>
          </w:tcPr>
          <w:p>
            <w:pPr>
              <w:spacing w:after="0"/>
              <w:rPr>
                <w:sz w:val="21"/>
                <w:szCs w:val="21"/>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22</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9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DIRECTOR ORIENTATION AND CONTINUING EDUCATION</w:t>
            </w:r>
          </w:p>
        </w:tc>
        <w:tc>
          <w:tcPr>
            <w:tcW w:w="2740" w:type="dxa"/>
            <w:vAlign w:val="bottom"/>
            <w:gridSpan w:val="4"/>
          </w:tcPr>
          <w:p>
            <w:pPr>
              <w:spacing w:after="0"/>
              <w:rPr>
                <w:sz w:val="21"/>
                <w:szCs w:val="21"/>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22</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9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CODE OF BUSINESS CONDUCT AND ETHICS</w:t>
            </w:r>
          </w:p>
        </w:tc>
        <w:tc>
          <w:tcPr>
            <w:tcW w:w="2740" w:type="dxa"/>
            <w:vAlign w:val="bottom"/>
            <w:gridSpan w:val="4"/>
          </w:tcPr>
          <w:p>
            <w:pPr>
              <w:spacing w:after="0"/>
              <w:rPr>
                <w:sz w:val="21"/>
                <w:szCs w:val="21"/>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22</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360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INSIDER TRADING COMPLIANCE POLICY</w:t>
            </w:r>
          </w:p>
        </w:tc>
        <w:tc>
          <w:tcPr>
            <w:tcW w:w="180" w:type="dxa"/>
            <w:vAlign w:val="bottom"/>
          </w:tcPr>
          <w:p>
            <w:pPr>
              <w:spacing w:after="0"/>
              <w:rPr>
                <w:sz w:val="21"/>
                <w:szCs w:val="21"/>
                <w:color w:val="auto"/>
              </w:rPr>
            </w:pPr>
          </w:p>
        </w:tc>
        <w:tc>
          <w:tcPr>
            <w:tcW w:w="3940" w:type="dxa"/>
            <w:vAlign w:val="bottom"/>
            <w:gridSpan w:val="8"/>
          </w:tcPr>
          <w:p>
            <w:pPr>
              <w:spacing w:after="0"/>
              <w:rPr>
                <w:sz w:val="21"/>
                <w:szCs w:val="21"/>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0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ANTI-HEDGING POLICY</w:t>
            </w:r>
          </w:p>
        </w:tc>
        <w:tc>
          <w:tcPr>
            <w:tcW w:w="1520" w:type="dxa"/>
            <w:vAlign w:val="bottom"/>
            <w:gridSpan w:val="6"/>
          </w:tcPr>
          <w:p>
            <w:pPr>
              <w:spacing w:after="0"/>
              <w:rPr>
                <w:sz w:val="21"/>
                <w:szCs w:val="21"/>
                <w:color w:val="auto"/>
              </w:rPr>
            </w:pPr>
          </w:p>
        </w:tc>
        <w:tc>
          <w:tcPr>
            <w:tcW w:w="4120" w:type="dxa"/>
            <w:vAlign w:val="bottom"/>
            <w:gridSpan w:val="9"/>
          </w:tcPr>
          <w:p>
            <w:pPr>
              <w:spacing w:after="0"/>
              <w:rPr>
                <w:sz w:val="21"/>
                <w:szCs w:val="21"/>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65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ATTENDANCE BY MEMBERS OF THE BOARD OF DIRECTORS AT MEETINGS</w:t>
            </w:r>
          </w:p>
        </w:tc>
        <w:tc>
          <w:tcPr>
            <w:tcW w:w="1220" w:type="dxa"/>
            <w:vAlign w:val="bottom"/>
          </w:tcPr>
          <w:p>
            <w:pPr>
              <w:spacing w:after="0"/>
              <w:rPr>
                <w:sz w:val="21"/>
                <w:szCs w:val="21"/>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0000EE"/>
              </w:rPr>
              <w:t>Committees of the Board</w:t>
            </w: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6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AUDIT AND RISK COMMITTEE</w:t>
            </w:r>
          </w:p>
        </w:tc>
        <w:tc>
          <w:tcPr>
            <w:tcW w:w="5100" w:type="dxa"/>
            <w:vAlign w:val="bottom"/>
            <w:gridSpan w:val="12"/>
          </w:tcPr>
          <w:p>
            <w:pPr>
              <w:spacing w:after="0"/>
              <w:rPr>
                <w:sz w:val="21"/>
                <w:szCs w:val="21"/>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6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REMUNERATION COMMITTEE</w:t>
            </w:r>
          </w:p>
        </w:tc>
        <w:tc>
          <w:tcPr>
            <w:tcW w:w="5100" w:type="dxa"/>
            <w:vAlign w:val="bottom"/>
            <w:gridSpan w:val="12"/>
          </w:tcPr>
          <w:p>
            <w:pPr>
              <w:spacing w:after="0"/>
              <w:rPr>
                <w:sz w:val="21"/>
                <w:szCs w:val="21"/>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52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NOMINATION AND CORPORATE GOVERNANCE COMMITTEE</w:t>
            </w:r>
          </w:p>
        </w:tc>
        <w:tc>
          <w:tcPr>
            <w:tcW w:w="2480" w:type="dxa"/>
            <w:vAlign w:val="bottom"/>
            <w:gridSpan w:val="3"/>
          </w:tcPr>
          <w:p>
            <w:pPr>
              <w:spacing w:after="0"/>
              <w:rPr>
                <w:sz w:val="21"/>
                <w:szCs w:val="21"/>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25</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52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COMMERCIAL COMMITTEE</w:t>
            </w:r>
          </w:p>
        </w:tc>
        <w:tc>
          <w:tcPr>
            <w:tcW w:w="2480" w:type="dxa"/>
            <w:vAlign w:val="bottom"/>
            <w:gridSpan w:val="3"/>
          </w:tcPr>
          <w:p>
            <w:pPr>
              <w:spacing w:after="0"/>
              <w:rPr>
                <w:sz w:val="21"/>
                <w:szCs w:val="21"/>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26</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0000EE"/>
              </w:rPr>
              <w:t>Compensation Discussion and Analysis</w:t>
            </w: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27</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32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EXECUTIVE COMPENSATION TABLES</w:t>
            </w:r>
          </w:p>
        </w:tc>
        <w:tc>
          <w:tcPr>
            <w:tcW w:w="4460" w:type="dxa"/>
            <w:vAlign w:val="bottom"/>
            <w:gridSpan w:val="10"/>
          </w:tcPr>
          <w:p>
            <w:pPr>
              <w:spacing w:after="0"/>
              <w:rPr>
                <w:sz w:val="21"/>
                <w:szCs w:val="21"/>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35</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5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PAY VERSUS PERFORMANCE</w:t>
            </w:r>
          </w:p>
        </w:tc>
        <w:tc>
          <w:tcPr>
            <w:tcW w:w="720" w:type="dxa"/>
            <w:vAlign w:val="bottom"/>
            <w:gridSpan w:val="3"/>
          </w:tcPr>
          <w:p>
            <w:pPr>
              <w:spacing w:after="0"/>
              <w:rPr>
                <w:sz w:val="21"/>
                <w:szCs w:val="21"/>
                <w:color w:val="auto"/>
              </w:rPr>
            </w:pPr>
          </w:p>
        </w:tc>
        <w:tc>
          <w:tcPr>
            <w:tcW w:w="4460" w:type="dxa"/>
            <w:vAlign w:val="bottom"/>
            <w:gridSpan w:val="10"/>
          </w:tcPr>
          <w:p>
            <w:pPr>
              <w:spacing w:after="0"/>
              <w:rPr>
                <w:sz w:val="21"/>
                <w:szCs w:val="21"/>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42</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5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DIRECTOR COMPENSATION</w:t>
            </w:r>
          </w:p>
        </w:tc>
        <w:tc>
          <w:tcPr>
            <w:tcW w:w="5180" w:type="dxa"/>
            <w:vAlign w:val="bottom"/>
            <w:gridSpan w:val="13"/>
          </w:tcPr>
          <w:p>
            <w:pPr>
              <w:spacing w:after="0"/>
              <w:rPr>
                <w:sz w:val="21"/>
                <w:szCs w:val="21"/>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46</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38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CEO PAY RATIO</w:t>
            </w:r>
          </w:p>
        </w:tc>
        <w:tc>
          <w:tcPr>
            <w:tcW w:w="5340" w:type="dxa"/>
            <w:vAlign w:val="bottom"/>
            <w:gridSpan w:val="14"/>
          </w:tcPr>
          <w:p>
            <w:pPr>
              <w:spacing w:after="0"/>
              <w:rPr>
                <w:sz w:val="21"/>
                <w:szCs w:val="21"/>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48</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40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EQUITY COMPENSATION PLAN INFORMATION</w:t>
            </w:r>
          </w:p>
        </w:tc>
        <w:tc>
          <w:tcPr>
            <w:tcW w:w="3680" w:type="dxa"/>
            <w:vAlign w:val="bottom"/>
            <w:gridSpan w:val="7"/>
          </w:tcPr>
          <w:p>
            <w:pPr>
              <w:spacing w:after="0"/>
              <w:rPr>
                <w:sz w:val="21"/>
                <w:szCs w:val="21"/>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48</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0000EE"/>
            </w:tcBorders>
            <w:shd w:val="clear" w:color="auto" w:fill="0000EE"/>
          </w:tcPr>
          <w:p>
            <w:pPr>
              <w:spacing w:after="0" w:line="20" w:lineRule="exact"/>
              <w:rPr>
                <w:sz w:val="1"/>
                <w:szCs w:val="1"/>
                <w:color w:val="auto"/>
              </w:rPr>
            </w:pPr>
          </w:p>
        </w:tc>
        <w:tc>
          <w:tcPr>
            <w:tcW w:w="80" w:type="dxa"/>
            <w:vAlign w:val="bottom"/>
            <w:tcBorders>
              <w:bottom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0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0000EE"/>
              </w:rPr>
              <w:t>Security Ownership of Certain Beneficial Owners and Management</w:t>
            </w: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49</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EE"/>
              </w:rPr>
              <w:t>Certain Relationships</w:t>
            </w:r>
          </w:p>
        </w:tc>
        <w:tc>
          <w:tcPr>
            <w:tcW w:w="2920" w:type="dxa"/>
            <w:vAlign w:val="bottom"/>
            <w:gridSpan w:val="5"/>
          </w:tcPr>
          <w:p>
            <w:pPr>
              <w:spacing w:after="0"/>
              <w:rPr>
                <w:sz w:val="21"/>
                <w:szCs w:val="21"/>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51</w:t>
            </w: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-6651625</wp:posOffset>
            </wp:positionV>
            <wp:extent cx="521208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-6325870</wp:posOffset>
            </wp:positionV>
            <wp:extent cx="521208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-6000115</wp:posOffset>
            </wp:positionV>
            <wp:extent cx="52120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-5657215</wp:posOffset>
            </wp:positionV>
            <wp:extent cx="52120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-5314315</wp:posOffset>
            </wp:positionV>
            <wp:extent cx="52120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-4971415</wp:posOffset>
            </wp:positionV>
            <wp:extent cx="52120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-4628515</wp:posOffset>
            </wp:positionV>
            <wp:extent cx="52120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-4285615</wp:posOffset>
            </wp:positionV>
            <wp:extent cx="52120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-3942715</wp:posOffset>
            </wp:positionV>
            <wp:extent cx="52120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-3599815</wp:posOffset>
            </wp:positionV>
            <wp:extent cx="52120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-3256915</wp:posOffset>
            </wp:positionV>
            <wp:extent cx="52120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-2914015</wp:posOffset>
            </wp:positionV>
            <wp:extent cx="52120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-2571115</wp:posOffset>
            </wp:positionV>
            <wp:extent cx="521208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-2228215</wp:posOffset>
            </wp:positionV>
            <wp:extent cx="52120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-1885315</wp:posOffset>
            </wp:positionV>
            <wp:extent cx="521208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-1542415</wp:posOffset>
            </wp:positionV>
            <wp:extent cx="521208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-1199515</wp:posOffset>
            </wp:positionV>
            <wp:extent cx="521208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-856615</wp:posOffset>
            </wp:positionV>
            <wp:extent cx="521208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-513715</wp:posOffset>
            </wp:positionV>
            <wp:extent cx="521208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-170815</wp:posOffset>
            </wp:positionV>
            <wp:extent cx="521208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-6985635</wp:posOffset>
            </wp:positionV>
            <wp:extent cx="521208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5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7"/>
        </w:trPr>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09"/>
        </w:trPr>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20" w:type="dxa"/>
            <w:vAlign w:val="bottom"/>
            <w:tcBorders>
              <w:top w:val="single" w:sz="8" w:color="CCEEFF"/>
              <w:bottom w:val="single" w:sz="8" w:color="0000EE"/>
            </w:tcBorders>
            <w:gridSpan w:val="1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POLICIES AND PROCEDURES FOR RELATED PERSON TRANSACTIONS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0000EE"/>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w w:val="99"/>
              </w:rPr>
              <w:t>51</w:t>
            </w: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16"/>
        </w:trPr>
        <w:tc>
          <w:tcPr>
            <w:tcW w:w="17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4"/>
              </w:rPr>
              <w:t>Additional Information</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99"/>
              </w:rPr>
              <w:t>52</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180" w:type="dxa"/>
            <w:vAlign w:val="bottom"/>
            <w:tcBorders>
              <w:bottom w:val="single" w:sz="8" w:color="CCEEFF"/>
            </w:tcBorders>
            <w:shd w:val="clear" w:color="auto" w:fill="CCEEFF"/>
          </w:tcPr>
          <w:p>
            <w:pPr>
              <w:spacing w:after="0"/>
              <w:rPr>
                <w:sz w:val="18"/>
                <w:szCs w:val="18"/>
                <w:color w:val="auto"/>
              </w:rPr>
            </w:pPr>
          </w:p>
        </w:tc>
        <w:tc>
          <w:tcPr>
            <w:tcW w:w="5040" w:type="dxa"/>
            <w:vAlign w:val="bottom"/>
            <w:tcBorders>
              <w:bottom w:val="single" w:sz="8" w:color="0000EE"/>
            </w:tcBorders>
            <w:gridSpan w:val="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SHAREHOLDERS’ RIGHTS TO CALL A GENERAL MEETING</w:t>
            </w:r>
          </w:p>
        </w:tc>
        <w:tc>
          <w:tcPr>
            <w:tcW w:w="1280" w:type="dxa"/>
            <w:vAlign w:val="bottom"/>
            <w:tcBorders>
              <w:bottom w:val="single" w:sz="8" w:color="CCEEFF"/>
            </w:tcBorders>
            <w:gridSpan w:val="2"/>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0000EE"/>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w w:val="99"/>
              </w:rPr>
              <w:t>52</w:t>
            </w: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63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SHAREHOLDER PROPOSALS FOR THE 2026 ANNUAL GENERAL MEETING</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99"/>
              </w:rPr>
              <w:t>53</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9"/>
        </w:trPr>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0000EE"/>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EE"/>
              </w:rPr>
              <w:t>OTHER MATTERS</w:t>
            </w:r>
          </w:p>
        </w:tc>
        <w:tc>
          <w:tcPr>
            <w:tcW w:w="380" w:type="dxa"/>
            <w:vAlign w:val="bottom"/>
            <w:tcBorders>
              <w:bottom w:val="single" w:sz="8" w:color="CCEEFF"/>
            </w:tcBorders>
            <w:gridSpan w:val="2"/>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23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gridSpan w:val="4"/>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53</w:t>
            </w: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29"/>
        </w:trPr>
        <w:tc>
          <w:tcPr>
            <w:tcW w:w="180" w:type="dxa"/>
            <w:vAlign w:val="bottom"/>
          </w:tcPr>
          <w:p>
            <w:pPr>
              <w:spacing w:after="0"/>
              <w:rPr>
                <w:sz w:val="19"/>
                <w:szCs w:val="19"/>
                <w:color w:val="auto"/>
              </w:rPr>
            </w:pPr>
          </w:p>
        </w:tc>
        <w:tc>
          <w:tcPr>
            <w:tcW w:w="23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SOLICITATION OF PROXIES</w:t>
            </w:r>
          </w:p>
        </w:tc>
        <w:tc>
          <w:tcPr>
            <w:tcW w:w="2300" w:type="dxa"/>
            <w:vAlign w:val="bottom"/>
          </w:tcPr>
          <w:p>
            <w:pPr>
              <w:spacing w:after="0"/>
              <w:rPr>
                <w:sz w:val="19"/>
                <w:szCs w:val="19"/>
                <w:color w:val="auto"/>
              </w:rPr>
            </w:pPr>
          </w:p>
        </w:tc>
        <w:tc>
          <w:tcPr>
            <w:tcW w:w="1720" w:type="dxa"/>
            <w:vAlign w:val="bottom"/>
            <w:gridSpan w:val="4"/>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99"/>
              </w:rPr>
              <w:t>53</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9"/>
        </w:trPr>
        <w:tc>
          <w:tcPr>
            <w:tcW w:w="18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0000EE"/>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HOUSEHOLDING</w:t>
            </w:r>
          </w:p>
        </w:tc>
        <w:tc>
          <w:tcPr>
            <w:tcW w:w="440" w:type="dxa"/>
            <w:vAlign w:val="bottom"/>
            <w:tcBorders>
              <w:bottom w:val="single" w:sz="8" w:color="CCEEFF"/>
            </w:tcBorders>
            <w:gridSpan w:val="3"/>
            <w:shd w:val="clear" w:color="auto" w:fill="CCEEFF"/>
          </w:tcPr>
          <w:p>
            <w:pPr>
              <w:spacing w:after="0"/>
              <w:rPr>
                <w:sz w:val="19"/>
                <w:szCs w:val="19"/>
                <w:color w:val="auto"/>
              </w:rPr>
            </w:pPr>
          </w:p>
        </w:tc>
        <w:tc>
          <w:tcPr>
            <w:tcW w:w="2760" w:type="dxa"/>
            <w:vAlign w:val="bottom"/>
            <w:tcBorders>
              <w:bottom w:val="single" w:sz="8" w:color="CCEEFF"/>
            </w:tcBorders>
            <w:gridSpan w:val="2"/>
            <w:shd w:val="clear" w:color="auto" w:fill="CCEEFF"/>
          </w:tcPr>
          <w:p>
            <w:pPr>
              <w:spacing w:after="0"/>
              <w:rPr>
                <w:sz w:val="19"/>
                <w:szCs w:val="19"/>
                <w:color w:val="auto"/>
              </w:rPr>
            </w:pPr>
          </w:p>
        </w:tc>
        <w:tc>
          <w:tcPr>
            <w:tcW w:w="1720" w:type="dxa"/>
            <w:vAlign w:val="bottom"/>
            <w:tcBorders>
              <w:bottom w:val="single" w:sz="8" w:color="CCEEFF"/>
            </w:tcBorders>
            <w:gridSpan w:val="4"/>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54</w:t>
            </w: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29"/>
        </w:trPr>
        <w:tc>
          <w:tcPr>
            <w:tcW w:w="180" w:type="dxa"/>
            <w:vAlign w:val="bottom"/>
          </w:tcPr>
          <w:p>
            <w:pPr>
              <w:spacing w:after="0"/>
              <w:rPr>
                <w:sz w:val="19"/>
                <w:szCs w:val="19"/>
                <w:color w:val="auto"/>
              </w:rPr>
            </w:pPr>
          </w:p>
        </w:tc>
        <w:tc>
          <w:tcPr>
            <w:tcW w:w="46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VERONA PHARMA’S ANNUAL REPORT ON FORM 10-K</w:t>
            </w:r>
          </w:p>
        </w:tc>
        <w:tc>
          <w:tcPr>
            <w:tcW w:w="1720" w:type="dxa"/>
            <w:vAlign w:val="bottom"/>
            <w:gridSpan w:val="4"/>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99"/>
              </w:rPr>
              <w:t>54</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180" w:type="dxa"/>
            <w:vAlign w:val="bottom"/>
            <w:tcBorders>
              <w:bottom w:val="single" w:sz="8" w:color="CCEEFF"/>
            </w:tcBorders>
            <w:shd w:val="clear" w:color="auto" w:fill="CCEEFF"/>
          </w:tcPr>
          <w:p>
            <w:pPr>
              <w:spacing w:after="0"/>
              <w:rPr>
                <w:sz w:val="18"/>
                <w:szCs w:val="18"/>
                <w:color w:val="auto"/>
              </w:rPr>
            </w:pPr>
          </w:p>
        </w:tc>
        <w:tc>
          <w:tcPr>
            <w:tcW w:w="6380" w:type="dxa"/>
            <w:vAlign w:val="bottom"/>
            <w:tcBorders>
              <w:bottom w:val="single" w:sz="8" w:color="0000EE"/>
            </w:tcBorders>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U.K. STATUTORY ANNUAL ACCOUNTS AND REPORTS OF THE BOARD OF</w:t>
            </w:r>
          </w:p>
        </w:tc>
        <w:tc>
          <w:tcPr>
            <w:tcW w:w="1320" w:type="dxa"/>
            <w:vAlign w:val="bottom"/>
            <w:tcBorders>
              <w:bottom w:val="single" w:sz="8" w:color="CCEEFF"/>
            </w:tcBorders>
            <w:gridSpan w:val="3"/>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left w:val="single" w:sz="8" w:color="CCEEFF"/>
            </w:tcBorders>
          </w:tcPr>
          <w:p>
            <w:pPr>
              <w:spacing w:after="0"/>
              <w:rPr>
                <w:sz w:val="18"/>
                <w:szCs w:val="18"/>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900" w:type="dxa"/>
            <w:vAlign w:val="bottom"/>
            <w:tcBorders>
              <w:bottom w:val="single" w:sz="8" w:color="0000EE"/>
            </w:tcBorders>
            <w:gridSpan w:val="1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DIRECTORS AND AUDITORS OF VERONA PHARMA PLC FOR THE YEAR ENDED</w:t>
            </w:r>
          </w:p>
        </w:tc>
        <w:tc>
          <w:tcPr>
            <w:tcW w:w="620" w:type="dxa"/>
            <w:vAlign w:val="bottom"/>
            <w:tcBorders>
              <w:bottom w:val="single" w:sz="8" w:color="CCEEFF"/>
            </w:tcBorders>
            <w:gridSpan w:val="2"/>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left w:val="single" w:sz="8" w:color="CCEEFF"/>
            </w:tcBorders>
          </w:tcPr>
          <w:p>
            <w:pPr>
              <w:spacing w:after="0"/>
              <w:rPr>
                <w:sz w:val="17"/>
                <w:szCs w:val="17"/>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gridSpan w:val="5"/>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DECEMBER 31, 2024</w:t>
            </w:r>
          </w:p>
        </w:tc>
        <w:tc>
          <w:tcPr>
            <w:tcW w:w="5800" w:type="dxa"/>
            <w:vAlign w:val="bottom"/>
            <w:gridSpan w:val="9"/>
            <w:shd w:val="clear" w:color="auto" w:fill="CCEEFF"/>
          </w:tcPr>
          <w:p>
            <w:pPr>
              <w:spacing w:after="0"/>
              <w:rPr>
                <w:sz w:val="17"/>
                <w:szCs w:val="17"/>
                <w:color w:val="auto"/>
              </w:rPr>
            </w:pPr>
          </w:p>
        </w:tc>
        <w:tc>
          <w:tcPr>
            <w:tcW w:w="320" w:type="dxa"/>
            <w:vAlign w:val="bottom"/>
            <w:gridSpan w:val="3"/>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54</w:t>
            </w:r>
          </w:p>
        </w:tc>
        <w:tc>
          <w:tcPr>
            <w:tcW w:w="40" w:type="dxa"/>
            <w:vAlign w:val="bottom"/>
            <w:tcBorders>
              <w:left w:val="single" w:sz="8" w:color="CCEEFF"/>
            </w:tcBorders>
          </w:tcPr>
          <w:p>
            <w:pPr>
              <w:spacing w:after="0" w:line="182" w:lineRule="exact"/>
              <w:rPr>
                <w:sz w:val="20"/>
                <w:szCs w:val="20"/>
                <w:color w:val="auto"/>
              </w:rPr>
            </w:pPr>
            <w:r>
              <w:rPr>
                <w:rFonts w:ascii="Times New Roman" w:cs="Times New Roman" w:eastAsia="Times New Roman" w:hAnsi="Times New Roman"/>
                <w:sz w:val="18"/>
                <w:szCs w:val="18"/>
                <w:color w:val="auto"/>
              </w:rPr>
              <w:t>​</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3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left w:val="single" w:sz="8" w:color="CCEEFF"/>
            </w:tcBorders>
          </w:tcPr>
          <w:p>
            <w:pPr>
              <w:spacing w:after="0"/>
              <w:rPr>
                <w:sz w:val="2"/>
                <w:szCs w:val="2"/>
                <w:color w:val="auto"/>
              </w:rPr>
            </w:pPr>
          </w:p>
        </w:tc>
      </w:tr>
      <w:tr>
        <w:trPr>
          <w:trHeight w:val="216"/>
        </w:trPr>
        <w:tc>
          <w:tcPr>
            <w:tcW w:w="788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EE"/>
                <w:w w:val="98"/>
              </w:rPr>
              <w:t>Annex A to Proxy Statement: U.K. Statutory Annual Accounts and Directors’ Report for the year ended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0000EE"/>
                <w:w w:val="94"/>
              </w:rPr>
              <w:t>December 31, 2024</w:t>
            </w:r>
          </w:p>
        </w:tc>
        <w:tc>
          <w:tcPr>
            <w:tcW w:w="6060" w:type="dxa"/>
            <w:vAlign w:val="bottom"/>
            <w:tcBorders>
              <w:top w:val="single" w:sz="8" w:color="0000EE"/>
            </w:tcBorders>
            <w:gridSpan w:val="12"/>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gridSpan w:val="4"/>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-2073910</wp:posOffset>
            </wp:positionV>
            <wp:extent cx="50063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06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b w:val="1"/>
          <w:bCs w:val="1"/>
          <w:color w:val="auto"/>
        </w:rPr>
        <w:t>Proxy Statement</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One Central Square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Cardiff, CF10 1FS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139"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We have sent you this proxy statement and the enclosed form of proxy because the Board of Directors (the “Board” or “Board of Directors”) of Verona Pharma plc (referred to herein as the “Company”, “Verona”, “we”, “us” or “our”) is soliciting your proxy to vote at our 2025 Annual General Meeting of Shareholders (referred to herein as the “AGM”) to be held on Thursday, April 24, 2025 at 10:30 a.m. British Summer Time at the offices of Latham &amp; Watkins LLP at 99 Bishopsgate, London, EC2M 3XF, United Kingdom.</w:t>
      </w:r>
    </w:p>
    <w:p>
      <w:pPr>
        <w:spacing w:after="0" w:line="296" w:lineRule="exact"/>
        <w:rPr>
          <w:sz w:val="20"/>
          <w:szCs w:val="20"/>
          <w:color w:val="auto"/>
        </w:rPr>
      </w:pPr>
    </w:p>
    <w:p>
      <w:pPr>
        <w:ind w:left="1800" w:right="53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proxy statement summarizes information about the proposals to be considered at the AGM and other information you may find useful in determining how to vote.</w:t>
      </w:r>
    </w:p>
    <w:p>
      <w:pPr>
        <w:spacing w:after="0" w:line="5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proxy is the means by which you actually authorize another person to vote your shares in accordance with your instructions.</w:t>
      </w:r>
    </w:p>
    <w:p>
      <w:pPr>
        <w:spacing w:after="0" w:line="81"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In addition to solicitations by mail, our directors, officers and regular employees, without additional remuneration, may solicit proxies by telephone, e-mail and personal interviews. All costs of solicitation of proxies will be covered by us.</w:t>
      </w:r>
    </w:p>
    <w:p>
      <w:pPr>
        <w:spacing w:after="0" w:line="10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are mailing the Notice of AGM, this proxy statement and the form of proxy to our ordinary shareholders of record as of March 11, 2025 (being the latest practicable date before the circulation of this document) for the first time on or about March 21, 2025. In this mailing, we are also including our U.K. statutory annual accounts and reports for the year ended December 31, 2024 (“2024 U.K. Annual Report”), which is appended as Annex A to this proxy statement, and our annual report on Form 10-K for the year ended December 31, 2024 (“Annual Report on Form 10-K”). In addition, we have provided brokers, dealers, bankers, and their nominees, at our expense, with additional copies of our proxy materials, including the 2024 U.K. Annual Report, and the Annual Report on Form 10-K so that our record holders can supply these materials to the beneficial owners of our ordinary shares.</w:t>
      </w:r>
    </w:p>
    <w:p>
      <w:pPr>
        <w:spacing w:after="0" w:line="121"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While this document is being sent to our ordinary shareholders of record, this document will also be sent to registered holders of American Depositary Shares (“ADSs”) as of 5:00 p.m. Eastern Time on Tuesday, March 11, 2025 (the “ADS Record Date”) and contains information relevant to holders of ADSs.</w:t>
      </w:r>
    </w:p>
    <w:p>
      <w:pPr>
        <w:spacing w:after="0" w:line="17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ANNUAL GENERAL MEETING OF SHAREHOLDERS TO BE HELD ON APRIL 24, 2025</w:t>
      </w:r>
    </w:p>
    <w:p>
      <w:pPr>
        <w:spacing w:after="0" w:line="126"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Our Notice of AGM, this proxy statement, the Annual Report on Form 10-K, the 2024 U.K. Annual Report and our form of proxy (for ordinary shareholders) are available on our investor relations website located at </w:t>
      </w:r>
      <w:r>
        <w:rPr>
          <w:rFonts w:ascii="Times New Roman" w:cs="Times New Roman" w:eastAsia="Times New Roman" w:hAnsi="Times New Roman"/>
          <w:sz w:val="18"/>
          <w:szCs w:val="18"/>
          <w:i w:val="1"/>
          <w:iCs w:val="1"/>
          <w:color w:val="auto"/>
        </w:rPr>
        <w:t>www.veronapharma.com/investors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3 More London Riverside, London SE1 2RE,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b w:val="1"/>
          <w:bCs w:val="1"/>
          <w:color w:val="auto"/>
        </w:rPr>
        <w:t>Questions and Answers About the Annual General Meeting</w:t>
      </w:r>
    </w:p>
    <w:p>
      <w:pPr>
        <w:spacing w:after="0" w:line="2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WHY AM I RECEIVING THESE MATERIALS?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have sent you this proxy statement and the enclosed form of proxy because you are an ordinary</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shareholder of record and our Board of Directors is soliciting your proxy to vote at the AGM, including at</w:t>
      </w:r>
    </w:p>
    <w:p>
      <w:pPr>
        <w:ind w:left="1260"/>
        <w:spacing w:after="0"/>
        <w:rPr>
          <w:sz w:val="20"/>
          <w:szCs w:val="20"/>
          <w:color w:val="auto"/>
        </w:rPr>
      </w:pPr>
      <w:r>
        <w:rPr>
          <w:rFonts w:ascii="Times New Roman" w:cs="Times New Roman" w:eastAsia="Times New Roman" w:hAnsi="Times New Roman"/>
          <w:sz w:val="18"/>
          <w:szCs w:val="18"/>
          <w:color w:val="auto"/>
        </w:rPr>
        <w:t>any adjournments or postponements of the AGM. However, you do not need to attend the AGM to vote your</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shares. Instead, please simply complete, sign and return the enclosed form of proxy. All proxies, however</w:t>
      </w:r>
    </w:p>
    <w:p>
      <w:pPr>
        <w:ind w:left="1260"/>
        <w:spacing w:after="0" w:line="234" w:lineRule="auto"/>
        <w:rPr>
          <w:sz w:val="20"/>
          <w:szCs w:val="20"/>
          <w:color w:val="auto"/>
        </w:rPr>
      </w:pPr>
      <w:r>
        <w:rPr>
          <w:rFonts w:ascii="Times New Roman" w:cs="Times New Roman" w:eastAsia="Times New Roman" w:hAnsi="Times New Roman"/>
          <w:sz w:val="18"/>
          <w:szCs w:val="18"/>
          <w:color w:val="auto"/>
        </w:rPr>
        <w:t>submitted, must be received by the Company Secretary no later than 10:30 a.m. British Summer Time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(5:30 a.m. Eastern Time) on April 22, 2025, or if the AGM is adjourned, not later than 48 hours before the</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time fixed for the holding of the adjourned meeting (excluding any day which is not a working day).</w:t>
      </w:r>
    </w:p>
    <w:p>
      <w:pPr>
        <w:spacing w:after="0" w:line="126"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return of a completed form of proxy will not preclude you from attending in person at the AGM and voting should you wish to do so, but if you appoint a proxy and subsequently attend the AGM in person, the proxy appointment will be terminated, should you subsequently decide to do so.</w:t>
      </w:r>
    </w:p>
    <w:p>
      <w:pPr>
        <w:spacing w:after="0" w:line="109"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We intend to mail this proxy statement and the accompanying form of proxy on or about March 21, 2025 to all ordinary shareholders of record as of March 11, 2025 entitled to vote at the AGM.</w:t>
      </w:r>
    </w:p>
    <w:p>
      <w:pPr>
        <w:spacing w:after="0" w:line="81"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Materials for ADS holders of record, including this proxy statement, the Annual Report on Form 10-K, the 2024 U.K. Annual Report and an ADS voting instructions, will be mailed on or about March 21, 2025 to all ADS holders, including banks, brokers and nominees, who are registered as holders of ADSs in the ADS register as of 5:00 p.m. Eastern Time on the ADS Record Date. ADS voting instructions submitted by ADS holders must be received by Citibank, N.A. no later than 10:00 a.m. Eastern Time on April 17, 2025 (the “ADS Voting Cut-off Time”).</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WHO CAN VOTE AT THE AGM?</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Ordinary shareholders</w:t>
      </w:r>
    </w:p>
    <w:p>
      <w:pPr>
        <w:spacing w:after="0" w:line="148" w:lineRule="exact"/>
        <w:rPr>
          <w:sz w:val="20"/>
          <w:szCs w:val="20"/>
          <w:color w:val="auto"/>
        </w:rPr>
      </w:pPr>
    </w:p>
    <w:p>
      <w:pPr>
        <w:ind w:left="1260" w:right="599" w:firstLine="360"/>
        <w:spacing w:after="0" w:line="251" w:lineRule="auto"/>
        <w:rPr>
          <w:sz w:val="20"/>
          <w:szCs w:val="20"/>
          <w:color w:val="auto"/>
        </w:rPr>
      </w:pPr>
      <w:r>
        <w:rPr>
          <w:rFonts w:ascii="Times New Roman" w:cs="Times New Roman" w:eastAsia="Times New Roman" w:hAnsi="Times New Roman"/>
          <w:sz w:val="18"/>
          <w:szCs w:val="18"/>
          <w:color w:val="auto"/>
        </w:rPr>
        <w:t>Only shareholders holding voting ordinary shares of record registered in the register of members at 10:30 a.m. British Summer Time (5:30 a.m. Eastern Time) on April 22, 2025 will be entitled to vote at the AGM. Holders of non-voting ordinary shares have no right to receive notice of, or to attend or vote, at the AGM.</w:t>
      </w:r>
    </w:p>
    <w:p>
      <w:pPr>
        <w:spacing w:after="0" w:line="3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of March 11, 2025 (being the last practicable date before the circulation of this proxy statement)</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there were 632,885,126 ordinary shares issued and entitled to vote.</w:t>
      </w:r>
    </w:p>
    <w:p>
      <w:pPr>
        <w:spacing w:after="0" w:line="124" w:lineRule="exact"/>
        <w:rPr>
          <w:sz w:val="20"/>
          <w:szCs w:val="20"/>
          <w:color w:val="auto"/>
        </w:rPr>
      </w:pPr>
    </w:p>
    <w:p>
      <w:pPr>
        <w:ind w:left="1260" w:right="539" w:firstLine="360"/>
        <w:spacing w:after="0" w:line="251" w:lineRule="auto"/>
        <w:rPr>
          <w:sz w:val="20"/>
          <w:szCs w:val="20"/>
          <w:color w:val="auto"/>
        </w:rPr>
      </w:pPr>
      <w:r>
        <w:rPr>
          <w:rFonts w:ascii="Times New Roman" w:cs="Times New Roman" w:eastAsia="Times New Roman" w:hAnsi="Times New Roman"/>
          <w:sz w:val="18"/>
          <w:szCs w:val="18"/>
          <w:color w:val="auto"/>
        </w:rPr>
        <w:t>We encourage you to fill out and return the enclosed form of proxy to ensure your vote is counted. All proxies, however submitted, must be received by the Company Secretary no later than 10:30 a.m. British Summer Time (5:30 a.m. Eastern Time) on April 22, 2025, or if the AGM is adjourned, not later than 48 hours before the time fixed for the holding of the adjourned meeting (excluding any day which is not a working day).</w:t>
      </w:r>
    </w:p>
    <w:p>
      <w:pPr>
        <w:spacing w:after="0" w:line="322"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If you sell or transfer your ordinary shares in the Company on or prior to April 22, 2025, your form of proxy can no longer be used and if submitted (whether before or after you sell or transfer your ordinary shares) will be treated as invalid. Please pass this document to the person who arranged the sale or transfer for delivery to the purchaser or transferee. The purchaser or transferee should contact Ben Harber, Company Secretary, to request a new form of proxy for use.</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owners of ordinary shares that are registered in the name of a broker, bank or other agent</w:t>
      </w:r>
    </w:p>
    <w:p>
      <w:pPr>
        <w:spacing w:after="0" w:line="162"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A record holder holds shares in his or her name. Shares held in “street name” means shares that are held in the name of a bank or broker on a person’s behalf. If your shares are held by a bank or a brokerage firm, you are considered the “beneficial owner” of those shares held in “street name.”</w:t>
      </w:r>
    </w:p>
    <w:p>
      <w:pPr>
        <w:spacing w:after="0" w:line="102" w:lineRule="exact"/>
        <w:rPr>
          <w:sz w:val="20"/>
          <w:szCs w:val="20"/>
          <w:color w:val="auto"/>
        </w:rPr>
      </w:pPr>
    </w:p>
    <w:p>
      <w:pPr>
        <w:jc w:val="both"/>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If, on March 11, 2025, your ordinary shares were held in an account at a brokerage firm, bank or other similar organization and you are the beneficial owner of shares, these proxy materials should be forwarded to you by that organization. The organization holding your account is considered the shareholder of record</w:t>
      </w:r>
    </w:p>
    <w:p>
      <w:pPr>
        <w:spacing w:after="0" w:line="36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69" w:lineRule="auto"/>
        <w:rPr>
          <w:sz w:val="20"/>
          <w:szCs w:val="20"/>
          <w:color w:val="auto"/>
        </w:rPr>
      </w:pPr>
      <w:r>
        <w:rPr>
          <w:rFonts w:ascii="Times New Roman" w:cs="Times New Roman" w:eastAsia="Times New Roman" w:hAnsi="Times New Roman"/>
          <w:sz w:val="18"/>
          <w:szCs w:val="18"/>
          <w:color w:val="auto"/>
        </w:rPr>
        <w:t>for purposes of voting at the AGM. As the beneficial owner of voting ordinary shares, you have the right to direct your bank or brokerage firm how to vote your shares, and the bank or brokerage firm is required to vote your shares in accordance with your instructions. If your shares are held by a bank or brokerage firm, you may not vote your shares in person at the AGM, unless you obtain a legal proxy from your bank or brokerage firm. You are encouraged to provide voting instructions to your bank or brokerage firm so that they may submit a proxy.</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Holders of American Depositary Shares and beneficial owners of American Depositary Shares</w:t>
      </w:r>
    </w:p>
    <w:p>
      <w:pPr>
        <w:spacing w:after="0" w:line="162" w:lineRule="exact"/>
        <w:rPr>
          <w:sz w:val="20"/>
          <w:szCs w:val="20"/>
          <w:color w:val="auto"/>
        </w:rPr>
      </w:pPr>
    </w:p>
    <w:p>
      <w:pPr>
        <w:ind w:left="1260" w:right="639" w:firstLine="360"/>
        <w:spacing w:after="0" w:line="275" w:lineRule="auto"/>
        <w:rPr>
          <w:sz w:val="20"/>
          <w:szCs w:val="20"/>
          <w:color w:val="auto"/>
        </w:rPr>
      </w:pPr>
      <w:r>
        <w:rPr>
          <w:rFonts w:ascii="Times New Roman" w:cs="Times New Roman" w:eastAsia="Times New Roman" w:hAnsi="Times New Roman"/>
          <w:sz w:val="18"/>
          <w:szCs w:val="18"/>
          <w:color w:val="auto"/>
        </w:rPr>
        <w:t>You are entitled to exercise your vote as a holder of an interest in the capital of the Company represented by ADSs if you or your brokerage firm, bank or nominee is registered as a holder of ADSs in the ADS register maintained by Citibank, N.A. as of 5:00 p.m. Eastern Time on March 11, 2025, the ADS Record Date.</w:t>
      </w:r>
    </w:p>
    <w:p>
      <w:pPr>
        <w:spacing w:after="0" w:line="328" w:lineRule="exact"/>
        <w:rPr>
          <w:sz w:val="20"/>
          <w:szCs w:val="20"/>
          <w:color w:val="auto"/>
        </w:rPr>
      </w:pPr>
    </w:p>
    <w:p>
      <w:pPr>
        <w:ind w:left="1260" w:right="639" w:firstLine="360"/>
        <w:spacing w:after="0" w:line="271" w:lineRule="auto"/>
        <w:rPr>
          <w:sz w:val="20"/>
          <w:szCs w:val="20"/>
          <w:color w:val="auto"/>
        </w:rPr>
      </w:pPr>
      <w:r>
        <w:rPr>
          <w:rFonts w:ascii="Times New Roman" w:cs="Times New Roman" w:eastAsia="Times New Roman" w:hAnsi="Times New Roman"/>
          <w:sz w:val="18"/>
          <w:szCs w:val="18"/>
          <w:color w:val="auto"/>
        </w:rPr>
        <w:t>If you hold ADSs through a brokerage firm, bank or nominee on the ADS Record Date, the materials for ADS holders, including ADS voting instructions, will be sent to that organization. The organization holding your account is considered the ADS holder of record. Please reach out to that organization to provide your voting instructions.</w:t>
      </w:r>
    </w:p>
    <w:p>
      <w:pPr>
        <w:spacing w:after="0" w:line="10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Please note that ADS voting instructions submitted by ADS holders must be received by Citibank, N.A.</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later than 10:00 a.m. Eastern Time on April 17, 2025, the ADS Voting Cut-Off Time</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ind w:left="1260" w:right="499" w:firstLine="360"/>
        <w:spacing w:after="0" w:line="297" w:lineRule="auto"/>
        <w:rPr>
          <w:sz w:val="20"/>
          <w:szCs w:val="20"/>
          <w:color w:val="auto"/>
        </w:rPr>
      </w:pPr>
      <w:r>
        <w:rPr>
          <w:rFonts w:ascii="Times New Roman" w:cs="Times New Roman" w:eastAsia="Times New Roman" w:hAnsi="Times New Roman"/>
          <w:sz w:val="18"/>
          <w:szCs w:val="18"/>
          <w:color w:val="auto"/>
        </w:rPr>
        <w:t>Citibank, N.A. will collate all votes properly submitted by ADS holders and submit a vote on behalf of all ADS holders.</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Contacts for ADS holders</w:t>
      </w:r>
    </w:p>
    <w:p>
      <w:pPr>
        <w:spacing w:after="0" w:line="148" w:lineRule="exact"/>
        <w:rPr>
          <w:sz w:val="20"/>
          <w:szCs w:val="20"/>
          <w:color w:val="auto"/>
        </w:rPr>
      </w:pPr>
    </w:p>
    <w:p>
      <w:pPr>
        <w:ind w:left="1260" w:right="519" w:firstLine="360"/>
        <w:spacing w:after="0" w:line="271" w:lineRule="auto"/>
        <w:rPr>
          <w:sz w:val="20"/>
          <w:szCs w:val="20"/>
          <w:color w:val="auto"/>
        </w:rPr>
      </w:pPr>
      <w:r>
        <w:rPr>
          <w:rFonts w:ascii="Times New Roman" w:cs="Times New Roman" w:eastAsia="Times New Roman" w:hAnsi="Times New Roman"/>
          <w:sz w:val="18"/>
          <w:szCs w:val="18"/>
          <w:color w:val="auto"/>
        </w:rPr>
        <w:t>If you have queries about how you can deliver voting instructions, please contact Citibank, N.A. —  ADR Shareholder Services at tel: +1-877-248-4237 (toll free within the United States) or +1-781-575-4555 (for international callers) or by email: citibank@shareholders-online.com or at Citibank Shareholder Services, P.O. Box 43099, Providence, RI 02940-5000.</w:t>
      </w:r>
    </w:p>
    <w:p>
      <w:pPr>
        <w:spacing w:after="0" w:line="1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at any point you require guidance, please contact Verona Pharma General Counsel, on email:</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legal@veronapharma.com.</w:t>
      </w:r>
    </w:p>
    <w:p>
      <w:pPr>
        <w:spacing w:after="0" w:line="220" w:lineRule="exact"/>
        <w:rPr>
          <w:sz w:val="20"/>
          <w:szCs w:val="20"/>
          <w:color w:val="auto"/>
        </w:rPr>
      </w:pPr>
    </w:p>
    <w:p>
      <w:pPr>
        <w:ind w:left="1260" w:right="779"/>
        <w:spacing w:after="0" w:line="297" w:lineRule="auto"/>
        <w:rPr>
          <w:sz w:val="20"/>
          <w:szCs w:val="20"/>
          <w:color w:val="auto"/>
        </w:rPr>
      </w:pPr>
      <w:r>
        <w:rPr>
          <w:rFonts w:ascii="Times New Roman" w:cs="Times New Roman" w:eastAsia="Times New Roman" w:hAnsi="Times New Roman"/>
          <w:sz w:val="18"/>
          <w:szCs w:val="18"/>
          <w:color w:val="auto"/>
        </w:rPr>
        <w:t>WHAT ARE THE REQUIREMENTS TO ELECT THE DIRECTORS AND APPROVE EACH OF THE PROPOSALS?</w:t>
      </w:r>
    </w:p>
    <w:p>
      <w:pPr>
        <w:spacing w:after="0" w:line="82" w:lineRule="exact"/>
        <w:rPr>
          <w:sz w:val="20"/>
          <w:szCs w:val="20"/>
          <w:color w:val="auto"/>
        </w:rPr>
      </w:pPr>
    </w:p>
    <w:p>
      <w:pPr>
        <w:ind w:left="1260" w:right="559" w:firstLine="360"/>
        <w:spacing w:after="0" w:line="274" w:lineRule="auto"/>
        <w:rPr>
          <w:sz w:val="20"/>
          <w:szCs w:val="20"/>
          <w:color w:val="auto"/>
        </w:rPr>
      </w:pPr>
      <w:r>
        <w:rPr>
          <w:rFonts w:ascii="Times New Roman" w:cs="Times New Roman" w:eastAsia="Times New Roman" w:hAnsi="Times New Roman"/>
          <w:sz w:val="18"/>
          <w:szCs w:val="18"/>
          <w:color w:val="auto"/>
        </w:rPr>
        <w:t>The proposed resolutions will be put to vote on a poll. This results in a more accurate reflection of the views of shareholders ensuring that votes by proxy will be fully-counted. On a poll, each shareholder has one vote for every share held.</w:t>
      </w:r>
    </w:p>
    <w:p>
      <w:pPr>
        <w:spacing w:after="0" w:line="115" w:lineRule="exact"/>
        <w:rPr>
          <w:sz w:val="20"/>
          <w:szCs w:val="20"/>
          <w:color w:val="auto"/>
        </w:rPr>
      </w:pPr>
    </w:p>
    <w:p>
      <w:pPr>
        <w:ind w:left="1260" w:right="479" w:firstLine="360"/>
        <w:spacing w:after="0" w:line="267" w:lineRule="auto"/>
        <w:rPr>
          <w:sz w:val="20"/>
          <w:szCs w:val="20"/>
          <w:color w:val="auto"/>
        </w:rPr>
      </w:pPr>
      <w:r>
        <w:rPr>
          <w:rFonts w:ascii="Times New Roman" w:cs="Times New Roman" w:eastAsia="Times New Roman" w:hAnsi="Times New Roman"/>
          <w:sz w:val="18"/>
          <w:szCs w:val="18"/>
          <w:color w:val="auto"/>
        </w:rPr>
        <w:t>Proposals 1 to 9 are proposed as ordinary resolutions. On a poll, an ordinary resolution is passed if it is approved by holders representing a simple majority of the total voting rights of shareholders present (in person or by proxy) who (being entitled to vote) vote on the resolution. Proposal 10 is proposed as a special resolution. On a poll, a special resolution is passed if it is approved by holders representing not less than 75% of the total voting rights of shareholders present (in person or by proxy) who (being entitled to vote) vote on the resolution.</w:t>
      </w:r>
    </w:p>
    <w:p>
      <w:pPr>
        <w:spacing w:after="0" w:line="334" w:lineRule="exact"/>
        <w:rPr>
          <w:sz w:val="20"/>
          <w:szCs w:val="20"/>
          <w:color w:val="auto"/>
        </w:rPr>
      </w:pPr>
    </w:p>
    <w:p>
      <w:pPr>
        <w:ind w:left="1260" w:right="819" w:firstLine="360"/>
        <w:spacing w:after="0" w:line="268" w:lineRule="auto"/>
        <w:rPr>
          <w:sz w:val="20"/>
          <w:szCs w:val="20"/>
          <w:color w:val="auto"/>
        </w:rPr>
      </w:pPr>
      <w:r>
        <w:rPr>
          <w:rFonts w:ascii="Times New Roman" w:cs="Times New Roman" w:eastAsia="Times New Roman" w:hAnsi="Times New Roman"/>
          <w:sz w:val="18"/>
          <w:szCs w:val="18"/>
          <w:color w:val="auto"/>
        </w:rPr>
        <w:t>The results of the voting and any other information required by the U.K. Companies Act 2006 (the “Companies Act”) will be made available on our investor relations website located at</w:t>
      </w:r>
    </w:p>
    <w:p>
      <w:pPr>
        <w:spacing w:after="0" w:line="2" w:lineRule="exact"/>
        <w:rPr>
          <w:sz w:val="20"/>
          <w:szCs w:val="20"/>
          <w:color w:val="auto"/>
        </w:rPr>
      </w:pPr>
    </w:p>
    <w:p>
      <w:pPr>
        <w:ind w:left="1260" w:right="1059"/>
        <w:spacing w:after="0" w:line="276" w:lineRule="auto"/>
        <w:rPr>
          <w:sz w:val="20"/>
          <w:szCs w:val="20"/>
          <w:color w:val="auto"/>
        </w:rPr>
      </w:pPr>
      <w:r>
        <w:rPr>
          <w:rFonts w:ascii="Times New Roman" w:cs="Times New Roman" w:eastAsia="Times New Roman" w:hAnsi="Times New Roman"/>
          <w:sz w:val="18"/>
          <w:szCs w:val="18"/>
          <w:i w:val="1"/>
          <w:iCs w:val="1"/>
          <w:color w:val="auto"/>
        </w:rPr>
        <w:t>www.veronapharma.com/investors</w:t>
      </w:r>
      <w:r>
        <w:rPr>
          <w:rFonts w:ascii="Times New Roman" w:cs="Times New Roman" w:eastAsia="Times New Roman" w:hAnsi="Times New Roman"/>
          <w:sz w:val="18"/>
          <w:szCs w:val="18"/>
          <w:color w:val="auto"/>
        </w:rPr>
        <w:t>​ as soon as reasonably practicable following the AGM and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period thereafter.</w:t>
      </w:r>
    </w:p>
    <w:p>
      <w:pPr>
        <w:spacing w:after="0" w:line="181" w:lineRule="exact"/>
        <w:rPr>
          <w:sz w:val="20"/>
          <w:szCs w:val="20"/>
          <w:color w:val="auto"/>
        </w:rPr>
      </w:pPr>
    </w:p>
    <w:p>
      <w:pPr>
        <w:ind w:left="1260" w:right="659"/>
        <w:spacing w:after="0" w:line="282" w:lineRule="auto"/>
        <w:rPr>
          <w:sz w:val="20"/>
          <w:szCs w:val="20"/>
          <w:color w:val="auto"/>
        </w:rPr>
      </w:pPr>
      <w:r>
        <w:rPr>
          <w:rFonts w:ascii="Times New Roman" w:cs="Times New Roman" w:eastAsia="Times New Roman" w:hAnsi="Times New Roman"/>
          <w:sz w:val="18"/>
          <w:szCs w:val="18"/>
          <w:color w:val="auto"/>
        </w:rPr>
        <w:t>WHAT ARE THE VOTING RECOMMENDATIONS OF OUR BOARD REGARDING THE ELECTION OF DIRECTORS AND OTHER PROPOSALS?</w:t>
      </w:r>
    </w:p>
    <w:p>
      <w:pPr>
        <w:spacing w:after="0" w:line="81" w:lineRule="exact"/>
        <w:rPr>
          <w:sz w:val="20"/>
          <w:szCs w:val="20"/>
          <w:color w:val="auto"/>
        </w:rPr>
      </w:pPr>
    </w:p>
    <w:p>
      <w:pPr>
        <w:ind w:left="1260" w:right="819" w:firstLine="360"/>
        <w:spacing w:after="0" w:line="297" w:lineRule="auto"/>
        <w:rPr>
          <w:sz w:val="20"/>
          <w:szCs w:val="20"/>
          <w:color w:val="auto"/>
        </w:rPr>
      </w:pPr>
      <w:r>
        <w:rPr>
          <w:rFonts w:ascii="Times New Roman" w:cs="Times New Roman" w:eastAsia="Times New Roman" w:hAnsi="Times New Roman"/>
          <w:sz w:val="18"/>
          <w:szCs w:val="18"/>
          <w:color w:val="auto"/>
        </w:rPr>
        <w:t>The following table summarizes the items that will be brought for a vote of our shareholders at the AGM, along with the Board’s voting recommendations.</w:t>
      </w:r>
    </w:p>
    <w:p>
      <w:pPr>
        <w:sectPr>
          <w:pgSz w:w="11900" w:h="16838" w:orient="portrait"/>
          <w:cols w:equalWidth="0" w:num="1">
            <w:col w:w="9879"/>
          </w:cols>
          <w:pgMar w:left="580" w:top="97" w:right="1440" w:bottom="1440" w:gutter="0" w:footer="0" w:header="0"/>
        </w:sectPr>
      </w:pPr>
    </w:p>
    <w:p>
      <w:pPr>
        <w:spacing w:after="0" w:line="33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Board’s</w:t>
            </w:r>
          </w:p>
        </w:tc>
      </w:tr>
      <w:tr>
        <w:trPr>
          <w:trHeight w:val="214"/>
        </w:trPr>
        <w:tc>
          <w:tcPr>
            <w:tcW w:w="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200" w:type="dxa"/>
            <w:vAlign w:val="bottom"/>
          </w:tcPr>
          <w:p>
            <w:pPr>
              <w:spacing w:after="0"/>
              <w:rPr>
                <w:sz w:val="18"/>
                <w:szCs w:val="18"/>
                <w:color w:val="auto"/>
              </w:rPr>
            </w:pPr>
          </w:p>
        </w:tc>
        <w:tc>
          <w:tcPr>
            <w:tcW w:w="6140" w:type="dxa"/>
            <w:vAlign w:val="bottom"/>
          </w:tcPr>
          <w:p>
            <w:pPr>
              <w:ind w:left="2380"/>
              <w:spacing w:after="0"/>
              <w:rPr>
                <w:sz w:val="20"/>
                <w:szCs w:val="20"/>
                <w:color w:val="auto"/>
              </w:rPr>
            </w:pPr>
            <w:r>
              <w:rPr>
                <w:rFonts w:ascii="Times New Roman" w:cs="Times New Roman" w:eastAsia="Times New Roman" w:hAnsi="Times New Roman"/>
                <w:sz w:val="14"/>
                <w:szCs w:val="14"/>
                <w:b w:val="1"/>
                <w:bCs w:val="1"/>
                <w:color w:val="auto"/>
              </w:rPr>
              <w:t>Description of Proposal</w:t>
            </w:r>
          </w:p>
        </w:tc>
        <w:tc>
          <w:tcPr>
            <w:tcW w:w="220" w:type="dxa"/>
            <w:vAlign w:val="bottom"/>
          </w:tcPr>
          <w:p>
            <w:pPr>
              <w:spacing w:after="0"/>
              <w:rPr>
                <w:sz w:val="18"/>
                <w:szCs w:val="18"/>
                <w:color w:val="auto"/>
              </w:rPr>
            </w:pPr>
          </w:p>
        </w:tc>
        <w:tc>
          <w:tcPr>
            <w:tcW w:w="112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Recommendation </w:t>
            </w:r>
            <w:r>
              <w:rPr>
                <w:rFonts w:ascii="Times New Roman" w:cs="Times New Roman" w:eastAsia="Times New Roman" w:hAnsi="Times New Roman"/>
                <w:sz w:val="24"/>
                <w:szCs w:val="24"/>
                <w:b w:val="1"/>
                <w:bCs w:val="1"/>
                <w:color w:val="auto"/>
                <w:vertAlign w:val="subscript"/>
              </w:rPr>
              <w:t>​</w:t>
            </w:r>
          </w:p>
        </w:tc>
      </w:tr>
      <w:tr>
        <w:trPr>
          <w:trHeight w:val="250"/>
        </w:trPr>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1"/>
                <w:szCs w:val="21"/>
                <w:color w:val="auto"/>
              </w:rPr>
            </w:pPr>
          </w:p>
        </w:tc>
        <w:tc>
          <w:tcPr>
            <w:tcW w:w="6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To re-elect Dr. Kenneth Cunningham as a director of the Company</w:t>
            </w:r>
          </w:p>
        </w:tc>
        <w:tc>
          <w:tcPr>
            <w:tcW w:w="220" w:type="dxa"/>
            <w:vAlign w:val="bottom"/>
          </w:tcPr>
          <w:p>
            <w:pPr>
              <w:spacing w:after="0"/>
              <w:rPr>
                <w:sz w:val="21"/>
                <w:szCs w:val="21"/>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FOR</w:t>
            </w:r>
          </w:p>
        </w:tc>
        <w:tc>
          <w:tcPr>
            <w:tcW w:w="40" w:type="dxa"/>
            <w:vAlign w:val="bottom"/>
          </w:tcPr>
          <w:p>
            <w:pPr>
              <w:spacing w:after="0"/>
              <w:rPr>
                <w:sz w:val="21"/>
                <w:szCs w:val="21"/>
                <w:color w:val="auto"/>
              </w:rPr>
            </w:pPr>
          </w:p>
        </w:tc>
      </w:tr>
      <w:tr>
        <w:trPr>
          <w:trHeight w:val="365"/>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 re-elect Mr. Vikas Sinha as a director of the Company</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4"/>
              </w:rPr>
              <w:t>FOR</w:t>
            </w:r>
          </w:p>
        </w:tc>
      </w:tr>
      <w:tr>
        <w:trPr>
          <w:trHeight w:val="36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 re-elect Mr. James Brady as a director of the Company</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4"/>
              </w:rPr>
              <w:t>FOR</w:t>
            </w:r>
          </w:p>
        </w:tc>
      </w:tr>
      <w:tr>
        <w:trPr>
          <w:trHeight w:val="36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 receive and adopt the 2024 U.K. Annual Report</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4"/>
              </w:rPr>
              <w:t>FOR</w:t>
            </w:r>
          </w:p>
        </w:tc>
      </w:tr>
      <w:tr>
        <w:trPr>
          <w:trHeight w:val="333"/>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 receive and approve, as a non-binding advisory resolution, the U.K. statutory</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4"/>
              </w:rPr>
              <w:t>FOR</w:t>
            </w:r>
          </w:p>
        </w:tc>
      </w:tr>
      <w:tr>
        <w:trPr>
          <w:trHeight w:val="234"/>
        </w:trPr>
        <w:tc>
          <w:tcPr>
            <w:tcW w:w="560" w:type="dxa"/>
            <w:vAlign w:val="bottom"/>
          </w:tcPr>
          <w:p>
            <w:pPr>
              <w:spacing w:after="0"/>
              <w:rPr>
                <w:sz w:val="20"/>
                <w:szCs w:val="20"/>
                <w:color w:val="auto"/>
              </w:rPr>
            </w:pP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Directors’ Remuneration Report</w:t>
            </w: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4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 re-appoint EY as the Company’s auditors, to hold office until the conclusion</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4"/>
              </w:rPr>
              <w:t>FOR</w:t>
            </w:r>
          </w:p>
        </w:tc>
      </w:tr>
      <w:tr>
        <w:trPr>
          <w:trHeight w:val="234"/>
        </w:trPr>
        <w:tc>
          <w:tcPr>
            <w:tcW w:w="560" w:type="dxa"/>
            <w:vAlign w:val="bottom"/>
          </w:tcPr>
          <w:p>
            <w:pPr>
              <w:spacing w:after="0"/>
              <w:rPr>
                <w:sz w:val="20"/>
                <w:szCs w:val="20"/>
                <w:color w:val="auto"/>
              </w:rPr>
            </w:pP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of the next annual general meeting of shareholders</w:t>
            </w: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4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 authorize the Audit and Risk Committee to determine the auditors’</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4"/>
              </w:rPr>
              <w:t>FOR</w:t>
            </w:r>
          </w:p>
        </w:tc>
      </w:tr>
      <w:tr>
        <w:trPr>
          <w:trHeight w:val="234"/>
        </w:trPr>
        <w:tc>
          <w:tcPr>
            <w:tcW w:w="560" w:type="dxa"/>
            <w:vAlign w:val="bottom"/>
          </w:tcPr>
          <w:p>
            <w:pPr>
              <w:spacing w:after="0"/>
              <w:rPr>
                <w:sz w:val="20"/>
                <w:szCs w:val="20"/>
                <w:color w:val="auto"/>
              </w:rPr>
            </w:pP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remuneration for the year ending December 31, 2025</w:t>
            </w: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4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 approve, on an advisory (non-binding) basis, the compensation of the</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4"/>
              </w:rPr>
              <w:t>FOR</w:t>
            </w:r>
          </w:p>
        </w:tc>
      </w:tr>
      <w:tr>
        <w:trPr>
          <w:trHeight w:val="234"/>
        </w:trPr>
        <w:tc>
          <w:tcPr>
            <w:tcW w:w="560" w:type="dxa"/>
            <w:vAlign w:val="bottom"/>
          </w:tcPr>
          <w:p>
            <w:pPr>
              <w:spacing w:after="0"/>
              <w:rPr>
                <w:sz w:val="20"/>
                <w:szCs w:val="20"/>
                <w:color w:val="auto"/>
              </w:rPr>
            </w:pP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Company’s named executive officers</w:t>
            </w: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4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 authorize the Board of Directors to exercise all the powers of the Company to</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4"/>
              </w:rPr>
              <w:t>FOR</w:t>
            </w:r>
          </w:p>
        </w:tc>
      </w:tr>
      <w:tr>
        <w:trPr>
          <w:trHeight w:val="216"/>
        </w:trPr>
        <w:tc>
          <w:tcPr>
            <w:tcW w:w="560" w:type="dxa"/>
            <w:vAlign w:val="bottom"/>
          </w:tcPr>
          <w:p>
            <w:pPr>
              <w:spacing w:after="0"/>
              <w:rPr>
                <w:sz w:val="18"/>
                <w:szCs w:val="18"/>
                <w:color w:val="auto"/>
              </w:rPr>
            </w:pP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allot shares in the Company or grant rights to subscribe for or to convert any</w:t>
            </w: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security into shares in the Company up to an aggregate nominal amount of</w:t>
            </w: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£7,031,895 (being up to a maximum of 140,637,892 shares representing 20% of</w:t>
            </w: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the Company’s existing ordinary share capital as at the close of business on</w:t>
            </w: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March 11, 2025 (being the latest practicable date prior to publication of this</w:t>
            </w: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560" w:type="dxa"/>
            <w:vAlign w:val="bottom"/>
          </w:tcPr>
          <w:p>
            <w:pPr>
              <w:spacing w:after="0"/>
              <w:rPr>
                <w:sz w:val="20"/>
                <w:szCs w:val="20"/>
                <w:color w:val="auto"/>
              </w:rPr>
            </w:pP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document))</w:t>
            </w: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4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 authorize the Board of Directors to allot equity securities for cash and/or to</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4"/>
              </w:rPr>
              <w:t>FOR</w:t>
            </w:r>
          </w:p>
        </w:tc>
      </w:tr>
      <w:tr>
        <w:trPr>
          <w:trHeight w:val="216"/>
        </w:trPr>
        <w:tc>
          <w:tcPr>
            <w:tcW w:w="560" w:type="dxa"/>
            <w:vAlign w:val="bottom"/>
          </w:tcPr>
          <w:p>
            <w:pPr>
              <w:spacing w:after="0"/>
              <w:rPr>
                <w:sz w:val="18"/>
                <w:szCs w:val="18"/>
                <w:color w:val="auto"/>
              </w:rPr>
            </w:pP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sell ordinary shares held by the Company as treasury shares for cash as if</w:t>
            </w: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560" w:type="dxa"/>
            <w:vAlign w:val="bottom"/>
          </w:tcPr>
          <w:p>
            <w:pPr>
              <w:spacing w:after="0"/>
              <w:rPr>
                <w:sz w:val="20"/>
                <w:szCs w:val="20"/>
                <w:color w:val="auto"/>
              </w:rPr>
            </w:pPr>
          </w:p>
        </w:tc>
        <w:tc>
          <w:tcPr>
            <w:tcW w:w="6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Section 561(1) of the Companies Act does not apply to any such allotment</w:t>
            </w: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WHAT CONSTITUTES A QUORUM?</w:t>
      </w:r>
    </w:p>
    <w:p>
      <w:pPr>
        <w:spacing w:after="0" w:line="158"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Under our Articles of Association, a quorum will be present if two shareholders of the Company entitled to vote are present in person or represented by proxy at the AGM. In addition, we will require a quorum of at least 33 1/3% in number of the issued shares (excluding any shares held as treasury shares) entitled to vote on the business to be transacted at the AGM, consistent with the Nasdaq Stock Market LLC (“Nasdaq”) rules applicable to us as a U.S. domestic registrant.</w:t>
      </w:r>
    </w:p>
    <w:p>
      <w:pPr>
        <w:spacing w:after="0" w:line="114"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If you are a shareholder of record of voting ordinary shares, your shares will be counted towards the quorum only if you are present in person or represented by proxy at the AGM. If you are a beneficial owner of voting ordinary shares held in an account at a brokerage firm, bank or other similar organization your shares will be counted towards the quorum if your broker or nominee submits a proxy for those shares and the proxy represents the holder at the AGM. If a form of proxy does not instruct the proxy how to vote or indicates “discretion” with respect to a proposal, the proxy will vote in accordance with the Board of Directors’ recommendations, and the member represented by that proxy at the AGM will be counted towards the quorum requirement. For any other resolution put to the AGM, the proxy may vote or abstain from voting as he or she sees fit. A member represented by a proxy at the AGM will be counted towards the quorum requirement even where the proxy abstains from voting.</w:t>
      </w:r>
    </w:p>
    <w:p>
      <w:pPr>
        <w:spacing w:after="0" w:line="118"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If there is no quorum, within 15 minutes from the time appointed for holding the AGM the AGM will stand adjourned to such time, date and place as may be fixed by the chairperson of the AGM.</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HOW DO I VOTE MY SHARES?</w:t>
      </w:r>
    </w:p>
    <w:p>
      <w:pPr>
        <w:spacing w:after="0" w:line="144"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If you are an ordinary “shareholder of record,” you may appoint a proxy to vote on your behalf by completing and signing the form of proxy and returning it in the envelope provided.</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All proxies must be received by the Company Secretary no later than 10:30 a.m. British Summer Time</w:t>
      </w:r>
    </w:p>
    <w:p>
      <w:pPr>
        <w:spacing w:after="0" w:line="27" w:lineRule="exact"/>
        <w:rPr>
          <w:sz w:val="20"/>
          <w:szCs w:val="20"/>
          <w:color w:val="auto"/>
        </w:rPr>
      </w:pPr>
    </w:p>
    <w:p>
      <w:pPr>
        <w:jc w:val="both"/>
        <w:ind w:left="1260" w:right="579"/>
        <w:spacing w:after="0" w:line="253" w:lineRule="auto"/>
        <w:rPr>
          <w:sz w:val="20"/>
          <w:szCs w:val="20"/>
          <w:color w:val="auto"/>
        </w:rPr>
      </w:pPr>
      <w:r>
        <w:rPr>
          <w:rFonts w:ascii="Times New Roman" w:cs="Times New Roman" w:eastAsia="Times New Roman" w:hAnsi="Times New Roman"/>
          <w:sz w:val="18"/>
          <w:szCs w:val="18"/>
          <w:color w:val="auto"/>
        </w:rPr>
        <w:t>(5:30 a.m. Eastern Time) on April 22, 2025, or if the AGM is adjourned, not later than 48 hours before the time fixed for the holding of the adjourned meeting (excluding any day which is not a working day). ADS voting instructions submitted by ADS holders must be received by Citibank, N.A. no later than 10:00 a.m. Eastern Time on April 17, 2025.</w:t>
      </w:r>
    </w:p>
    <w:p>
      <w:pPr>
        <w:spacing w:after="0" w:line="121" w:lineRule="exact"/>
        <w:rPr>
          <w:sz w:val="20"/>
          <w:szCs w:val="20"/>
          <w:color w:val="auto"/>
        </w:rPr>
      </w:pPr>
    </w:p>
    <w:p>
      <w:pPr>
        <w:jc w:val="both"/>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If you properly give instructions as to your proxy appointment by executing and returning a form of proxy and your proxy appointment is not subsequently revoked, your shares will be voted in accordance with your instructions.</w:t>
      </w:r>
    </w:p>
    <w:p>
      <w:pPr>
        <w:spacing w:after="0" w:line="108"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If your ordinary shares are held in an account at a brokerage firm, bank or similar organization, you should follow directions provided by your broker, bank or other nominee.</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HOW WILL MY SHARES BE VOTED IF I DO NOT SPECIFY HOW THEY SHOULD BE VOTED?</w:t>
      </w:r>
    </w:p>
    <w:p>
      <w:pPr>
        <w:spacing w:after="0" w:line="144"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If you sign and send your form of proxy, naming the Chairperson of the AGM as your proxy, but do not indicate how you want your shares to be voted, your shares will be voted in accordance with the Board of Directors’ recommendations. For any other resolution put to the AGM, the Chairperson of the AGM may vote or abstain from voting as he or she sees fit.</w:t>
      </w:r>
    </w:p>
    <w:p>
      <w:pPr>
        <w:spacing w:after="0" w:line="11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In accordance with the terms of the deposit agreement by and among the Company, Citibank, N.A. as depositary and holders and beneficial owners of ADSs issued thereunder dated as of May 2, 2017 (the “Deposit Agreement”), holders of ADSs as of 5:00 p.m. Eastern Time on the ADS Record Date who do not provide the depositary bank with voting instructions on or before the ADS Voting Cut-Off Time will be deemed to have instructed the depositary bank to give a discretionary proxy to a person designated by the Company to vote the underlying ordinary shares at the AGM, and such shares, if such discretionary proxy is given, will be voted in accordance with the Board of Directors’ recommendations, provided, however, that no such discretionary proxy shall be given by the Depositary with respect to any matter to be voted upon as to which the Company informs the Depositary that (a) the Company does not wish such proxy to be given,</w:t>
      </w:r>
    </w:p>
    <w:p>
      <w:pPr>
        <w:spacing w:after="0" w:line="6" w:lineRule="exact"/>
        <w:rPr>
          <w:sz w:val="20"/>
          <w:szCs w:val="20"/>
          <w:color w:val="auto"/>
        </w:rPr>
      </w:pPr>
    </w:p>
    <w:p>
      <w:pPr>
        <w:ind w:left="1260" w:right="999"/>
        <w:spacing w:after="0" w:line="260" w:lineRule="auto"/>
        <w:tabs>
          <w:tab w:leader="none" w:pos="152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opposition exists, or (c) the rights of holders of deposited securities under the Deposit Agreement may be adversely affected.</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CAN I CHANGE MY VOTE OR REVOKE A PROXY?</w:t>
      </w:r>
    </w:p>
    <w:p>
      <w:pPr>
        <w:spacing w:after="0" w:line="158"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A registered shareholder can revoke his or her proxy before the time of voting at the AGM in several ways by:</w:t>
      </w:r>
    </w:p>
    <w:p>
      <w:pPr>
        <w:spacing w:after="0" w:line="81" w:lineRule="exact"/>
        <w:rPr>
          <w:sz w:val="20"/>
          <w:szCs w:val="20"/>
          <w:color w:val="auto"/>
        </w:rPr>
      </w:pPr>
    </w:p>
    <w:p>
      <w:pPr>
        <w:ind w:left="1880" w:hanging="260"/>
        <w:spacing w:after="0"/>
        <w:tabs>
          <w:tab w:leader="none" w:pos="1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mailing a revised form of proxy dated later than the prior form of proxy;</w:t>
      </w:r>
    </w:p>
    <w:p>
      <w:pPr>
        <w:spacing w:after="0" w:line="157" w:lineRule="exact"/>
        <w:rPr>
          <w:rFonts w:ascii="Times New Roman" w:cs="Times New Roman" w:eastAsia="Times New Roman" w:hAnsi="Times New Roman"/>
          <w:sz w:val="18"/>
          <w:szCs w:val="18"/>
          <w:color w:val="auto"/>
        </w:rPr>
      </w:pPr>
    </w:p>
    <w:p>
      <w:pPr>
        <w:ind w:left="1260" w:right="439" w:firstLine="360"/>
        <w:spacing w:after="0" w:line="282" w:lineRule="auto"/>
        <w:tabs>
          <w:tab w:leader="none" w:pos="188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notifying our Company Secretary in writing that you are revoking your proxy. Your revocation must be received at our registered office (as noted above) before the AGM to be effective; or</w:t>
      </w:r>
    </w:p>
    <w:p>
      <w:pPr>
        <w:spacing w:after="0" w:line="94" w:lineRule="exact"/>
        <w:rPr>
          <w:rFonts w:ascii="Times New Roman" w:cs="Times New Roman" w:eastAsia="Times New Roman" w:hAnsi="Times New Roman"/>
          <w:sz w:val="18"/>
          <w:szCs w:val="18"/>
          <w:color w:val="auto"/>
        </w:rPr>
      </w:pPr>
    </w:p>
    <w:p>
      <w:pPr>
        <w:ind w:left="1880" w:hanging="260"/>
        <w:spacing w:after="0"/>
        <w:tabs>
          <w:tab w:leader="none" w:pos="1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revoking his or her proxy by voting in person at the AGM.</w:t>
      </w:r>
    </w:p>
    <w:p>
      <w:pPr>
        <w:spacing w:after="0" w:line="144" w:lineRule="exact"/>
        <w:rPr>
          <w:sz w:val="20"/>
          <w:szCs w:val="20"/>
          <w:color w:val="auto"/>
        </w:rPr>
      </w:pPr>
    </w:p>
    <w:p>
      <w:pPr>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If your ordinary shares are held in an account at a brokerage firm, bank or similar organization, to change or revoke your voting instructions you will need to contact the broker, bank or other nominee holding the shares. ADS holders may change or revoke their voting instructions by contacting Citibank, N.A. See also “What if I plan to attend the AGM?”</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WHO COUNTS THE VOTES?</w:t>
      </w:r>
    </w:p>
    <w:p>
      <w:pPr>
        <w:spacing w:after="0" w:line="158" w:lineRule="exact"/>
        <w:rPr>
          <w:sz w:val="20"/>
          <w:szCs w:val="20"/>
          <w:color w:val="auto"/>
        </w:rPr>
      </w:pPr>
    </w:p>
    <w:p>
      <w:pPr>
        <w:ind w:left="1260" w:right="479" w:firstLine="360"/>
        <w:spacing w:after="0" w:line="236" w:lineRule="auto"/>
        <w:rPr>
          <w:sz w:val="20"/>
          <w:szCs w:val="20"/>
          <w:color w:val="auto"/>
        </w:rPr>
      </w:pPr>
      <w:r>
        <w:rPr>
          <w:rFonts w:ascii="Times New Roman" w:cs="Times New Roman" w:eastAsia="Times New Roman" w:hAnsi="Times New Roman"/>
          <w:sz w:val="18"/>
          <w:szCs w:val="18"/>
          <w:color w:val="auto"/>
        </w:rPr>
        <w:t>Our Company Secretary will tabulate shareholder votes. If you are an ordinary shareholder of record, you can return your executed form of proxy to the Company Secretary, Verona Pharma plc, c/o Shakespeare Martineau LLP,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60 Gracechurch Street, London, EC3V 0HR by hand or by post, or by email to ben.harber@shma.co.uk in accordance with the instructions printed thereon for tabulation (see instructions on the form of proxy).</w:t>
      </w:r>
    </w:p>
    <w:p>
      <w:pPr>
        <w:spacing w:after="0" w:line="134"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If you hold your ordinary shares through a broker, your broker will return the form of proxy to the Company Secretary.</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If you are a holder of record of ADSs, you can return your executed ADS voting instructions to Citibank, N.A. for tabulation. If you hold your ADSs through a broker, bank or other organization, that organization can return the ADS voting instructions to Citibank, N.A. following your instruction. Citibank, N.A. will submit your votes to the Company Secretary for tabulation.</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HOW ARE VOTES COUNTED?</w:t>
      </w:r>
    </w:p>
    <w:p>
      <w:pPr>
        <w:spacing w:after="0" w:line="144"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Votes will be counted by the Company Secretary, who will separately count “for” and “against” votes, and “votes withheld”. A “vote withheld” is not a vote in law and represents a shareholder’s affirmative choice to decline to vote on a proposal. Votes withheld are counted as present and entitled to vote for purposes of determining a quorum. Votes withheld have no effect on the proposals.</w:t>
      </w:r>
    </w:p>
    <w:p>
      <w:pPr>
        <w:spacing w:after="0" w:line="110"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As described above, in accordance with the terms of the Deposit Agreement, holders of ADSs as of 5:00 p.m. Eastern Time on the ADS Record Date who do not provide the depositary bank with voting instructions on or before the ADS Voting Cut- Off Time will be deemed to have instructed the depositary bank to give a discretionary proxy to a person designated by the Company to vote the underlying ordinary shares at the AGM. Accordingly, we do not expect any broker non-votes on any of the proposals.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HOW MANY VOTES DO I HAVE?</w:t>
      </w:r>
    </w:p>
    <w:p>
      <w:pPr>
        <w:spacing w:after="0" w:line="158"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On a poll, each shareholder present in person or by proxy or, in the case of a corporation, by a duly authorized representative has one vote for each share held by the shareholder.</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WHAT IF I PLAN TO ATTEND THE AGM?</w:t>
      </w:r>
    </w:p>
    <w:p>
      <w:pPr>
        <w:spacing w:after="0" w:line="158"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Attendance at the AGM is limited to ordinary shareholders of record as of 10:30 a.m. British Summer Time (5:30 a.m. Eastern Time) on April 22, 2025. The AGM will be held on Thursday, April 24, 2025 at 10:30 a.m. British Summer Time at the offices of Latham &amp; Watkins LLP at 99 Bishopsgate, London, EC2M 3XF, United Kingdom. Record holders of ADSs who wish to attend the AGM must provide proof of ownership of ADSs as of the ADS Record Date, which can be obtained from Citibank, N.A. or your broker through which you hold ADSs. Record holders of ADSs who attend the AGM will not be able to vote at the AGM. To vote, record holders of ADSs should follow the voting procedures described above in “Who can vote at the AGM?”.</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HOW DO YOU SOLICIT PROXIES?</w:t>
      </w:r>
    </w:p>
    <w:p>
      <w:pPr>
        <w:spacing w:after="0" w:line="158"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We will solicit proxies and will bear the entire cost of this solicitation. The initial solicitation of proxies may be supplemented by additional mail communications and by telephone, fax, e-mail, internet and personal solicitation by our directors, officers or other employees. No additional compensation for soliciting proxies will be paid to our directors, officers or other employees for their proxy solicitation efforts. We also will reimburse Citibank, N.A. for their expenses in sending materials, including ADS voting instructions, to ADS holders of record.</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WHAT DO I DO IF I RECEIVE MORE THAN ONE NOTICE OR FORM OF PROXY?</w:t>
      </w:r>
    </w:p>
    <w:p>
      <w:pPr>
        <w:spacing w:after="0" w:line="158" w:lineRule="exact"/>
        <w:rPr>
          <w:sz w:val="20"/>
          <w:szCs w:val="20"/>
          <w:color w:val="auto"/>
        </w:rPr>
      </w:pPr>
    </w:p>
    <w:p>
      <w:pPr>
        <w:jc w:val="both"/>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If you hold your ordinary shares in more than one account, you will receive a form of proxy for each account. To ensure that all of your shares are voted, please sign, date and return all forms of proxy. Please be sure to vote all of your shares.</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WILL THERE BE ANY OTHER BUSINESS CONDUCTED AT THE AGM?</w:t>
      </w:r>
    </w:p>
    <w:p>
      <w:pPr>
        <w:spacing w:after="0" w:line="144" w:lineRule="exact"/>
        <w:rPr>
          <w:sz w:val="20"/>
          <w:szCs w:val="20"/>
          <w:color w:val="auto"/>
        </w:rPr>
      </w:pPr>
    </w:p>
    <w:p>
      <w:pPr>
        <w:jc w:val="both"/>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No. In accordance with our Articles of Association, no matters other than proposals 1 through 10 may be presented at the AGM. We have not been notified of, and our Board is not aware of, any other matters to be presented for action at the AGM.</w:t>
      </w:r>
    </w:p>
    <w:p>
      <w:pPr>
        <w:spacing w:after="0" w:line="1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HOW CAN I FIND OUT THE RESULTS OF THE VOTING AT THE AGM?</w:t>
      </w:r>
    </w:p>
    <w:p>
      <w:pPr>
        <w:spacing w:after="0" w:line="158"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Voting results will be announced by the filing of a Current Report on Form 8-K with the SEC within four business days after the AGM. If final voting results are unavailable at that time, we will file an amended Current Report on Form 8-K within four business days of the day the final results are available.</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b w:val="1"/>
          <w:bCs w:val="1"/>
          <w:color w:val="auto"/>
        </w:rPr>
        <w:t>Proposals to be Voted On</w:t>
      </w:r>
    </w:p>
    <w:p>
      <w:pPr>
        <w:spacing w:after="0" w:line="2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PROPOSAL 1.</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To re-elect Kenneth Cunningham, M.D. as a Director of the Company</w:t>
      </w:r>
    </w:p>
    <w:p>
      <w:pPr>
        <w:spacing w:after="0" w:line="139"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Kenneth Cunningham, M.D., 72, is currently a member of our Board of Directors and has been nominated for re-election as a director. If elected, he will hold office from the date of his election until such annual general meeting of shareholders where he must retire by rotation and offer himself for re-election in accordance with the Articles, or until his earlier death, resignation or removal. Dr. Cunningham has agreed to serve if elected, and we have no reason to believe that he will be unable to serve.</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Dr. Cunningham has served as a Non-Executive Director on our board of directors since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September 2015. Dr. Cunningham has over 30 years’ experience in the pharmaceutical industry including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leadership roles at several companies focused on developing respiratory medicines. Between 2006 and 2010,</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he was at SkyePharma plc (now part of Vectura Group plc), initially as Chief Operating Officer and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subsequently as Chief Executive Officer where he was involved in the late-stage development of flutiform®</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for asthma. Prior to that, he was the Chief Executive Officer of Arakis Ltd., a pharmaceutical company,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from 2001 to 2005, where he was involved in the early clinical development of glcopyrronium bromide,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now marketed as Seebri for chronic obstructive pulmonary disease. Earlier in his career, Dr. Cunningham</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held a variety of clinical development and commercial strategy roles at Glaxo Wellcome plc and Warner-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Lambert. Dr. Cunningham serves as Non-Executive Chairperson of the board of directors of Medherant Ltd.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Dr. Cunningham received a degree in medicine from St. Mary’s, Imperial College, London University. We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believe that Dr. Cunningham’s extensive leadership experience in the pharmaceutical industry qualifies him</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serve on our Board of Directors.</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VOTE REQUIRED</w:t>
      </w:r>
    </w:p>
    <w:p>
      <w:pPr>
        <w:spacing w:after="0" w:line="158"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RECOMMENDATION OF THE BOARD OF DIRECTORS</w:t>
      </w:r>
    </w:p>
    <w:p>
      <w:pPr>
        <w:spacing w:after="0" w:line="18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re-election of Kenneth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-116840</wp:posOffset>
            </wp:positionV>
            <wp:extent cx="145415"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5415" cy="163195"/>
                    </a:xfrm>
                    <a:prstGeom prst="rect">
                      <a:avLst/>
                    </a:prstGeom>
                    <a:noFill/>
                  </pic:spPr>
                </pic:pic>
              </a:graphicData>
            </a:graphic>
          </wp:anchor>
        </w:drawing>
      </w:r>
    </w:p>
    <w:p>
      <w:pPr>
        <w:spacing w:after="0" w:line="1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Cunningham, M.D. as a Director of the Company</w:t>
      </w:r>
    </w:p>
    <w:p>
      <w:pPr>
        <w:spacing w:after="0" w:line="2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PROPOSAL 2.</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To re-elect Vikas Sinha as a Director of the Company</w:t>
      </w:r>
    </w:p>
    <w:p>
      <w:pPr>
        <w:spacing w:after="0" w:line="139"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Vikas Sinha, 61, is currently a member of our Board of Directors and has been nominated for re-election as a director. If elected, he will hold office from the date of his election until such annual general meeting of shareholders where he must retire by rotation and offer himself for re-election in accordance with the Articles, or until his earlier death, resignation or removal. Mr. Sinha has agreed to serve if elected, and we have no reason to believe that he will be unable to serve.</w:t>
      </w:r>
    </w:p>
    <w:p>
      <w:pPr>
        <w:spacing w:after="0" w:line="116"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Mr. Sinha has served as a Non-Executive Director on our board of directors since September 2016. Mr. Sinha has over 20 years’ experience working in executive finance roles in the life sciences industry. Mr. Sinha is co-founder and Chief Financial Officer of ElevateBio, Inc, a holding company focused on building cell and gene therapy companies. He has served as President and Chief Financial Officer of AlloVir, Inc, an ElevateBio portfolio company from September 2018 to March 2025. From September 2005 to December 2016, Mr. Sinha was the Chief Financial Officer of Alexion Pharmaceuticals, Inc, a biotechnology company, where he was responsible for finance, business development, strategy, investor relations, and IT. Prior to joining Alexion, Mr. Sinha held various positions with Bayer AG in the U.S., Japan, Germany and Canada, including Vice President and Chief Financial Officer of Bayer Pharmaceuticals Corporation in the U.S. and Vice President and Chief Financial Officer of Bayer Yakuhin Ltd. in Japan. He has served as a member of the board of directors of AlloVir since January 2019, ElevateBio since February 2019,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8" w:lineRule="auto"/>
        <w:rPr>
          <w:sz w:val="20"/>
          <w:szCs w:val="20"/>
          <w:color w:val="auto"/>
        </w:rPr>
      </w:pPr>
      <w:r>
        <w:rPr>
          <w:rFonts w:ascii="Times New Roman" w:cs="Times New Roman" w:eastAsia="Times New Roman" w:hAnsi="Times New Roman"/>
          <w:sz w:val="18"/>
          <w:szCs w:val="18"/>
          <w:color w:val="auto"/>
        </w:rPr>
        <w:t>Orna Therapeutics since January 2025. Mr. Sinha holds a Bachelor of Commerce degree from Tribhuvan University and an M.B.A. from the Asian Institute of Management. He is also a qualified Chartered Accountant from the Institute of Chartered Accountants of India and a Certified Public Accountant in the U.S. We believe Mr. Sinha’s experience as a finance professional in the life science industry qualifies him to serve on our Board of Directors.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VOTE REQUIRED</w:t>
      </w:r>
    </w:p>
    <w:p>
      <w:pPr>
        <w:spacing w:after="0" w:line="158"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RECOMMENDATION OF THE BOARD OF DIRECTORS</w:t>
      </w:r>
    </w:p>
    <w:p>
      <w:pPr>
        <w:spacing w:after="0" w:line="181" w:lineRule="exact"/>
        <w:rPr>
          <w:sz w:val="20"/>
          <w:szCs w:val="20"/>
          <w:color w:val="auto"/>
        </w:rPr>
      </w:pPr>
    </w:p>
    <w:p>
      <w:pPr>
        <w:ind w:left="2560" w:right="57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re-election of Vikas Sinha as a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-298450</wp:posOffset>
            </wp:positionV>
            <wp:extent cx="145415"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5415" cy="163195"/>
                    </a:xfrm>
                    <a:prstGeom prst="rect">
                      <a:avLst/>
                    </a:prstGeom>
                    <a:noFill/>
                  </pic:spPr>
                </pic:pic>
              </a:graphicData>
            </a:graphic>
          </wp:anchor>
        </w:drawing>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PROPOSAL 3.</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To re-elect James Brady as a Director of the Company</w:t>
      </w:r>
    </w:p>
    <w:p>
      <w:pPr>
        <w:spacing w:after="0" w:line="139"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James Brady, 62, is currently a member of our Board of Directors and has been nominated for re-election as a director. If elected, he will hold office from the date of his election until such annual general meeting of shareholders where he must retire by rotation and offer himself for re-election in accordance with the Articles, or until his earlier death, resignation or removal. Mr. Brady has agreed to serve if elected, and we have no reason to believe that he will be unable to serve.</w:t>
      </w:r>
    </w:p>
    <w:p>
      <w:pPr>
        <w:spacing w:after="0" w:line="116"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Mr. Brady has served as a Non-Executive Director on our Board of Directors since March 2022. He most recently served as Chief Financial Officer of MedImmune, the biologics discovery and development division of AstraZeneca, from 2013 to 2018. During his tenure at MedImmune, biologics grew to represent more than half of the product development portfolio of AstraZeneca and five biologics were successfully brought to market. From 1988 to 2018, Mr. Brady served in multiple leadership roles of increasing responsibility for AstraZeneca prior to his retirement in 2018. His more than thirty years of progressive experience at AstraZeneca included successful national, regional and global finance roles in corporate operations, manufacturing, commercial, marketing, market access, audit, international business, and biologics discovery and development. Mr. Brady served on the board of directors of Panavance Therapeutics from 2021 to 2025. Mr. Brady is a Certified Public Accountant and previously worked at Arthur Andersen</w:t>
      </w:r>
    </w:p>
    <w:p>
      <w:pPr>
        <w:spacing w:after="0" w:line="5" w:lineRule="exact"/>
        <w:rPr>
          <w:sz w:val="20"/>
          <w:szCs w:val="20"/>
          <w:color w:val="auto"/>
        </w:rPr>
      </w:pPr>
    </w:p>
    <w:p>
      <w:pPr>
        <w:ind w:left="1260" w:right="599"/>
        <w:spacing w:after="0" w:line="255" w:lineRule="auto"/>
        <w:tabs>
          <w:tab w:leader="none" w:pos="14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He holds a B.S. in Accounting from Saint Joseph University and an MBA from Drexel University. We believe that Mr. Brady’s extensive experience in senior finance roles in the pharmaceutical industry qualifies him to serve on our Board of Directors.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VOTE REQUIRED</w:t>
      </w:r>
    </w:p>
    <w:p>
      <w:pPr>
        <w:spacing w:after="0" w:line="144"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RECOMMENDATION OF THE BOARD OF DIRECTORS</w:t>
      </w:r>
    </w:p>
    <w:p>
      <w:pPr>
        <w:spacing w:after="0" w:line="194" w:lineRule="exact"/>
        <w:rPr>
          <w:sz w:val="20"/>
          <w:szCs w:val="20"/>
          <w:color w:val="auto"/>
        </w:rPr>
      </w:pPr>
    </w:p>
    <w:p>
      <w:pPr>
        <w:ind w:left="2560" w:right="49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re-election of James Brady as a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-298450</wp:posOffset>
            </wp:positionV>
            <wp:extent cx="145415"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5415" cy="163195"/>
                    </a:xfrm>
                    <a:prstGeom prst="rect">
                      <a:avLst/>
                    </a:prstGeom>
                    <a:noFill/>
                  </pic:spPr>
                </pic:pic>
              </a:graphicData>
            </a:graphic>
          </wp:anchor>
        </w:drawing>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Board of Directors</w:t>
      </w:r>
    </w:p>
    <w:p>
      <w:pPr>
        <w:spacing w:after="0" w:line="148"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Our Board of Directors currently consists of eleven members, including one executive director and ten non-executive directors.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In accordance with our Articles of Association, one-third (or such number nearest to but not exceeding one-third) of the Company’s directors retire from office at every annual general meeting of shareholders. Retiring directors are eligible for re-election and, if no other director is elected to fill his or her position and the director is willing, shall be re-elected by default. The directors to retire at the annual general meeting in every year shall include (so far as necessary to obtain the number required) any director who wishes to retire and not to offer himself or herself for re-election. Any further directors to retire shall be the directors who have been longest in office since their last election. As between directors of equal seniority, the directors to retire shall in the absence of agreement be selected from among them by lot. Of the 11 directors subject to retirement by rotation, Kenneth Cunningham, M.D., Vikas Sinha, and James Brady will, on this occasion, retire from office and stand for re-election by our shareholders.</w:t>
      </w:r>
    </w:p>
    <w:p>
      <w:pPr>
        <w:spacing w:after="0" w:line="11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Having carried out an evaluation of the individual performance of each of Kenneth Cunningham, M.D., Vikas Sinha, and James Brady with the support of the Nomination and Corporate Governance Committee, our Board of Directors is satisfied that their performance continues to be effective and that they continue to demonstrate commitment to their roles. The Board of Directors considers that it is entirely appropriate for each of Kenneth Cunningham, M.D., Vikas Sinha, and James Brady to seek re-election at the AGM.</w:t>
      </w:r>
    </w:p>
    <w:p>
      <w:pPr>
        <w:spacing w:after="0" w:line="110"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Each of the above directors has been nominated for re-election and no other nominees for directors have been presented. Therefore, it is anticipated that following the AGM, if all of the above directors are re-elected, the Board of Directors will be comprised of eleven members, including one executive director and ten non-executive directors.</w:t>
      </w:r>
    </w:p>
    <w:p>
      <w:pPr>
        <w:spacing w:after="0" w:line="99"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directors as of the date of this proxy statement:</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Director Since</w:t>
            </w:r>
          </w:p>
        </w:tc>
        <w:tc>
          <w:tcPr>
            <w:tcW w:w="3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Position(s)</w:t>
            </w:r>
          </w:p>
        </w:tc>
      </w:tr>
      <w:tr>
        <w:trPr>
          <w:trHeight w:val="37"/>
        </w:trPr>
        <w:tc>
          <w:tcPr>
            <w:tcW w:w="31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120" w:type="dxa"/>
            <w:vAlign w:val="bottom"/>
            <w:tcBorders>
              <w:bottom w:val="single" w:sz="8" w:color="auto"/>
            </w:tcBorders>
          </w:tcPr>
          <w:p>
            <w:pPr>
              <w:spacing w:after="0"/>
              <w:rPr>
                <w:sz w:val="3"/>
                <w:szCs w:val="3"/>
                <w:color w:val="auto"/>
              </w:rPr>
            </w:pPr>
          </w:p>
        </w:tc>
      </w:tr>
      <w:tr>
        <w:trPr>
          <w:trHeight w:val="25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Zaccardelli, Pharm.D.</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Pr>
          <w:p>
            <w:pPr>
              <w:spacing w:after="0"/>
              <w:rPr>
                <w:sz w:val="21"/>
                <w:szCs w:val="21"/>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25"/>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Ebsworth, Ph.D.</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Pr>
          <w:p>
            <w:pPr>
              <w:spacing w:after="0"/>
              <w:rPr>
                <w:sz w:val="19"/>
                <w:szCs w:val="19"/>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Chairperson of the Board</w:t>
            </w:r>
          </w:p>
        </w:tc>
      </w:tr>
      <w:tr>
        <w:trPr>
          <w:trHeight w:val="234"/>
        </w:trPr>
        <w:tc>
          <w:tcPr>
            <w:tcW w:w="3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Directors</w:t>
            </w:r>
          </w:p>
        </w:tc>
      </w:tr>
      <w:tr>
        <w:trPr>
          <w:trHeight w:val="27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Christina Ackermann</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3"/>
                <w:szCs w:val="23"/>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57"/>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Austwick</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2"/>
                <w:szCs w:val="22"/>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56"/>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Brady</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2"/>
                <w:szCs w:val="22"/>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7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Kenneth Cunningham, M.D.</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Pr>
          <w:p>
            <w:pPr>
              <w:spacing w:after="0"/>
              <w:rPr>
                <w:sz w:val="23"/>
                <w:szCs w:val="23"/>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7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Lisa Deschamps</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23"/>
                <w:szCs w:val="23"/>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7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Martin Edwards, M.D.</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Pr>
          <w:p>
            <w:pPr>
              <w:spacing w:after="0"/>
              <w:rPr>
                <w:sz w:val="23"/>
                <w:szCs w:val="23"/>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7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Mahendra Shah, Ph.D.</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tcPr>
          <w:p>
            <w:pPr>
              <w:spacing w:after="0"/>
              <w:rPr>
                <w:sz w:val="23"/>
                <w:szCs w:val="23"/>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7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Vikas Sinha</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tcPr>
          <w:p>
            <w:pPr>
              <w:spacing w:after="0"/>
              <w:rPr>
                <w:sz w:val="23"/>
                <w:szCs w:val="23"/>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70"/>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Anders Ullman, M.D., Ph.D.</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tcPr>
          <w:p>
            <w:pPr>
              <w:spacing w:after="0"/>
              <w:rPr>
                <w:sz w:val="23"/>
                <w:szCs w:val="23"/>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Non-Executive Director</w:t>
            </w:r>
          </w:p>
        </w:tc>
      </w:tr>
    </w:tbl>
    <w:p>
      <w:pPr>
        <w:spacing w:after="0" w:line="1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Biographical information for Kenneth Cunningham, M.D., Vikas Sinha, and James Brady, nominees to</w:t>
      </w:r>
    </w:p>
    <w:p>
      <w:pPr>
        <w:spacing w:after="0" w:line="27" w:lineRule="exact"/>
        <w:rPr>
          <w:sz w:val="20"/>
          <w:szCs w:val="20"/>
          <w:color w:val="auto"/>
        </w:rPr>
      </w:pPr>
    </w:p>
    <w:p>
      <w:pPr>
        <w:ind w:left="1260" w:right="579"/>
        <w:spacing w:after="0" w:line="250" w:lineRule="auto"/>
        <w:rPr>
          <w:sz w:val="20"/>
          <w:szCs w:val="20"/>
          <w:color w:val="auto"/>
        </w:rPr>
      </w:pPr>
      <w:r>
        <w:rPr>
          <w:rFonts w:ascii="Times New Roman" w:cs="Times New Roman" w:eastAsia="Times New Roman" w:hAnsi="Times New Roman"/>
          <w:sz w:val="18"/>
          <w:szCs w:val="18"/>
          <w:color w:val="auto"/>
        </w:rPr>
        <w:t>our Board of Directors, is set forth in “</w:t>
      </w:r>
      <w:r>
        <w:rPr>
          <w:rFonts w:ascii="Times New Roman" w:cs="Times New Roman" w:eastAsia="Times New Roman" w:hAnsi="Times New Roman"/>
          <w:sz w:val="18"/>
          <w:szCs w:val="18"/>
          <w:i w:val="1"/>
          <w:iCs w:val="1"/>
          <w:color w:val="auto"/>
        </w:rPr>
        <w:t>Proposal 1 — To re-elect Kenneth Cunningham, M.D. as a Director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 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Proposal 2 — To re-elect Vikas Sinha as a Director of the 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Proposal 3 — To</w:t>
      </w:r>
    </w:p>
    <w:p>
      <w:pPr>
        <w:spacing w:after="0" w:line="1" w:lineRule="exact"/>
        <w:rPr>
          <w:sz w:val="20"/>
          <w:szCs w:val="20"/>
          <w:color w:val="auto"/>
        </w:rPr>
      </w:pPr>
    </w:p>
    <w:p>
      <w:pPr>
        <w:ind w:left="1260" w:right="639"/>
        <w:spacing w:after="0" w:line="260" w:lineRule="auto"/>
        <w:rPr>
          <w:sz w:val="20"/>
          <w:szCs w:val="20"/>
          <w:color w:val="auto"/>
        </w:rPr>
      </w:pPr>
      <w:r>
        <w:rPr>
          <w:rFonts w:ascii="Times New Roman" w:cs="Times New Roman" w:eastAsia="Times New Roman" w:hAnsi="Times New Roman"/>
          <w:sz w:val="18"/>
          <w:szCs w:val="18"/>
          <w:i w:val="1"/>
          <w:iCs w:val="1"/>
          <w:color w:val="auto"/>
        </w:rPr>
        <w:t>re-elect James Brady as a Director of the Company</w:t>
      </w:r>
      <w:r>
        <w:rPr>
          <w:rFonts w:ascii="Times New Roman" w:cs="Times New Roman" w:eastAsia="Times New Roman" w:hAnsi="Times New Roman"/>
          <w:sz w:val="18"/>
          <w:szCs w:val="18"/>
          <w:color w:val="auto"/>
        </w:rPr>
        <w:t>,” respectively. Biographical information for our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is set forth below under “</w:t>
      </w:r>
      <w:r>
        <w:rPr>
          <w:rFonts w:ascii="Times New Roman" w:cs="Times New Roman" w:eastAsia="Times New Roman" w:hAnsi="Times New Roman"/>
          <w:sz w:val="18"/>
          <w:szCs w:val="18"/>
          <w:i w:val="1"/>
          <w:iCs w:val="1"/>
          <w:color w:val="auto"/>
        </w:rPr>
        <w:t>Continuing Members of the Board of Directors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CONTINUING MEMBERS OF THE BOARD OF DIRECTORS</w:t>
      </w:r>
    </w:p>
    <w:p>
      <w:pPr>
        <w:spacing w:after="0" w:line="158"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Below is biographical information for those directors who are not standing for re-election at the AGM and who will continue on the Board of Directors following the AGM:</w:t>
      </w:r>
    </w:p>
    <w:p>
      <w:pPr>
        <w:spacing w:after="0" w:line="90"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Zaccardelli, Pharm.D. </w:t>
      </w:r>
      <w:r>
        <w:rPr>
          <w:rFonts w:ascii="Times New Roman" w:cs="Times New Roman" w:eastAsia="Times New Roman" w:hAnsi="Times New Roman"/>
          <w:sz w:val="18"/>
          <w:szCs w:val="18"/>
          <w:color w:val="auto"/>
        </w:rPr>
        <w:t>Dr. Zaccardelli has served as our President and Chief Executive Officer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our Board of Directors since February 2020. From 2018 until its acquisition by Swedish Orphan Biovitrum AB (“Sobi”) in November 2019, Dr. Zaccardelli served as President and CEO and on the board of directors of Dova Pharmaceuticals, a U.S. company developing therapeutics for rare diseases. Previously, he was Acting CEO and on the board of directors of Cempra, Inc., a pharmaceuticals company, from</w:t>
      </w:r>
    </w:p>
    <w:p>
      <w:pPr>
        <w:spacing w:after="0" w:line="35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3" w:lineRule="auto"/>
        <w:rPr>
          <w:sz w:val="20"/>
          <w:szCs w:val="20"/>
          <w:color w:val="auto"/>
        </w:rPr>
      </w:pPr>
      <w:r>
        <w:rPr>
          <w:rFonts w:ascii="Times New Roman" w:cs="Times New Roman" w:eastAsia="Times New Roman" w:hAnsi="Times New Roman"/>
          <w:sz w:val="18"/>
          <w:szCs w:val="18"/>
          <w:color w:val="auto"/>
        </w:rPr>
        <w:t>2016 until the company’s merger with Melinta Therapeutics in 2017, and he served on the board of directors of Melinta Therapeutics from 2017 to April 2020. From 2004 until 2016, Dr. Zaccardelli served in several senior management roles at United Therapeutics Corporation, a biotechnology company, including as Chief Operating Officer, Chief Manufacturing Officer and Executive Vice President, Pharmaceutical Development and Operations. Prior to United Therapeutics, he founded and led a start-up company focused on contract research positions and held a variety of clinical research positions at Burroughs Wellcome &amp; Co, a non-profit medical research organization, and pharmaceutical companies Glaxo Wellcome and Bausch &amp; Lomb Pharmaceutical. Dr. Zaccardelli received a Pharm.D. from the University of Michigan. We believe that</w:t>
      </w:r>
    </w:p>
    <w:p>
      <w:pPr>
        <w:spacing w:after="0" w:line="4" w:lineRule="exact"/>
        <w:rPr>
          <w:sz w:val="20"/>
          <w:szCs w:val="20"/>
          <w:color w:val="auto"/>
        </w:rPr>
      </w:pPr>
    </w:p>
    <w:p>
      <w:pPr>
        <w:ind w:left="1260" w:right="659"/>
        <w:spacing w:after="0" w:line="243" w:lineRule="auto"/>
        <w:rPr>
          <w:sz w:val="20"/>
          <w:szCs w:val="20"/>
          <w:color w:val="auto"/>
        </w:rPr>
      </w:pPr>
      <w:r>
        <w:rPr>
          <w:rFonts w:ascii="Times New Roman" w:cs="Times New Roman" w:eastAsia="Times New Roman" w:hAnsi="Times New Roman"/>
          <w:sz w:val="18"/>
          <w:szCs w:val="18"/>
          <w:color w:val="auto"/>
        </w:rPr>
        <w:t>Dr. Zaccardelli’s extensive leadership experience in the pharmaceutical industry qualifies him to serve on our Board of Directors.</w:t>
      </w:r>
    </w:p>
    <w:p>
      <w:pPr>
        <w:spacing w:after="0" w:line="11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Ebsworth, PhD. </w:t>
      </w:r>
      <w:r>
        <w:rPr>
          <w:rFonts w:ascii="Times New Roman" w:cs="Times New Roman" w:eastAsia="Times New Roman" w:hAnsi="Times New Roman"/>
          <w:sz w:val="18"/>
          <w:szCs w:val="18"/>
          <w:color w:val="auto"/>
        </w:rPr>
        <w:t>Dr. Ebsworth has served as the Non-Executive Chairperson of our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since December 2014. Dr. Ebsworth has served as a Visiting Professor at the University of Surrey Business School since April 2016. From 2009 to 2014, Dr. Ebsworth served as Chief Executive Officer of Vifor Pharma, the specialty pharma division of Galenica AG Group, a pharmaceutical wholesaler and retailer, and as a member of Galenica’s Executive Committee. In 2012, Dr. Ebsworth was also named as Chief Executive Officer of Galenica and as Chairperson of Galenica’s Executive Committee, positions he held until 2014. In his earlier career, Dr. Ebsworth worked with Bayer AG for over 19 years, heading the Canadian, North American and global pharmaceutical business. He also served as Chief Executive Officer of Oxford Glycosciences, a biotech company, listed on the London Stock Exchange and Nasdaq, which was acquired by Celltech plc (now part of UCB, a global biopharmaceutical company) in 2003. Dr. Ebsworth has served on the boards of directors of Sartorius AG since January 2020, Synlab AG since January 2021, and Actimed Theraepeutics Ltd. since 2019. Dr. Ebsworth received a B.Sc. and a Ph.D. in industrial relations from the University of Surrey. We believe that Dr. Ebsworth’s extensive experience in the pharmaceutical industry and his extensive leadership experience qualify him to serve on our Board of Directors.</w:t>
      </w:r>
    </w:p>
    <w:p>
      <w:pPr>
        <w:spacing w:after="0" w:line="117"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Anders Ullman, M.D., Ph.D. </w:t>
      </w:r>
      <w:r>
        <w:rPr>
          <w:rFonts w:ascii="Times New Roman" w:cs="Times New Roman" w:eastAsia="Times New Roman" w:hAnsi="Times New Roman"/>
          <w:sz w:val="18"/>
          <w:szCs w:val="18"/>
          <w:color w:val="auto"/>
        </w:rPr>
        <w:t>Dr. Ullman has served as a Non-Executive Director on our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since September 2015. From January 2022 to March 2023, Dr. Ullman served as Head of R&amp;D and Chief Medical Officer of Swedish Orphan Biovitrum AB (“Sobi”). Mr. Ullman has served on the board of directors of Sobi since May 2019. From September 2015 to December 2018, Dr. Ullman served as Head of the Chronic Obstructive Pulmonary Disease Centre at Sahlgrenska University Hospital, Sweden. From 2013 to 2014, he was Executive Vice President and Head of Research and Development in the BioScience business unit of Baxter International Inc., a healthcare company, which became Baxalta Inc. From 2007 to 2013, Dr. Ullman was Executive Vice President, Head of Research and Development at Nycomed Pharma Private Limited (now part of Takeda Pharmaceuticals Company Limited), where he led the development and approval of Daxas, the PDE4 inhibitor used to prevent COPD exacerbations. Earlier in his career, he held a number of roles in AstraZeneca. Dr. Ullman served on the board of directors of Pexa AB, a company that develops and commercializes respiratory medicine technology, from January 2016 to May 2018. Dr. Ullman received a M.D. and a Ph.D. in clinical pharmacology from the University of Gothenburg. We believe that Dr. Ullman’s extensive experience in the healthcare and pharmaceuticals industries qualify him to serve on our Board of Directors.</w:t>
      </w:r>
    </w:p>
    <w:p>
      <w:pPr>
        <w:spacing w:after="0" w:line="320"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Lisa Deschamps </w:t>
      </w:r>
      <w:r>
        <w:rPr>
          <w:rFonts w:ascii="Times New Roman" w:cs="Times New Roman" w:eastAsia="Times New Roman" w:hAnsi="Times New Roman"/>
          <w:sz w:val="18"/>
          <w:szCs w:val="18"/>
          <w:color w:val="auto"/>
        </w:rPr>
        <w:t>Ms. Deschamps has served as a Non-Executive Director on our Board of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March 2021. Ms. Deschamps has served as Chief Executive Officer and an executive board member of AviadoBIO, a private gene therapy company, since October 2021. From December 1995 to October 2021, Ms. Deschamps served in various roles at Novartis Pharmaceuticals, a global healthcare company, most recently from September 2019 to October 2021 as the Senior Vice President &amp; Chief Business Officer of AveXis, a biotechnology company that develops treatments for rare neurological genetic disorders, a subsidiary of Novartis and which was renamed Novartis Gene Therapies in September 2020, and from June 2017 to September 2019 as Worldwide Business Head Neuroscience of Novartis. Ms. Deschamps has an M.B.A. in General Management from NYU Stern School of Business and a B.B.A. in marketing from IONA College, Hagan School of Business. We believe that Ms. Deschamps’ extensive leadership experience in the healthcare industry qualifies her to serve on our Board of Directors.</w:t>
      </w:r>
    </w:p>
    <w:p>
      <w:pPr>
        <w:spacing w:after="0" w:line="115" w:lineRule="exact"/>
        <w:rPr>
          <w:sz w:val="20"/>
          <w:szCs w:val="20"/>
          <w:color w:val="auto"/>
        </w:rPr>
      </w:pPr>
    </w:p>
    <w:p>
      <w:pPr>
        <w:jc w:val="both"/>
        <w:ind w:left="1260" w:right="41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Mahendra Shah, Ph.D. </w:t>
      </w:r>
      <w:r>
        <w:rPr>
          <w:rFonts w:ascii="Times New Roman" w:cs="Times New Roman" w:eastAsia="Times New Roman" w:hAnsi="Times New Roman"/>
          <w:sz w:val="18"/>
          <w:szCs w:val="18"/>
          <w:color w:val="auto"/>
        </w:rPr>
        <w:t>Dr. Shah has served as a Non-Executive Director on our Board of Directors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July 2016. Dr. Shah was designated for appointment to our Board of Directors by funds affiliated with Vivo Capital, a healthcare investment firm, pursuant to a relationship agreement that we entered into</w:t>
      </w:r>
    </w:p>
    <w:p>
      <w:pPr>
        <w:sectPr>
          <w:pgSz w:w="11900" w:h="16838" w:orient="portrait"/>
          <w:cols w:equalWidth="0" w:num="1">
            <w:col w:w="9879"/>
          </w:cols>
          <w:pgMar w:left="580" w:top="97" w:right="1440" w:bottom="1440" w:gutter="0" w:footer="0" w:header="0"/>
        </w:sectPr>
      </w:pPr>
    </w:p>
    <w:p>
      <w:pPr>
        <w:spacing w:after="0" w:line="3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4" w:lineRule="auto"/>
        <w:rPr>
          <w:sz w:val="20"/>
          <w:szCs w:val="20"/>
          <w:color w:val="auto"/>
        </w:rPr>
      </w:pPr>
      <w:r>
        <w:rPr>
          <w:rFonts w:ascii="Times New Roman" w:cs="Times New Roman" w:eastAsia="Times New Roman" w:hAnsi="Times New Roman"/>
          <w:sz w:val="18"/>
          <w:szCs w:val="18"/>
          <w:color w:val="auto"/>
        </w:rPr>
        <w:t>with such funds in 2016. Although such agreement automatically terminated on the closing of the 2020 Private Placement, Dr. Shah continues to serve as a Non-Executive Director. Dr. Shah has served as a Senior Fellow of Vivo Capital since January 2021, where he previously served as Managing Director from 2010 to January 2021. Dr. Shah was also the founder and Executive Chair of Semnur Pharmaceuticals (acquired by Scilex Pharmaceuticals, Inc.), a specialty pharmaceutical company, until 2020. He previously served as a member of the board of directors of Impel NeuroPharma, Inc. from 2016 to 2023, Bolt Biotherapeutics from 2017 to 2024, and several other public and private companies in the biopharmaceutical and biotechnology industries. Dr. Shah received his Ph.D. in industrial pharmacy from St. John’s University and his Bachelor’s and Master’s Degrees in Pharmacy from L.M. College of Pharmacy in Gujarat, India. We believe Dr. Shah’s experience in the biomedical and pharmaceutical industries and his experience in serving on the boards of public and private companies qualify him to serve on our Board of Directors.</w:t>
      </w:r>
    </w:p>
    <w:p>
      <w:pPr>
        <w:spacing w:after="0" w:line="84"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Martin Edwards, M.D. </w:t>
      </w:r>
      <w:r>
        <w:rPr>
          <w:rFonts w:ascii="Times New Roman" w:cs="Times New Roman" w:eastAsia="Times New Roman" w:hAnsi="Times New Roman"/>
          <w:sz w:val="18"/>
          <w:szCs w:val="18"/>
          <w:color w:val="auto"/>
        </w:rPr>
        <w:t>Dr. Edwards has served as a Non-Executive Director on our Board of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April 2019. From 2003 to September 2020, Dr. Edwards held various positions at Novo Ventures, a life sciences investment firm, most recently as Senior Partner. Earlier in his career, he was Corporate VP and Global Head of Drug Development for Novo Nordisk, where he led all aspects of pre-clinical and clinical drug development. Dr. Edwards has served on the board of directors of Inozyme Pharma since September 2017, Site One Therapeutics since June 2024, and previously served on the boards of directors of KalVista Pharmaceuticals from July 2019 to October 2022, Reata Pharmaceuticals from August 2020 to September 2023, and Morphic Therapeutics from December 2020 to August 2024. Dr. Edwards trained in physiology and medicine at the University of Manchester. He is a Member of the Royal College of Physicians, a Member with distinction of the Royal College of General Practitioners, a Fellow of the Faculty of Pharmaceutical Medicine. He received his B.Sc. in physiology and MBChB in medicine from the University of Manchester and his M.B.A from the University of Warwick. We believe that Dr. Edwards’ extensive experience in the pharmaceuticals industry and his experience in serving on the boards of public and private companies qualify him to serve on our Board of Directors.</w:t>
      </w:r>
    </w:p>
    <w:p>
      <w:pPr>
        <w:spacing w:after="0" w:line="9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Christina Ackermann </w:t>
      </w:r>
      <w:r>
        <w:rPr>
          <w:rFonts w:ascii="Times New Roman" w:cs="Times New Roman" w:eastAsia="Times New Roman" w:hAnsi="Times New Roman"/>
          <w:sz w:val="18"/>
          <w:szCs w:val="18"/>
          <w:color w:val="auto"/>
        </w:rPr>
        <w:t>Ms. Ackermann has served as a Non-Executive Director on our Board of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September 2023. From 2016 to April 2023, Ms. Ackermann served in various roles at Bausch + Lomb Corporation, a global healthcare company, most recently as Executive Vice President, General Counsel and Global President Ophthalmic Pharmaceuticals from January 2022 to April 2023. Previously, Ms. Ackermann was part of the Novartis group of companies for 14 years where she served in various roles including Global Head, Legal and General Counsel of Alcon and Sandoz. Ms. Ackermann has served as a Non-Executive Director on the board of Oculis Holding AG since March 2023, and as Non-Executive Chairman of the Board of Virometix AG since September 2024, and previously served on the board of directors of Graybug Vision, Inc. from August 2021 to March 2023. Ms. Ackermann holds a Post Graduate Diploma in EC Competition Law from King’s College at the University of London, UK, and a LLB from Queen’s University, Kingston, Canada. We believe that Ms. Ackermann’s extensive experience in the pharmaceuticals industry and her experience in serving on the boards of public and private companies qualify her to serve on our Board of Directors.</w:t>
      </w:r>
    </w:p>
    <w:p>
      <w:pPr>
        <w:spacing w:after="0" w:line="307"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Austwick </w:t>
      </w:r>
      <w:r>
        <w:rPr>
          <w:rFonts w:ascii="Times New Roman" w:cs="Times New Roman" w:eastAsia="Times New Roman" w:hAnsi="Times New Roman"/>
          <w:sz w:val="18"/>
          <w:szCs w:val="18"/>
          <w:color w:val="auto"/>
        </w:rPr>
        <w:t>Mr. Austwick has served as a Non-Executive Director on our Board of Directors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February 2024. Mr. Austwick has served as Executive Vice President Global Commercial at New Amsterdam Pharma since July 2024. From June 2022 to November 2023, Mr. Austwick served as Chief Executive Officer of Vectura Group Ltd., a pharmaceutical company developing inhaled medicines. From September 2017 to June 2022, Mr. Austwick worked for Novartis Pharmaceuticals, a global health company, serving as General Manager Nordic Cluster from September 2020 to June 2022, and Global Head of Respiratory from 2017 to September 2020. Prior to that, from 2014 to 2017, Mr. Austwick served in various roles of increasing responsibility for AstraZeneca, including Vice President Global Inhaled Respiratory and Head of US Respiratory. Mr. Austwick received an M.Sc. in Information Management from The University of Hull and a B.Sc. in Management and Systems from City University, London. We believe that</w:t>
      </w:r>
    </w:p>
    <w:p>
      <w:pPr>
        <w:spacing w:after="0" w:line="6" w:lineRule="exact"/>
        <w:rPr>
          <w:sz w:val="20"/>
          <w:szCs w:val="20"/>
          <w:color w:val="auto"/>
        </w:rPr>
      </w:pPr>
    </w:p>
    <w:p>
      <w:pPr>
        <w:ind w:left="1260" w:right="619"/>
        <w:spacing w:after="0" w:line="245" w:lineRule="auto"/>
        <w:rPr>
          <w:sz w:val="20"/>
          <w:szCs w:val="20"/>
          <w:color w:val="auto"/>
        </w:rPr>
      </w:pPr>
      <w:r>
        <w:rPr>
          <w:rFonts w:ascii="Times New Roman" w:cs="Times New Roman" w:eastAsia="Times New Roman" w:hAnsi="Times New Roman"/>
          <w:sz w:val="18"/>
          <w:szCs w:val="18"/>
          <w:color w:val="auto"/>
        </w:rPr>
        <w:t>Mr. Austwick’s extensive experience in the healthcare and pharmaceuticals industries qualify him to serve on our Board of Directors.</w:t>
      </w:r>
    </w:p>
    <w:p>
      <w:pPr>
        <w:spacing w:after="0" w:line="14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PROPOSAL 4.</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To receive and adopt the 2024 U.K. Annual Report</w:t>
      </w:r>
    </w:p>
    <w:p>
      <w:pPr>
        <w:spacing w:after="0" w:line="124"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The Companies Act requires the directors of a public company to lay before the company in general meeting copies of the directors’ reports, the independent auditors’ report and the audited financial statements of the company in respect of each financial year.</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At the AGM, our Board of Directors will present our U.K. statutory annual accounts and Directors’ reports for the year ended December 31, 2024 and the report of the auditors thereon (the “2024 U.K. Annual Report”) . We will provide our shareholders with an opportunity to receive our 2024 U.K. Annual Report and to adopt it.</w:t>
      </w:r>
    </w:p>
    <w:p>
      <w:pPr>
        <w:spacing w:after="0" w:line="296"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In accordance with best practice, the Company proposes an ordinary resolution to receive and adopt the 2024 U.K. Annual Report.</w:t>
      </w:r>
    </w:p>
    <w:p>
      <w:pPr>
        <w:spacing w:after="0" w:line="81"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 xml:space="preserve">The 2024 U.K. Annual Report is appended as Annex A to this proxy statement and may also be found on our investor relations website located at </w:t>
      </w:r>
      <w:r>
        <w:rPr>
          <w:rFonts w:ascii="Times New Roman" w:cs="Times New Roman" w:eastAsia="Times New Roman" w:hAnsi="Times New Roman"/>
          <w:sz w:val="18"/>
          <w:szCs w:val="18"/>
          <w:i w:val="1"/>
          <w:iCs w:val="1"/>
          <w:color w:val="auto"/>
        </w:rPr>
        <w:t>www.veronapharma.com/investors</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VOTE REQUIRED</w:t>
      </w:r>
    </w:p>
    <w:p>
      <w:pPr>
        <w:spacing w:after="0" w:line="144"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1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RECOMMENDATION OF THE BOARD OF DIRECTORS</w:t>
      </w:r>
    </w:p>
    <w:p>
      <w:pPr>
        <w:spacing w:after="0" w:line="181" w:lineRule="exact"/>
        <w:rPr>
          <w:sz w:val="20"/>
          <w:szCs w:val="20"/>
          <w:color w:val="auto"/>
        </w:rPr>
      </w:pPr>
    </w:p>
    <w:p>
      <w:pPr>
        <w:ind w:left="2560" w:right="47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receipt and adoption of the 2024 U.K.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-298450</wp:posOffset>
            </wp:positionV>
            <wp:extent cx="145415"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5415" cy="163195"/>
                    </a:xfrm>
                    <a:prstGeom prst="rect">
                      <a:avLst/>
                    </a:prstGeom>
                    <a:noFill/>
                  </pic:spPr>
                </pic:pic>
              </a:graphicData>
            </a:graphic>
          </wp:anchor>
        </w:drawing>
      </w:r>
    </w:p>
    <w:p>
      <w:pPr>
        <w:spacing w:after="0" w:line="1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PROPOSAL 5.</w:t>
      </w:r>
    </w:p>
    <w:p>
      <w:pPr>
        <w:spacing w:after="0" w:line="27" w:lineRule="exact"/>
        <w:rPr>
          <w:sz w:val="20"/>
          <w:szCs w:val="20"/>
          <w:color w:val="auto"/>
        </w:rPr>
      </w:pPr>
    </w:p>
    <w:p>
      <w:pPr>
        <w:ind w:left="1260" w:right="599"/>
        <w:spacing w:after="0" w:line="245" w:lineRule="auto"/>
        <w:rPr>
          <w:sz w:val="20"/>
          <w:szCs w:val="20"/>
          <w:color w:val="auto"/>
        </w:rPr>
      </w:pPr>
      <w:r>
        <w:rPr>
          <w:rFonts w:ascii="Times New Roman" w:cs="Times New Roman" w:eastAsia="Times New Roman" w:hAnsi="Times New Roman"/>
          <w:sz w:val="18"/>
          <w:szCs w:val="18"/>
          <w:i w:val="1"/>
          <w:iCs w:val="1"/>
          <w:color w:val="auto"/>
        </w:rPr>
        <w:t>To receive and approve, as a non-binding advisory resolution, the U.K. statutory Directors’ Remuneration Report</w:t>
      </w:r>
    </w:p>
    <w:p>
      <w:pPr>
        <w:spacing w:after="0" w:line="113"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At the AGM, our Board of Directors will present our U.K. statutory Directors’ Remuneration Report for the year ended December 31, 2024, as set out on pages 21 to 43 of the 2024 U.K. Annual Report appended as Annex A to this proxy statement. The U.K. statutory Directors’ Remuneration Report includes the annual report on remuneration. This document describes in detail our remuneration policies and procedures and explains how these policies and procedures help to achieve our compensation objectives with regard to our directors and the retention of high-quality directors. Our Board of Directors and the Remuneration Committee of the Board of Directors (the “Remuneration Committee”) believe that the policies and procedures as articulated in the directors’ remuneration report are effective and that as a result of these policies and procedures we have and will continue to have high- quality directors. Our Board of Directors has approved and signed the report in accordance with English law.</w:t>
      </w:r>
    </w:p>
    <w:p>
      <w:pPr>
        <w:spacing w:after="0" w:line="105"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At the AGM, the shareholders will vote on the Directors’ Remuneration Report. This vote is advisory and non-binding. Although non-binding, our Board of Directors and Remuneration Committee will review and consider the voting results when making future decisions regarding our director remuneration program. Following the AGM, and as required under English law, the Directors’ Remuneration Report will be delivered to the U.K. Registrar of Companies.</w:t>
      </w:r>
    </w:p>
    <w:p>
      <w:pPr>
        <w:spacing w:after="0" w:line="1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VOTE REQUIRED</w:t>
      </w:r>
    </w:p>
    <w:p>
      <w:pPr>
        <w:spacing w:after="0" w:line="158"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1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RECOMMENDATION OF THE BOARD OF DIRECTORS</w:t>
      </w:r>
    </w:p>
    <w:p>
      <w:pPr>
        <w:spacing w:after="0" w:line="194" w:lineRule="exact"/>
        <w:rPr>
          <w:sz w:val="20"/>
          <w:szCs w:val="20"/>
          <w:color w:val="auto"/>
        </w:rPr>
      </w:pPr>
    </w:p>
    <w:p>
      <w:pPr>
        <w:ind w:left="2560" w:right="559"/>
        <w:spacing w:after="0" w:line="317" w:lineRule="auto"/>
        <w:rPr>
          <w:sz w:val="20"/>
          <w:szCs w:val="20"/>
          <w:color w:val="auto"/>
        </w:rPr>
      </w:pPr>
      <w:r>
        <w:rPr>
          <w:rFonts w:ascii="Times New Roman" w:cs="Times New Roman" w:eastAsia="Times New Roman" w:hAnsi="Times New Roman"/>
          <w:sz w:val="17"/>
          <w:szCs w:val="17"/>
          <w:b w:val="1"/>
          <w:bCs w:val="1"/>
          <w:color w:val="auto"/>
        </w:rPr>
        <w:t>The Board of Directors unanimously recommends a vote FOR the receipt and approval, as a non-binding advisory resolution, of the U.K. statutory Directors’ Remuneration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-313055</wp:posOffset>
            </wp:positionV>
            <wp:extent cx="145415"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5415" cy="163195"/>
                    </a:xfrm>
                    <a:prstGeom prst="rect">
                      <a:avLst/>
                    </a:prstGeom>
                    <a:noFill/>
                  </pic:spPr>
                </pic:pic>
              </a:graphicData>
            </a:graphic>
          </wp:anchor>
        </w:drawing>
      </w:r>
    </w:p>
    <w:p>
      <w:pPr>
        <w:spacing w:after="0" w:line="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PROPOSAL 6.</w:t>
      </w:r>
    </w:p>
    <w:p>
      <w:pPr>
        <w:spacing w:after="0" w:line="16" w:lineRule="exact"/>
        <w:rPr>
          <w:sz w:val="20"/>
          <w:szCs w:val="20"/>
          <w:color w:val="auto"/>
        </w:rPr>
      </w:pPr>
    </w:p>
    <w:p>
      <w:pPr>
        <w:ind w:left="1260" w:right="619"/>
        <w:spacing w:after="0" w:line="243" w:lineRule="auto"/>
        <w:rPr>
          <w:sz w:val="20"/>
          <w:szCs w:val="20"/>
          <w:color w:val="auto"/>
        </w:rPr>
      </w:pPr>
      <w:r>
        <w:rPr>
          <w:rFonts w:ascii="Times New Roman" w:cs="Times New Roman" w:eastAsia="Times New Roman" w:hAnsi="Times New Roman"/>
          <w:sz w:val="18"/>
          <w:szCs w:val="18"/>
          <w:i w:val="1"/>
          <w:iCs w:val="1"/>
          <w:color w:val="auto"/>
        </w:rPr>
        <w:t>To re-appoint EY as the Company’s auditors, to hold office until the conclusion of the next annual general meeting of shareholders</w:t>
      </w:r>
    </w:p>
    <w:p>
      <w:pPr>
        <w:spacing w:after="0" w:line="114"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At each meeting at which the accounts are laid before shareholders, the Company is required to appoint U.K. statutory auditors to serve until the next such meeting of shareholders. Proposal 6 seeks your</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70" w:lineRule="auto"/>
        <w:rPr>
          <w:sz w:val="20"/>
          <w:szCs w:val="20"/>
          <w:color w:val="auto"/>
        </w:rPr>
      </w:pPr>
      <w:r>
        <w:rPr>
          <w:rFonts w:ascii="Times New Roman" w:cs="Times New Roman" w:eastAsia="Times New Roman" w:hAnsi="Times New Roman"/>
          <w:sz w:val="18"/>
          <w:szCs w:val="18"/>
          <w:color w:val="auto"/>
        </w:rPr>
        <w:t>approval of the re-appointment of Ernst &amp; Young LLP (“EY”), to serve as our U.K. statutory auditor, to hold office until the conclusion of the next annual general meeting of shareholders. In the event this proposal does not receive approval by holders representing a simple majority of the total voting rights of shareholders present (in person or by proxy) who (being entitled to vote) vote on the proposal, the Board of Directors may appoint an auditor to fill the vacancy.</w:t>
      </w:r>
    </w:p>
    <w:p>
      <w:pPr>
        <w:spacing w:after="0" w:line="105" w:lineRule="exact"/>
        <w:rPr>
          <w:sz w:val="20"/>
          <w:szCs w:val="20"/>
          <w:color w:val="auto"/>
        </w:rPr>
      </w:pPr>
    </w:p>
    <w:p>
      <w:pPr>
        <w:jc w:val="both"/>
        <w:ind w:left="1260" w:right="499" w:firstLine="360"/>
        <w:spacing w:after="0" w:line="281" w:lineRule="auto"/>
        <w:rPr>
          <w:sz w:val="20"/>
          <w:szCs w:val="20"/>
          <w:color w:val="auto"/>
        </w:rPr>
      </w:pPr>
      <w:r>
        <w:rPr>
          <w:rFonts w:ascii="Times New Roman" w:cs="Times New Roman" w:eastAsia="Times New Roman" w:hAnsi="Times New Roman"/>
          <w:sz w:val="18"/>
          <w:szCs w:val="18"/>
          <w:color w:val="auto"/>
        </w:rPr>
        <w:t>EY has indicated its willingness to act as the Company’s auditors. A representative of EY is expected to be present at the AGM and will have an opportunity to make a statement if he or she desires to do so and to respond to appropriate questions from our shareholders.</w:t>
      </w:r>
    </w:p>
    <w:p>
      <w:pPr>
        <w:spacing w:after="0" w:line="1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CHANGES IN INDEPENDENT REGISTERED ACCOUNTING FIRM</w:t>
      </w:r>
    </w:p>
    <w:p>
      <w:pPr>
        <w:spacing w:after="0" w:line="158"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As previously disclosed, on December 14, 2023, the Audit and Risk Committee of the Board of Directors dismissed PricewaterhouseCoopers LLP (“PwC”) and approved the engagement of EY as the Company’s independent registered public accounting firm to audit the Company’s consolidated financial statements as of and for the fiscal year ending December 31, 2024, contingent upon the appointment of EY as the Company’s independent auditor by the Company’s shareholders at the 2024 Annual General Meeting. As previously disclosed, on April 26, 2024, the Company held its 2024 Annual General Meeting and the shareholders approved the appointment of EY as the Company’s independent auditor, to hold office until the conclusion of the 2025 Annual General Meeting.</w:t>
      </w:r>
    </w:p>
    <w:p>
      <w:pPr>
        <w:spacing w:after="0" w:line="129" w:lineRule="exact"/>
        <w:rPr>
          <w:sz w:val="20"/>
          <w:szCs w:val="20"/>
          <w:color w:val="auto"/>
        </w:rPr>
      </w:pPr>
    </w:p>
    <w:p>
      <w:pPr>
        <w:ind w:left="1260" w:right="619" w:firstLine="360"/>
        <w:spacing w:after="0" w:line="274" w:lineRule="auto"/>
        <w:rPr>
          <w:sz w:val="20"/>
          <w:szCs w:val="20"/>
          <w:color w:val="auto"/>
        </w:rPr>
      </w:pPr>
      <w:r>
        <w:rPr>
          <w:rFonts w:ascii="Times New Roman" w:cs="Times New Roman" w:eastAsia="Times New Roman" w:hAnsi="Times New Roman"/>
          <w:sz w:val="18"/>
          <w:szCs w:val="18"/>
          <w:color w:val="auto"/>
        </w:rPr>
        <w:t>The reports of PwC on the Company’s financial statements for each of the fiscal years ended December 31, 2022 and 2021 did not contain an adverse opinion or a disclaimer of opinion, nor were they qualified or modified as to uncertainty, audit scope or accounting principles.</w:t>
      </w:r>
    </w:p>
    <w:p>
      <w:pPr>
        <w:spacing w:after="0" w:line="101"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During the fiscal years ended December 31, 2022 and 2021, and in the subsequent interim period through December 14, 2023, there were no (i) “disagreements” (as​ that term is defined in Item 304(a)(1)(iv) of Regulation S-K) between the Company and PwC on any matter of accounting principles or practices, financial statement disclosure or auditing scope or procedures, which, if not resolved to the satisfaction of PwC, would have caused PwC to make reference to the matter in its report on the financial statements for such years, and (ii) no “reportable events” (as​ that term is described in Item 304(a)(1)(v) of Regulation S-K).</w:t>
      </w:r>
    </w:p>
    <w:p>
      <w:pPr>
        <w:spacing w:after="0" w:line="352" w:lineRule="exact"/>
        <w:rPr>
          <w:sz w:val="20"/>
          <w:szCs w:val="20"/>
          <w:color w:val="auto"/>
        </w:rPr>
      </w:pPr>
    </w:p>
    <w:p>
      <w:pPr>
        <w:ind w:left="1260" w:right="439" w:firstLine="360"/>
        <w:spacing w:after="0" w:line="271" w:lineRule="auto"/>
        <w:rPr>
          <w:sz w:val="20"/>
          <w:szCs w:val="20"/>
          <w:color w:val="auto"/>
        </w:rPr>
      </w:pPr>
      <w:r>
        <w:rPr>
          <w:rFonts w:ascii="Times New Roman" w:cs="Times New Roman" w:eastAsia="Times New Roman" w:hAnsi="Times New Roman"/>
          <w:sz w:val="18"/>
          <w:szCs w:val="18"/>
          <w:color w:val="auto"/>
        </w:rPr>
        <w:t>The Company provided PwC with a copy of the disclosures included in its Current Report on Form 8-K filed with the SEC on December 18, 2023 (the “Current Report”) and requested that PwC furnish a letter addressed to the Securities and Exchange Commission stating whether it agrees with the statements made in the Current Report. This letter was filed as Exhibit 16.1 to the Current Report.</w:t>
      </w:r>
    </w:p>
    <w:p>
      <w:pPr>
        <w:spacing w:after="0" w:line="105" w:lineRule="exact"/>
        <w:rPr>
          <w:sz w:val="20"/>
          <w:szCs w:val="20"/>
          <w:color w:val="auto"/>
        </w:rPr>
      </w:pPr>
    </w:p>
    <w:p>
      <w:pPr>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During the Company’s fiscal years ended December 31, 2022 and December 31, 2021, and the subsequent interim period from January 1, 2023 through December 14, 2023, neither the Company nor anyone acting on its behalf consulted with EY regarding either (i) the application of accounting principles to a specified transaction, either completed or proposed, or the type of audit opinion that might be rendered on the Company’s consolidated financial statements, and neither a written report nor oral advice was provided to the Company that EY concluded was an important factor considered by the Company in reaching a decision as to the accounting, auditing or financial reporting issue; or (ii) any matter that was either the subject of a “disagreement” (as​ defined in Item 304(a)(1)(iv) of Regulation S-K and the related instructions thereto) or a “reportable event” (as​ described in Item 304(a)(1)(v) of Regulation S-K).</w:t>
      </w:r>
    </w:p>
    <w:p>
      <w:pPr>
        <w:spacing w:after="0" w:line="1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VOTE REQUIRED</w:t>
      </w:r>
    </w:p>
    <w:p>
      <w:pPr>
        <w:spacing w:after="0" w:line="158"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RECOMMENDATION OF THE BOARD OF DIRECTORS</w:t>
      </w:r>
    </w:p>
    <w:p>
      <w:pPr>
        <w:spacing w:after="0" w:line="194" w:lineRule="exact"/>
        <w:rPr>
          <w:sz w:val="20"/>
          <w:szCs w:val="20"/>
          <w:color w:val="auto"/>
        </w:rPr>
      </w:pPr>
    </w:p>
    <w:p>
      <w:pPr>
        <w:ind w:left="2560" w:right="57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appointment of EY as the Company’s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-298450</wp:posOffset>
            </wp:positionV>
            <wp:extent cx="145415" cy="163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5415" cy="163195"/>
                    </a:xfrm>
                    <a:prstGeom prst="rect">
                      <a:avLst/>
                    </a:prstGeom>
                    <a:noFill/>
                  </pic:spPr>
                </pic:pic>
              </a:graphicData>
            </a:graphic>
          </wp:anchor>
        </w:drawing>
      </w:r>
    </w:p>
    <w:p>
      <w:pPr>
        <w:spacing w:after="0" w:line="1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Report of the Audit and Risk Committee of the Board of Directors</w:t>
      </w:r>
    </w:p>
    <w:p>
      <w:pPr>
        <w:spacing w:after="0" w:line="148"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The Audit and Risk Committee of the Board (“Audit and Risk Committee”) has reviewed the audited consolidated financial statements of Verona Pharma plc (the “Company”) for the fiscal year ended December 31, 2024 and has discussed these financial statements with management and the Company’s independent registered public accounting firm. The Audit and Risk Committee has also received from, and discussed with, the Company’s independent registered public accounting firm various communications that such independent registered public accounting firm is required to provide to the Audit and Risk Committee, including the matters required to be discussed by the applicable requirements of the Public Company Accounting Oversight Board (“PCAOB”) and the Securities and Exchange Commission.</w:t>
      </w:r>
    </w:p>
    <w:p>
      <w:pPr>
        <w:spacing w:after="0" w:line="112"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also provided the Audit and Risk Committee with a formal written statement required by PCAOB Rule 3526 (Communications with Audit Committees Concerning Independence) describing all relationships between the independent registered public accounting firm and the Company, including the disclosures required by the applicable requirements of the PCAOB regarding the independent registered public accounting firm’s communications with the Audit and Risk Committee concerning independence. In addition, the Audit and Risk Committee discussed with the independent registered public accounting firm its independence from the Company.</w:t>
      </w:r>
    </w:p>
    <w:p>
      <w:pPr>
        <w:spacing w:after="0" w:line="114"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color w:val="auto"/>
        </w:rPr>
        <w:t>Based on its discussions with management and the independent registered public accounting firm, and its review of the representations and information provided by management and the independent registered public accounting firm, the Audit and Risk Committee recommended to the Board of Directors that the audited consolidated financial statements be included in the Company’s Annual Report on Form 10-K for the fiscal year ended December 31, 2024.</w:t>
      </w:r>
    </w:p>
    <w:p>
      <w:pPr>
        <w:spacing w:after="0" w:line="1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Vikas Sinha (Chair)</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Christina Ackermann</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David Ebsworth, Ph.D .</w:t>
      </w:r>
    </w:p>
    <w:p>
      <w:pPr>
        <w:ind w:left="1260"/>
        <w:spacing w:after="0"/>
        <w:rPr>
          <w:sz w:val="20"/>
          <w:szCs w:val="20"/>
          <w:color w:val="auto"/>
        </w:rPr>
      </w:pPr>
      <w:r>
        <w:rPr>
          <w:rFonts w:ascii="Times New Roman" w:cs="Times New Roman" w:eastAsia="Times New Roman" w:hAnsi="Times New Roman"/>
          <w:sz w:val="18"/>
          <w:szCs w:val="18"/>
          <w:color w:val="auto"/>
        </w:rPr>
        <w:t>James Brady</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Independent Registered Public Accounting Firm Fees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Aggregate fees for professional services rendered by our independent registered public accounting</w:t>
      </w:r>
    </w:p>
    <w:p>
      <w:pPr>
        <w:spacing w:after="0" w:line="27" w:lineRule="exact"/>
        <w:rPr>
          <w:sz w:val="20"/>
          <w:szCs w:val="20"/>
          <w:color w:val="auto"/>
        </w:rPr>
      </w:pPr>
    </w:p>
    <w:p>
      <w:pPr>
        <w:ind w:left="1260" w:right="459"/>
        <w:spacing w:after="0" w:line="245" w:lineRule="auto"/>
        <w:rPr>
          <w:sz w:val="20"/>
          <w:szCs w:val="20"/>
          <w:color w:val="auto"/>
        </w:rPr>
      </w:pPr>
      <w:r>
        <w:rPr>
          <w:rFonts w:ascii="Times New Roman" w:cs="Times New Roman" w:eastAsia="Times New Roman" w:hAnsi="Times New Roman"/>
          <w:sz w:val="18"/>
          <w:szCs w:val="18"/>
          <w:color w:val="auto"/>
        </w:rPr>
        <w:t>firm, EY, for the year ended December 31, 2024, and our previous independent registered public accounting firm, PwC, for the year ended December 31, 2023 and 2024 are set forth in the table below.</w:t>
      </w:r>
    </w:p>
    <w:p>
      <w:pPr>
        <w:spacing w:after="0" w:line="133"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6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160" w:type="dxa"/>
            <w:vAlign w:val="bottom"/>
          </w:tcPr>
          <w:p>
            <w:pPr>
              <w:spacing w:after="0"/>
              <w:rPr>
                <w:sz w:val="16"/>
                <w:szCs w:val="16"/>
                <w:color w:val="auto"/>
              </w:rPr>
            </w:pP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10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gridSpan w:val="2"/>
          </w:tcPr>
          <w:p>
            <w:pPr>
              <w:spacing w:after="0"/>
              <w:rPr>
                <w:sz w:val="3"/>
                <w:szCs w:val="3"/>
                <w:color w:val="auto"/>
              </w:rPr>
            </w:pPr>
          </w:p>
        </w:tc>
      </w:tr>
      <w:tr>
        <w:trPr>
          <w:trHeight w:val="250"/>
        </w:trPr>
        <w:tc>
          <w:tcPr>
            <w:tcW w:w="63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​$1,286,000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​$1,058,000</w:t>
            </w:r>
          </w:p>
        </w:tc>
      </w:tr>
      <w:tr>
        <w:trPr>
          <w:trHeight w:val="257"/>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158,000</w:t>
            </w:r>
          </w:p>
        </w:tc>
      </w:tr>
      <w:tr>
        <w:trPr>
          <w:trHeight w:val="257"/>
        </w:trPr>
        <w:tc>
          <w:tcPr>
            <w:tcW w:w="63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190,000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60" w:type="dxa"/>
            <w:vAlign w:val="bottom"/>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97,000</w:t>
            </w:r>
          </w:p>
        </w:tc>
      </w:tr>
      <w:tr>
        <w:trPr>
          <w:trHeight w:val="20"/>
        </w:trPr>
        <w:tc>
          <w:tcPr>
            <w:tcW w:w="61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r>
      <w:tr>
        <w:trPr>
          <w:trHeight w:val="263"/>
        </w:trPr>
        <w:tc>
          <w:tcPr>
            <w:tcW w:w="63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1040" w:type="dxa"/>
            <w:vAlign w:val="bottom"/>
            <w:gridSpan w:val="3"/>
            <w:shd w:val="clear" w:color="auto" w:fill="CCEEFF"/>
          </w:tcPr>
          <w:p>
            <w:pPr>
              <w:jc w:val="right"/>
              <w:ind w:right="22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$1,476,000</w:t>
            </w:r>
          </w:p>
        </w:tc>
        <w:tc>
          <w:tcPr>
            <w:tcW w:w="820" w:type="dxa"/>
            <w:vAlign w:val="bottom"/>
            <w:gridSpan w:val="2"/>
            <w:shd w:val="clear" w:color="auto" w:fill="CCEEFF"/>
          </w:tcPr>
          <w:p>
            <w:pPr>
              <w:jc w:val="right"/>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1,313,000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-179070</wp:posOffset>
            </wp:positionV>
            <wp:extent cx="46888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-847725</wp:posOffset>
            </wp:positionV>
            <wp:extent cx="137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-847725</wp:posOffset>
            </wp:positionV>
            <wp:extent cx="137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Audit Fees</w:t>
      </w:r>
    </w:p>
    <w:p>
      <w:pPr>
        <w:spacing w:after="0" w:line="146"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For the years ended December 31, 2024 and December 31, 2023, Audit Fees consisted of fees for the audit of annual financial statements, statutory audits and the audit of internal control over financial reporting. The year ended December 31, 2024 also includes other fees for services that could only be reasonably provided by the Company’s auditor including consents and quarterly interim reviews.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Audit-Related Fees</w:t>
      </w:r>
    </w:p>
    <w:p>
      <w:pPr>
        <w:spacing w:after="0" w:line="160"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Audit-Related Fees consisted of fees for quarterly interim reviews.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Tax Fees</w:t>
      </w:r>
    </w:p>
    <w:p>
      <w:pPr>
        <w:spacing w:after="0" w:line="160"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Tax Fees consisted of transfer pricing services performed by EY prior to their engagement as the Company’s audit firm.</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All Other Fees</w:t>
      </w:r>
    </w:p>
    <w:p>
      <w:pPr>
        <w:spacing w:after="0" w:line="160"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“All Other Fees” consisted of fees related to capital markets-related services and technology fees provided by PwC.</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Audit and Risk Committee Pre-Approval Policy and Procedures</w:t>
      </w:r>
    </w:p>
    <w:p>
      <w:pPr>
        <w:spacing w:after="0" w:line="162"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The Audit and Risk Committee has adopted a policy (the “Pre-Approval Policy”) which sets forth the procedures and conditions pursuant to which audit and non-audit services proposed to be performed by the independent auditor may be pre-approved. The Pre-Approval Policy generally provides that we will not engage our independent registered public accounting firm to render any audit, audit-related, tax or permissible non-audit service unless the service is either (i) explicitly approved by the Audit and Risk Committee (“specific pre-approval”) or (ii) entered into pursuant to the pre-approval policies and procedures described in the Pre-Approval Policy (“general pre-approval”). Unless a type of service to be provided by EY has received general pre-approval under the Pre-Approval Policy, it requires specific pre-approval by the Audit and Risk Committee or by a designated member of the Audit and Risk Committee to whom the committee has delegated the authority to grant pre-approvals. Any proposed services exceeding pre-approved cost levels or budgeted amounts will also require specific pre-approval. For both types of pre-approval, the Audit and Risk Committee will consider whether such services are consistent with the SEC’s rules on auditor independence. The Audit and Risk Committee will also consider whether the independent auditor is best positioned to provide the most effective and efficient service, for reasons such as its familiarity with our business, people, culture, accounting systems, risk profile and other factors, and whether the service might enhance our ability to manage or control risk or improve audit quality. All such factors will be considered as a whole, and no one factor should necessarily be determinative. On an annual basis, the Audit and Risk Committee reviews and generally pre-approves the services (and related fee levels or budgeted amounts) that may be provided by our independent registered public accounting firm without first obtaining specific pre-approval from the Audit and Risk Committee. The Audit and Risk Committee may revise the list of general pre-approved services from time to time, based on subsequent determinations.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PROPOSAL 7.</w:t>
      </w:r>
    </w:p>
    <w:p>
      <w:pPr>
        <w:spacing w:after="0" w:line="27" w:lineRule="exact"/>
        <w:rPr>
          <w:sz w:val="20"/>
          <w:szCs w:val="20"/>
          <w:color w:val="auto"/>
        </w:rPr>
      </w:pPr>
    </w:p>
    <w:p>
      <w:pPr>
        <w:ind w:left="1260" w:right="819"/>
        <w:spacing w:after="0" w:line="245" w:lineRule="auto"/>
        <w:rPr>
          <w:sz w:val="20"/>
          <w:szCs w:val="20"/>
          <w:color w:val="auto"/>
        </w:rPr>
      </w:pPr>
      <w:r>
        <w:rPr>
          <w:rFonts w:ascii="Times New Roman" w:cs="Times New Roman" w:eastAsia="Times New Roman" w:hAnsi="Times New Roman"/>
          <w:sz w:val="18"/>
          <w:szCs w:val="18"/>
          <w:i w:val="1"/>
          <w:iCs w:val="1"/>
          <w:color w:val="auto"/>
        </w:rPr>
        <w:t>To authorize the Audit and Risk Committee to determine the auditors’ remuneration for the year ending December 31, 2025</w:t>
      </w:r>
    </w:p>
    <w:p>
      <w:pPr>
        <w:spacing w:after="0" w:line="113"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Proposal 7 authorizes the Audit and Risk Committee to determine our auditors’ remuneration for the fiscal year ending December 31, 2025. Fees for EY and our previous independent registered public accounting firm, PwC, in respect of the years ended December 31, 2024 and December 31, 2023, respectively, are set forth above under “Independent Registered Public Accounting Firm Fees.”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VOTE REQUIRED</w:t>
      </w:r>
    </w:p>
    <w:p>
      <w:pPr>
        <w:spacing w:after="0" w:line="144"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RECOMMENDATION OF THE BOARD OF DIRECTORS</w:t>
      </w:r>
    </w:p>
    <w:p>
      <w:pPr>
        <w:spacing w:after="0" w:line="194" w:lineRule="exact"/>
        <w:rPr>
          <w:sz w:val="20"/>
          <w:szCs w:val="20"/>
          <w:color w:val="auto"/>
        </w:rPr>
      </w:pPr>
    </w:p>
    <w:p>
      <w:pPr>
        <w:ind w:left="2560" w:right="479"/>
        <w:spacing w:after="0" w:line="317" w:lineRule="auto"/>
        <w:rPr>
          <w:sz w:val="20"/>
          <w:szCs w:val="20"/>
          <w:color w:val="auto"/>
        </w:rPr>
      </w:pPr>
      <w:r>
        <w:rPr>
          <w:rFonts w:ascii="Times New Roman" w:cs="Times New Roman" w:eastAsia="Times New Roman" w:hAnsi="Times New Roman"/>
          <w:sz w:val="17"/>
          <w:szCs w:val="17"/>
          <w:b w:val="1"/>
          <w:bCs w:val="1"/>
          <w:color w:val="auto"/>
        </w:rPr>
        <w:t>The Board of Directors unanimously recommends a vote FOR authorization of the Audit and Risk Committee to determine EY’s remuneration for the year ending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-313055</wp:posOffset>
            </wp:positionV>
            <wp:extent cx="145415" cy="162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5415" cy="162560"/>
                    </a:xfrm>
                    <a:prstGeom prst="rect">
                      <a:avLst/>
                    </a:prstGeom>
                    <a:noFill/>
                  </pic:spPr>
                </pic:pic>
              </a:graphicData>
            </a:graphic>
          </wp:anchor>
        </w:drawing>
      </w:r>
    </w:p>
    <w:p>
      <w:pPr>
        <w:spacing w:after="0" w:line="1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PROPOSAL 8.</w:t>
      </w:r>
    </w:p>
    <w:p>
      <w:pPr>
        <w:spacing w:after="0" w:line="27" w:lineRule="exact"/>
        <w:rPr>
          <w:sz w:val="20"/>
          <w:szCs w:val="20"/>
          <w:color w:val="auto"/>
        </w:rPr>
      </w:pPr>
    </w:p>
    <w:p>
      <w:pPr>
        <w:ind w:left="1260" w:right="959"/>
        <w:spacing w:after="0" w:line="245" w:lineRule="auto"/>
        <w:rPr>
          <w:sz w:val="20"/>
          <w:szCs w:val="20"/>
          <w:color w:val="auto"/>
        </w:rPr>
      </w:pPr>
      <w:r>
        <w:rPr>
          <w:rFonts w:ascii="Times New Roman" w:cs="Times New Roman" w:eastAsia="Times New Roman" w:hAnsi="Times New Roman"/>
          <w:sz w:val="18"/>
          <w:szCs w:val="18"/>
          <w:i w:val="1"/>
          <w:iCs w:val="1"/>
          <w:color w:val="auto"/>
        </w:rPr>
        <w:t>To approve, on an advisory (non-binding) basis, the compensation of the Company’s named executive officers</w:t>
      </w:r>
    </w:p>
    <w:p>
      <w:pPr>
        <w:spacing w:after="0" w:line="113"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In accordance with the Dodd-Frank Wall Street Reform and Consumer Protection Act of 2010 (the “Dodd-Frank Act”) and Rule 14a-21 under the Exchange Act, we request that our shareholders cast a</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7" w:lineRule="auto"/>
        <w:rPr>
          <w:sz w:val="20"/>
          <w:szCs w:val="20"/>
          <w:color w:val="auto"/>
        </w:rPr>
      </w:pPr>
      <w:r>
        <w:rPr>
          <w:rFonts w:ascii="Times New Roman" w:cs="Times New Roman" w:eastAsia="Times New Roman" w:hAnsi="Times New Roman"/>
          <w:sz w:val="18"/>
          <w:szCs w:val="18"/>
          <w:color w:val="auto"/>
        </w:rPr>
        <w:t>non-binding, advisory vote to approve the compensation of our named executive officers identified in the section titled “Compensation Discussion and Analysis” set forth below in this proxy statement. This proposal, commonly known as a “say-on-pay” proposal, gives our shareholders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Accordingly, we ask our shareholders to vote “FOR” the following resolution at the AGM:</w:t>
      </w:r>
    </w:p>
    <w:p>
      <w:pPr>
        <w:spacing w:after="0" w:line="158" w:lineRule="exact"/>
        <w:rPr>
          <w:sz w:val="20"/>
          <w:szCs w:val="20"/>
          <w:color w:val="auto"/>
        </w:rPr>
      </w:pPr>
    </w:p>
    <w:p>
      <w:pPr>
        <w:ind w:left="1980" w:right="479"/>
        <w:spacing w:after="0" w:line="250" w:lineRule="auto"/>
        <w:rPr>
          <w:sz w:val="20"/>
          <w:szCs w:val="20"/>
          <w:color w:val="auto"/>
        </w:rPr>
      </w:pPr>
      <w:r>
        <w:rPr>
          <w:rFonts w:ascii="Times New Roman" w:cs="Times New Roman" w:eastAsia="Times New Roman" w:hAnsi="Times New Roman"/>
          <w:sz w:val="18"/>
          <w:szCs w:val="18"/>
          <w:color w:val="auto"/>
        </w:rPr>
        <w:t>“RESOLVED, that the Company’s shareholders approve, by a non-binding advisory vote, the compensation of the named executive officers, as disclosed in the Company’s Proxy Statement for the 2025 Annual General Meeting pursuant to the compensation disclosure rules of the Securities and Exchange Commission, including the Compensation Discussion and Analysis.”</w:t>
      </w:r>
    </w:p>
    <w:p>
      <w:pPr>
        <w:spacing w:after="0" w:line="110"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We believe that our compensation programs and policies for the year ended December 31, 2024 were an effective incentive for the achievement of our goals, aligned with shareholders’ interest and are worthy of shareholder support. Additional details concerning how we structure our compensation programs to meet the objectives of our compensation program are provided in the section titled “Compensation Discussion and Analysis” set forth below in this proxy statement.</w:t>
      </w:r>
    </w:p>
    <w:p>
      <w:pPr>
        <w:spacing w:after="0" w:line="114" w:lineRule="exact"/>
        <w:rPr>
          <w:sz w:val="20"/>
          <w:szCs w:val="20"/>
          <w:color w:val="auto"/>
        </w:rPr>
      </w:pPr>
    </w:p>
    <w:p>
      <w:pPr>
        <w:ind w:left="1260" w:right="539" w:firstLine="360"/>
        <w:spacing w:after="0" w:line="242" w:lineRule="auto"/>
        <w:rPr>
          <w:sz w:val="20"/>
          <w:szCs w:val="20"/>
          <w:color w:val="auto"/>
        </w:rPr>
      </w:pPr>
      <w:r>
        <w:rPr>
          <w:rFonts w:ascii="Times New Roman" w:cs="Times New Roman" w:eastAsia="Times New Roman" w:hAnsi="Times New Roman"/>
          <w:sz w:val="18"/>
          <w:szCs w:val="18"/>
          <w:color w:val="auto"/>
        </w:rPr>
        <w:t>This vote is merely advisory and will not be binding upon us, our Board of Directors or our Remuneration Committee, nor will it create or imply any change in the duties of us, our Board of Directors or our Remuneration Committee. The Remuneration Committee will, however, take into account the outcome of the vote when considering future executive compensation decisions. The Board of Directors values constructive dialogue on executive compensation and other significant governance topics with our shareholders and encourages all shareholders to vote their shares on this important matter. At our 2023 annual general meeting of shareholders held on April 27, 2023, our shareholders recommended, on an advisory basis, that the shareholder vote on the compensation of our named executive officers occur every year. In light of the foregoing recommendation, our Board of Directors determined to hold a “say-on-pay” advisory vote every year. Accordingly, our next advisory say-on-pay vote (following the non-binding advisory vote at this AGM) is expected to occur at our 2026 annual general meeting of shareholders.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VOTE REQUIRED</w:t>
      </w:r>
    </w:p>
    <w:p>
      <w:pPr>
        <w:spacing w:after="0" w:line="158"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RECOMMENDATION OF THE BOARD OF DIRECTORS</w:t>
      </w:r>
    </w:p>
    <w:p>
      <w:pPr>
        <w:spacing w:after="0" w:line="194" w:lineRule="exact"/>
        <w:rPr>
          <w:sz w:val="20"/>
          <w:szCs w:val="20"/>
          <w:color w:val="auto"/>
        </w:rPr>
      </w:pPr>
    </w:p>
    <w:p>
      <w:pPr>
        <w:ind w:left="2560" w:right="619"/>
        <w:spacing w:after="0" w:line="317" w:lineRule="auto"/>
        <w:rPr>
          <w:sz w:val="20"/>
          <w:szCs w:val="20"/>
          <w:color w:val="auto"/>
        </w:rPr>
      </w:pPr>
      <w:r>
        <w:rPr>
          <w:rFonts w:ascii="Times New Roman" w:cs="Times New Roman" w:eastAsia="Times New Roman" w:hAnsi="Times New Roman"/>
          <w:sz w:val="17"/>
          <w:szCs w:val="17"/>
          <w:b w:val="1"/>
          <w:bCs w:val="1"/>
          <w:color w:val="auto"/>
        </w:rPr>
        <w:t>The Board of Directors unanimously recommends a vote FOR the approval, on an advisory (non-binding) basis, of the compensation of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-313055</wp:posOffset>
            </wp:positionV>
            <wp:extent cx="145415"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5415" cy="163195"/>
                    </a:xfrm>
                    <a:prstGeom prst="rect">
                      <a:avLst/>
                    </a:prstGeom>
                    <a:noFill/>
                  </pic:spPr>
                </pic:pic>
              </a:graphicData>
            </a:graphic>
          </wp:anchor>
        </w:drawing>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PROPOSAL 9.</w:t>
      </w:r>
    </w:p>
    <w:p>
      <w:pPr>
        <w:spacing w:after="0" w:line="16" w:lineRule="exact"/>
        <w:rPr>
          <w:sz w:val="20"/>
          <w:szCs w:val="20"/>
          <w:color w:val="auto"/>
        </w:rPr>
      </w:pPr>
    </w:p>
    <w:p>
      <w:pPr>
        <w:ind w:left="1260" w:right="539"/>
        <w:spacing w:after="0"/>
        <w:rPr>
          <w:sz w:val="20"/>
          <w:szCs w:val="20"/>
          <w:color w:val="auto"/>
        </w:rPr>
      </w:pPr>
      <w:r>
        <w:rPr>
          <w:rFonts w:ascii="Times New Roman" w:cs="Times New Roman" w:eastAsia="Times New Roman" w:hAnsi="Times New Roman"/>
          <w:sz w:val="18"/>
          <w:szCs w:val="18"/>
          <w:i w:val="1"/>
          <w:iCs w:val="1"/>
          <w:color w:val="auto"/>
        </w:rPr>
        <w:t>To authorize the Board of Directors to exercise all the powers of the Company to allot shares in the Company or grant rights to subscribe for or to convert any security into shares in the Company up to an aggregate nominal amount of £7,031,895 (being up to a maximum of 140,637,892 shares representing 20% of the Company’s existing ordinary share capital as at the close of business on March 11, 2025 (being the latest practicable date prior to publication of this document)).</w:t>
      </w:r>
    </w:p>
    <w:p>
      <w:pPr>
        <w:spacing w:after="0" w:line="120"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To authorize the Board of Directors generally and unconditionally for the purposes of Section 551 of the Companies Act to exercise all the powers of the Company to allot shares in the Company or grant rights to subscribe for or to convert any security into shares in the Company (“Rights”) up to an aggregate nominal amount of £7,031,895 (being up to a maximum of 140,637,892 shares representing 20% of the Company’s existing ordinary share capital as at the close of business on March 11, 2025 (being the latest practicable date prior to publication of this document)) to such persons at such times and upon such conditions as the directors may determine (subject to the Company’s Articles of Association).</w:t>
      </w: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This authority will replace any existing authorities to the extent not utilized at the date this resolution is passed and will, unless previously renewed, revoked or varied by the Company in general meeting, expire on June 1, 2026, provided that the Company may, at any time before such expiry, make an offer or enter into an agreement that would or might require shares to be allotted or Rights to be granted after such expiry and the Board of Directors may allot such shares or grant Rights pursuant to any such offer or agreement as if the authority conferred hereby had not expired.</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VOTE REQUIRED</w:t>
      </w:r>
    </w:p>
    <w:p>
      <w:pPr>
        <w:spacing w:after="0" w:line="158"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This proposal requires approval by holders representing a simple majority of the total voting rights of shareholders present (in person or by proxy) who (being entitled to vote) vote on the proposal. Withheld votes are not considered to be votes cast and, accordingly, will have no effect on the outcome of the vote on this proposal.</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RECOMMENDATION OF THE BOARD OF DIRECTORS</w:t>
      </w:r>
    </w:p>
    <w:p>
      <w:pPr>
        <w:spacing w:after="0" w:line="194" w:lineRule="exact"/>
        <w:rPr>
          <w:sz w:val="20"/>
          <w:szCs w:val="20"/>
          <w:color w:val="auto"/>
        </w:rPr>
      </w:pPr>
    </w:p>
    <w:p>
      <w:pPr>
        <w:ind w:left="2560" w:right="419"/>
        <w:spacing w:after="0" w:line="278" w:lineRule="auto"/>
        <w:rPr>
          <w:sz w:val="20"/>
          <w:szCs w:val="20"/>
          <w:color w:val="auto"/>
        </w:rPr>
      </w:pPr>
      <w:r>
        <w:rPr>
          <w:rFonts w:ascii="Times New Roman" w:cs="Times New Roman" w:eastAsia="Times New Roman" w:hAnsi="Times New Roman"/>
          <w:sz w:val="17"/>
          <w:szCs w:val="17"/>
          <w:b w:val="1"/>
          <w:bCs w:val="1"/>
          <w:color w:val="auto"/>
        </w:rPr>
        <w:t>The Board of Directors unanimously recommends a vote FOR the authorization of Directors to exercise all the powers to the Company to allot shares in the Company or grant Rights up to an aggregate nominal amount of £7,031,895 (being up to a maximum of 140,637,892 shares representing 20% of the Company’s existing ordinary share capital as at the close of business on March 11, 2025 (being the latest practicable date prior to publication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-704215</wp:posOffset>
            </wp:positionV>
            <wp:extent cx="145415" cy="162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5415" cy="162560"/>
                    </a:xfrm>
                    <a:prstGeom prst="rect">
                      <a:avLst/>
                    </a:prstGeom>
                    <a:noFill/>
                  </pic:spPr>
                </pic:pic>
              </a:graphicData>
            </a:graphic>
          </wp:anchor>
        </w:drawing>
      </w:r>
    </w:p>
    <w:p>
      <w:pPr>
        <w:spacing w:after="0" w:line="1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PROPOSAL 10.</w:t>
      </w:r>
    </w:p>
    <w:p>
      <w:pPr>
        <w:spacing w:after="0" w:line="27" w:lineRule="exact"/>
        <w:rPr>
          <w:sz w:val="20"/>
          <w:szCs w:val="20"/>
          <w:color w:val="auto"/>
        </w:rPr>
      </w:pPr>
    </w:p>
    <w:p>
      <w:pPr>
        <w:ind w:left="1260" w:right="499"/>
        <w:spacing w:after="0"/>
        <w:rPr>
          <w:sz w:val="20"/>
          <w:szCs w:val="20"/>
          <w:color w:val="auto"/>
        </w:rPr>
      </w:pPr>
      <w:r>
        <w:rPr>
          <w:rFonts w:ascii="Times New Roman" w:cs="Times New Roman" w:eastAsia="Times New Roman" w:hAnsi="Times New Roman"/>
          <w:sz w:val="18"/>
          <w:szCs w:val="18"/>
          <w:i w:val="1"/>
          <w:iCs w:val="1"/>
          <w:color w:val="auto"/>
        </w:rPr>
        <w:t>To authorize the Board of Directors to allot equity securities for cash and/or to sell ordinary shares held by the Company as treasury shares for cash as if Section 561(1) of the Companies Act does not apply to any such allotment</w:t>
      </w:r>
    </w:p>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a U.K.-incorporated company, the Company’s ordinary shareholders are entitled, under</w:t>
      </w:r>
    </w:p>
    <w:p>
      <w:pPr>
        <w:spacing w:after="0" w:line="27" w:lineRule="exact"/>
        <w:rPr>
          <w:sz w:val="20"/>
          <w:szCs w:val="20"/>
          <w:color w:val="auto"/>
        </w:rPr>
      </w:pPr>
    </w:p>
    <w:p>
      <w:pPr>
        <w:ind w:left="1260" w:right="459"/>
        <w:spacing w:after="0"/>
        <w:rPr>
          <w:sz w:val="20"/>
          <w:szCs w:val="20"/>
          <w:color w:val="auto"/>
        </w:rPr>
      </w:pPr>
      <w:r>
        <w:rPr>
          <w:rFonts w:ascii="Times New Roman" w:cs="Times New Roman" w:eastAsia="Times New Roman" w:hAnsi="Times New Roman"/>
          <w:sz w:val="18"/>
          <w:szCs w:val="18"/>
          <w:color w:val="auto"/>
        </w:rPr>
        <w:t>Section 561(1) of the Companies Act, to pre -emption rights, whereby, in the event that the Company wishes to allot new equity securities for cash, those securities must first be offered to existing shareholders in proportion to the number of ordinary shares they each hold before they can be offered to new shareholders.</w:t>
      </w:r>
    </w:p>
    <w:p>
      <w:pPr>
        <w:spacing w:after="0" w:line="117"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Subject to and conditioned upon the passing of Proposal 9 above, this Proposal 10 authorizes the Board of Directors pursuant to Section 570 and 573 of the Companies Act to allot equity securities (as defined in Section 560 of the Companies Act) for cash pursuant to the authority conferred by Proposal 9 above and/or to sell ordinary shares held by the Company as treasury shares for cash, as if Section 561(1) of the Companies Act did not apply to any such allotment or sale, provided that this power will be limited to the allotment of equity securities or sale of treasury shares up to an aggregate nominal amount of £7,031,895 (being up to a maximum of 140,637,892 shares representing 20% of the Company’s existing ordinary share capital as at the close of business on March 11, 2025 (being the latest practicable date prior to publication of this document)) , will replace any existing disapplication of Section 561 of the Companies Act to the extent not utilized at the date this resolution is passed and will expire on June 1, 2026, unless previously renewed, varied or revoked by the Company in general meeting, provided that the Company may, before such expiry, make an offer or agreement which would or might require shares in the Company or rights to be allotted or granted or treasury shares to be sold after this authority expires and that the Directors may allot shares in the Company or grant rights or sell treasury shares pursuant to such an offer or agreement as if the authority conferred by this resolution had not expired.</w:t>
      </w:r>
    </w:p>
    <w:p>
      <w:pPr>
        <w:spacing w:after="0" w:line="346"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The Board of Directors considers that, at this stage of the development of the Company, the ability to raise new equity funds at relatively short notice and at low cost is vital to the continuing financial health of the business. The Company believes that it is in the best interests of the Company and its shareholders for the Board of Directors to seek to retain the ability to readily raise new equity funds at the appropriate time. In order to facilitate fundraising readiness, on March 7, 2023, the Company filed a shelf registration statement with the SEC. Under U.S. securities law, the Company cannot offer or sell securities in the U.S. for the purpose of accessing capital except under an effective registration statement or under a limited number of exceptions. The filing of a shelf registration statement allows companies to take advantage of fundraising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5" w:lineRule="auto"/>
        <w:rPr>
          <w:sz w:val="20"/>
          <w:szCs w:val="20"/>
          <w:color w:val="auto"/>
        </w:rPr>
      </w:pPr>
      <w:r>
        <w:rPr>
          <w:rFonts w:ascii="Times New Roman" w:cs="Times New Roman" w:eastAsia="Times New Roman" w:hAnsi="Times New Roman"/>
          <w:sz w:val="18"/>
          <w:szCs w:val="18"/>
          <w:color w:val="auto"/>
        </w:rPr>
        <w:t>opportunities by having an effective registration statement in place when those opportunities arise. The Company’s shelf registration statement may be used for three years from March 7, 2023. The Company may offer and sell an unlimited amount of securities under the shelf registration statement, as long as it qualifies on an annual basis as a “well-known seasoned issuer,” meaning that the Company has a public float, as calculated under the U.S. securities rules, of at least $700 million. If the Company ceases to qualify as a well-known seasoned issuer, it will need to file a new shelf registration statement for a fixed dollar amount. The shelf registration statement is available on the SEC’s website at www.sec.gov.</w:t>
      </w:r>
    </w:p>
    <w:p>
      <w:pPr>
        <w:spacing w:after="0" w:line="121"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In order to provide the flexibility to expeditiously access capital during the life of the shelf registration statement when market conditions are appropriate, the Board of Directors believe that it is in the best interests of the Company to be prepared in advance and have the authorities available without the need to convene a general meeting should they determine that it is appropriate to do so. The authorities would allow the Company to better compete for capital against other companies incorporated in the U.S. and elsewhere who are not subject to allotment or pre-emption restrictions such as those applicable to the Company as an English company.</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Anti-takeover Effects of Proposal 10</w:t>
      </w:r>
    </w:p>
    <w:p>
      <w:pPr>
        <w:spacing w:after="0" w:line="162" w:lineRule="exact"/>
        <w:rPr>
          <w:sz w:val="20"/>
          <w:szCs w:val="20"/>
          <w:color w:val="auto"/>
        </w:rPr>
      </w:pPr>
    </w:p>
    <w:p>
      <w:pPr>
        <w:ind w:left="1260" w:right="619" w:firstLine="360"/>
        <w:spacing w:after="0" w:line="254" w:lineRule="auto"/>
        <w:rPr>
          <w:sz w:val="20"/>
          <w:szCs w:val="20"/>
          <w:color w:val="auto"/>
        </w:rPr>
      </w:pPr>
      <w:r>
        <w:rPr>
          <w:rFonts w:ascii="Times New Roman" w:cs="Times New Roman" w:eastAsia="Times New Roman" w:hAnsi="Times New Roman"/>
          <w:sz w:val="18"/>
          <w:szCs w:val="18"/>
          <w:color w:val="auto"/>
        </w:rPr>
        <w:t>Release No. 34-15230 of the staff of the SEC requires disclosure and discussion of the effects of any action that may be used as an anti-takeover mechanism. Because this Proposal 10, if approved, will authorize the Board of Directors to allot new equity securities for cash without first offering them to existing shareholders, it could, under certain circumstances, have an anti-takeover effect, although this is not the purpose or intent of our Board of Directors. A relative increase in the number of our issued shares offered to new shareholders could enable the Board to render more difficult or discourage an attempt by a party attempting to obtain control of the Company. Moreover, the issuance of equity securities to persons friendly to the Board of Directors could make it more difficult to remove incumbent officers and directors from office even if such change were favorable to shareholders generally.</w:t>
      </w:r>
    </w:p>
    <w:p>
      <w:pPr>
        <w:spacing w:after="0" w:line="107"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As stated above, the Company has no present intent to use any relative increase in the number of issued shares of our equity securities offered to new shareholders for anti-takeover purposes, and Proposal 10 is not part of a plan by the Board of Directors to adopt a series of anti-takeover provisions; however, if Proposal 10 is approved by the shareholders, then a greater number of our equity securities would be available for such purpose than is currently available. The Company is not aware of any pending or threatened efforts to obtain control of the Company, and the Board has no present intent to authorize the issuance of additional ordinary shares to discourage such efforts if they were to arise.</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VOTE REQUIRED</w:t>
      </w:r>
    </w:p>
    <w:p>
      <w:pPr>
        <w:spacing w:after="0" w:line="158"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This proposal requires approval by holders representing not less than 75% of the total voting rights of shareholders present (in person or by proxy) who (being entitled to vote) vote on the proposal. Votes withheld are not considered to be votes cast and, accordingly, will have no effect on the outcome of the vote on this proposal.</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RECOMMENDATION OF THE BOARD OF DIRECTORS</w:t>
      </w:r>
    </w:p>
    <w:p>
      <w:pPr>
        <w:spacing w:after="0" w:line="181" w:lineRule="exact"/>
        <w:rPr>
          <w:sz w:val="20"/>
          <w:szCs w:val="20"/>
          <w:color w:val="auto"/>
        </w:rPr>
      </w:pPr>
    </w:p>
    <w:p>
      <w:pPr>
        <w:ind w:left="2560" w:right="539"/>
        <w:spacing w:after="0" w:line="262"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authorization of Directors to allot equity securities for cash and/or to sell ordinary shares held by the Company as treasury shares for cash as if Section 561(1) of the Companies Act does not apply to any such allotment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-558800</wp:posOffset>
            </wp:positionV>
            <wp:extent cx="145415" cy="162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5415"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identifies our current executive officers:</w:t>
      </w:r>
    </w:p>
    <w:p>
      <w:pPr>
        <w:spacing w:after="0" w:line="16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9"/>
                <w:szCs w:val="19"/>
                <w:color w:val="auto"/>
              </w:rPr>
            </w:pP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Age</w:t>
            </w:r>
          </w:p>
        </w:tc>
        <w:tc>
          <w:tcPr>
            <w:tcW w:w="220" w:type="dxa"/>
            <w:vAlign w:val="bottom"/>
          </w:tcPr>
          <w:p>
            <w:pPr>
              <w:spacing w:after="0"/>
              <w:rPr>
                <w:sz w:val="19"/>
                <w:szCs w:val="19"/>
                <w:color w:val="auto"/>
              </w:rPr>
            </w:pPr>
          </w:p>
        </w:tc>
        <w:tc>
          <w:tcPr>
            <w:tcW w:w="444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9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Zaccardelli, Pharm.D.</w:t>
            </w:r>
            <w:r>
              <w:rPr>
                <w:rFonts w:ascii="Times New Roman" w:cs="Times New Roman" w:eastAsia="Times New Roman" w:hAnsi="Times New Roman"/>
                <w:sz w:val="23"/>
                <w:szCs w:val="23"/>
                <w:color w:val="auto"/>
                <w:vertAlign w:val="superscript"/>
              </w:rPr>
              <w:t>(1)</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Executive Director</w:t>
            </w:r>
          </w:p>
        </w:tc>
        <w:tc>
          <w:tcPr>
            <w:tcW w:w="40" w:type="dxa"/>
            <w:vAlign w:val="bottom"/>
          </w:tcPr>
          <w:p>
            <w:pPr>
              <w:spacing w:after="0"/>
              <w:rPr>
                <w:sz w:val="24"/>
                <w:szCs w:val="24"/>
                <w:color w:val="auto"/>
              </w:rPr>
            </w:pPr>
          </w:p>
        </w:tc>
      </w:tr>
      <w:tr>
        <w:trPr>
          <w:trHeight w:val="284"/>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W. Hahn</w:t>
            </w:r>
            <w:r>
              <w:rPr>
                <w:rFonts w:ascii="Times New Roman" w:cs="Times New Roman" w:eastAsia="Times New Roman" w:hAnsi="Times New Roman"/>
                <w:sz w:val="23"/>
                <w:szCs w:val="23"/>
                <w:color w:val="auto"/>
                <w:vertAlign w:val="superscript"/>
              </w:rPr>
              <w:t>(2)</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40" w:type="dxa"/>
            <w:vAlign w:val="bottom"/>
          </w:tcPr>
          <w:p>
            <w:pPr>
              <w:spacing w:after="0"/>
              <w:rPr>
                <w:sz w:val="24"/>
                <w:szCs w:val="24"/>
                <w:color w:val="auto"/>
              </w:rPr>
            </w:pPr>
          </w:p>
        </w:tc>
      </w:tr>
      <w:tr>
        <w:trPr>
          <w:trHeight w:val="283"/>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Fisher</w:t>
            </w:r>
            <w:r>
              <w:rPr>
                <w:rFonts w:ascii="Times New Roman" w:cs="Times New Roman" w:eastAsia="Times New Roman" w:hAnsi="Times New Roman"/>
                <w:sz w:val="23"/>
                <w:szCs w:val="23"/>
                <w:color w:val="auto"/>
                <w:vertAlign w:val="superscript"/>
              </w:rPr>
              <w:t>(3)</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c>
          <w:tcPr>
            <w:tcW w:w="40" w:type="dxa"/>
            <w:vAlign w:val="bottom"/>
          </w:tcPr>
          <w:p>
            <w:pPr>
              <w:spacing w:after="0"/>
              <w:rPr>
                <w:sz w:val="24"/>
                <w:szCs w:val="24"/>
                <w:color w:val="auto"/>
              </w:rPr>
            </w:pPr>
          </w:p>
        </w:tc>
      </w:tr>
      <w:tr>
        <w:trPr>
          <w:trHeight w:val="30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Kathleen Rickard, M.D.</w:t>
            </w:r>
            <w:r>
              <w:rPr>
                <w:rFonts w:ascii="Times New Roman" w:cs="Times New Roman" w:eastAsia="Times New Roman" w:hAnsi="Times New Roman"/>
                <w:sz w:val="23"/>
                <w:szCs w:val="23"/>
                <w:color w:val="auto"/>
                <w:vertAlign w:val="superscript"/>
              </w:rPr>
              <w:t>(4)</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Pr>
          <w:p>
            <w:pPr>
              <w:spacing w:after="0"/>
              <w:rPr>
                <w:sz w:val="24"/>
                <w:szCs w:val="24"/>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Medical Officer</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119380</wp:posOffset>
            </wp:positionV>
            <wp:extent cx="12344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98" w:lineRule="exact"/>
        <w:rPr>
          <w:sz w:val="20"/>
          <w:szCs w:val="20"/>
          <w:color w:val="auto"/>
        </w:rPr>
      </w:pPr>
    </w:p>
    <w:p>
      <w:pPr>
        <w:ind w:left="1620" w:hanging="360"/>
        <w:spacing w:after="0"/>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biography on page 9 of this proxy statement.</w:t>
      </w:r>
    </w:p>
    <w:p>
      <w:pPr>
        <w:spacing w:after="0" w:line="72" w:lineRule="exact"/>
        <w:rPr>
          <w:rFonts w:ascii="Times New Roman" w:cs="Times New Roman" w:eastAsia="Times New Roman" w:hAnsi="Times New Roman"/>
          <w:sz w:val="18"/>
          <w:szCs w:val="18"/>
          <w:color w:val="auto"/>
        </w:rPr>
      </w:pPr>
    </w:p>
    <w:p>
      <w:pPr>
        <w:ind w:left="1620" w:right="419" w:hanging="360"/>
        <w:spacing w:after="0" w:line="255"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Mark W. Hahn</w:t>
      </w:r>
      <w:r>
        <w:rPr>
          <w:rFonts w:ascii="Times New Roman" w:cs="Times New Roman" w:eastAsia="Times New Roman" w:hAnsi="Times New Roman"/>
          <w:sz w:val="18"/>
          <w:szCs w:val="18"/>
          <w:color w:val="auto"/>
        </w:rPr>
        <w:t>. Mr. Hahn has served as our Chief Financial Officer since February 2020.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January 2018 until its acquisition by Swedish Orphan Biovitrum for up to $915 million in November 2019, Mr. Hahn served as CFO of Dova Pharmaceuticals, a company developing therapeutics for rare diseases. Previously, from 2010 until its acquisition by Melinta Therapeutics in 2017, Mr. Hahn was CFO of Cempra, Inc. Mr. Hahn served on the board of directors of ALSP Orchid Acquisition Corporation I from November 2021 to November 2023. Mr. Hahn received a B.B.A. degree in Accounting and Finance from the University of Wisconsin-Milwaukee and is a Certified Public Accountant in Maryland and North Carolina.</w:t>
      </w:r>
    </w:p>
    <w:p>
      <w:pPr>
        <w:spacing w:after="0" w:line="269" w:lineRule="exact"/>
        <w:rPr>
          <w:rFonts w:ascii="Times New Roman" w:cs="Times New Roman" w:eastAsia="Times New Roman" w:hAnsi="Times New Roman"/>
          <w:sz w:val="18"/>
          <w:szCs w:val="18"/>
          <w:color w:val="auto"/>
        </w:rPr>
      </w:pPr>
    </w:p>
    <w:p>
      <w:pPr>
        <w:ind w:left="1620" w:right="419" w:hanging="360"/>
        <w:spacing w:after="0" w:line="255"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Andrew Fisher. </w:t>
      </w:r>
      <w:r>
        <w:rPr>
          <w:rFonts w:ascii="Times New Roman" w:cs="Times New Roman" w:eastAsia="Times New Roman" w:hAnsi="Times New Roman"/>
          <w:sz w:val="18"/>
          <w:szCs w:val="18"/>
          <w:color w:val="auto"/>
        </w:rPr>
        <w:t>Mr. Fisher has served as our General Counsel since March 2024. Prior to joining Verona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Pharma, Mr. Fisher founded and led a consulting practice, Andrew Fisher LLC, where he focused on providing strategic advice to start-up companies since September 2019. Previously, from 2001 until 2018, he held various roles at United Therapeutics Corporation, including Executive Vice President, Chief Strategy Officer and Deputy General Counsel, where he oversaw a variety of intellectual property, litigation, compliance, risk management, and investor and media relations matters, among other things. Mr. Fisher received a B.A. from the University of Michigan and a J.D. from George Washington University.</w:t>
      </w:r>
    </w:p>
    <w:p>
      <w:pPr>
        <w:spacing w:after="0" w:line="256" w:lineRule="exact"/>
        <w:rPr>
          <w:rFonts w:ascii="Times New Roman" w:cs="Times New Roman" w:eastAsia="Times New Roman" w:hAnsi="Times New Roman"/>
          <w:sz w:val="18"/>
          <w:szCs w:val="18"/>
          <w:color w:val="auto"/>
        </w:rPr>
      </w:pPr>
    </w:p>
    <w:p>
      <w:pPr>
        <w:ind w:left="1620" w:right="439" w:hanging="360"/>
        <w:spacing w:after="0" w:line="255"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Kathleen Rickard, M.D. </w:t>
      </w:r>
      <w:r>
        <w:rPr>
          <w:rFonts w:ascii="Times New Roman" w:cs="Times New Roman" w:eastAsia="Times New Roman" w:hAnsi="Times New Roman"/>
          <w:sz w:val="18"/>
          <w:szCs w:val="18"/>
          <w:color w:val="auto"/>
        </w:rPr>
        <w:t>Dr. Rickard has served as our Chief Medical Officer since February 2019.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joining Verona Pharma, Dr. Rickard served in multiple roles at Aerocrine AB, a medical diagnostics product company, including as Chief Medical Officer from 2011 to January 2019, and as Chief Compliance Officer from 2014 to 2019. Prior to Aerocrine, Dr. Rickard was Vice President Clinical Development and Medical Affairs of the Respiratory Medicines Development Centre at GlaxoSmithKline, a pharmaceutical company, and, over a period of 15 years, held a number of other leadership positions in clinical development across GlaxoSmithKline’s global respiratory franchise. Dr. Rickard received an M.D. from Hahnemann University Hospital, Philadelphia.</w:t>
      </w:r>
    </w:p>
    <w:p>
      <w:pPr>
        <w:spacing w:after="0" w:line="121"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family relationships among any of our executive officers or directors.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GENERAL</w:t>
      </w:r>
    </w:p>
    <w:p>
      <w:pPr>
        <w:spacing w:after="0" w:line="144"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Our Board of Directors has adopted, among other policies, Corporate Governance Guidelines, a Code of Business Conduct and Ethics, an Insider Trading Compliance Policy, a Whistleblowing Policy and terms of reference for the Nomination and Corporate Governance Committee, Audit and Risk Committee, and Remuneration Committee to assist the Board in the exercise of its responsibilities and to serve as a framework for the effective governance of our Company. You can access our current committee terms of reference, our Corporate Governance Guidelines, Whistleblowing Policy and our Code of Business Conduct and Ethics in the “Corporate Governance” section of our investor relations website located at https://​ www.veronapharma.com/ corporate-governance.</w:t>
      </w:r>
    </w:p>
    <w:p>
      <w:pPr>
        <w:spacing w:after="0" w:line="2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BOARD COMPOSITION</w:t>
      </w:r>
    </w:p>
    <w:p>
      <w:pPr>
        <w:spacing w:after="0" w:line="144"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Our Board of Directors currently consists of eleven members, including one executive director and ten non-executive directors.</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In accordance with our Articles of Association, one-third (or such number nearest to but not exceeding one-third) of the Company’s directors retire from office at every annual general meeting of shareholders. Retiring directors are eligible for re-election and, if no other director is elected to fill his or her position and the director is willing, shall be re-elected by default. The directors to retire at the AGM in every year shall include (so far as necessary to obtain the number required) any director who wishes to retire and not to offer himself or herself for re-election. Any further directors so to retire shall be the directors who have been longest in office since their last election. As between directors of equal seniority, the directors to retire shall in the absence of agreement be selected from among them by lot. Of the nine directors subject to retirement by rotation, Kenneth Cunningham, M.D., Vikas Sinha, and James Brady will, on this occasion, retire from office and stand for re-election by our shareholders.</w:t>
      </w:r>
    </w:p>
    <w:p>
      <w:pPr>
        <w:spacing w:after="0" w:line="11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Having carried out an evaluation of the individual performance of each of Kenneth Cunningham, M.D., Vikas Sinha, and James Brady with the support of the Nomination and Corporate Governance Committee, our Board of Directors is satisfied that their performance continues to be effective and that they continue to demonstrate commitment to their roles. The Board of Directors considers that it is entirely appropriate for each of Kenneth Cunningham, M.D., Vikas Sinha, and James Brady to seek re-election at the AGM.</w:t>
      </w:r>
    </w:p>
    <w:p>
      <w:pPr>
        <w:spacing w:after="0" w:line="110"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Each of the above directors has been nominated for re-election and no other nominees for directors have been presented. Therefore, it is anticipated that following the AGM, if all of the above directors are re-elected, the Board of Directors will be comprised of eleven members, including one executive director and ten non-executive directors.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DIRECTOR INDEPENDENCE</w:t>
      </w:r>
    </w:p>
    <w:p>
      <w:pPr>
        <w:spacing w:after="0" w:line="158" w:lineRule="exact"/>
        <w:rPr>
          <w:sz w:val="20"/>
          <w:szCs w:val="20"/>
          <w:color w:val="auto"/>
        </w:rPr>
      </w:pPr>
    </w:p>
    <w:p>
      <w:pPr>
        <w:ind w:left="1260" w:right="479" w:firstLine="360"/>
        <w:spacing w:after="0" w:line="241" w:lineRule="auto"/>
        <w:rPr>
          <w:sz w:val="20"/>
          <w:szCs w:val="20"/>
          <w:color w:val="auto"/>
        </w:rPr>
      </w:pPr>
      <w:r>
        <w:rPr>
          <w:rFonts w:ascii="Times New Roman" w:cs="Times New Roman" w:eastAsia="Times New Roman" w:hAnsi="Times New Roman"/>
          <w:sz w:val="18"/>
          <w:szCs w:val="18"/>
          <w:color w:val="auto"/>
        </w:rPr>
        <w:t>All of our directors, other than David Zaccardelli, Pharm.D., qualify as “independent” in accordance with Nasdaq listing requirements. The Nasdaq independence definition includes a series of objective tests, including that the director is not, and has not been for at least three years, one of our employees and that neither the director nor any of his or her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The Board of Directors previously determined that Mr. Rishi Gupta qualified as an independent director prior to his resignation on January 31, 2024.</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Dr. Zaccardelli is not independent because he is the President and Chief Executive Officer of our Company.</w:t>
      </w:r>
    </w:p>
    <w:p>
      <w:pPr>
        <w:spacing w:after="0" w:line="1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DIRECTOR CANDIDATES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Director Nomination Process</w:t>
      </w:r>
    </w:p>
    <w:p>
      <w:pPr>
        <w:spacing w:after="0" w:line="162" w:lineRule="exact"/>
        <w:rPr>
          <w:sz w:val="20"/>
          <w:szCs w:val="20"/>
          <w:color w:val="auto"/>
        </w:rPr>
      </w:pPr>
    </w:p>
    <w:p>
      <w:pPr>
        <w:ind w:left="1260" w:right="559" w:firstLine="360"/>
        <w:spacing w:after="0" w:line="242" w:lineRule="auto"/>
        <w:rPr>
          <w:sz w:val="20"/>
          <w:szCs w:val="20"/>
          <w:color w:val="auto"/>
        </w:rPr>
      </w:pPr>
      <w:r>
        <w:rPr>
          <w:rFonts w:ascii="Times New Roman" w:cs="Times New Roman" w:eastAsia="Times New Roman" w:hAnsi="Times New Roman"/>
          <w:sz w:val="18"/>
          <w:szCs w:val="18"/>
          <w:color w:val="auto"/>
        </w:rPr>
        <w:t>The Nomination and Corporate Governance Committee is primarily responsible for searching for qualified director candidates for election to the Board and filling vacancies on the Board of Directors. To facilitate the search process, the Nomination and Corporate Governance Committee may solicit current directors and executives of the Company for the names of potentially qualified candidates or ask directors and executives to pursue their own business contacts for the names of potentially qualified candidates. The Nomination and Corporate Governance Committee may also consult with outside advisors or retain search firms to assist in the search for qualified candidates, or consider director candidates recommended by our shareholders. Once potential candidates are identified, the Nomination and Corporate Governance Committee reviews the backgrounds of those candidates, evaluates candidates’ independence from the Company and potential conflicts of interest and determines if candidates meet the qualifications desired by the Nomination and Corporate Governance Committee for candidates for election as a director.</w:t>
      </w:r>
    </w:p>
    <w:p>
      <w:pPr>
        <w:spacing w:after="0" w:line="121"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In evaluating the suitability of individual candidates (both new candidates and current Board members), the Nomination and Corporate Governance Committee, in recommending candidates for election, and the Board of Directors, in approving (and, in the case of vacancies, appointing) such candidates, may take into account many factors, including but not limited to: personal and professional integrity, ethics and values;</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2" w:lineRule="auto"/>
        <w:rPr>
          <w:sz w:val="20"/>
          <w:szCs w:val="20"/>
          <w:color w:val="auto"/>
        </w:rPr>
      </w:pPr>
      <w:r>
        <w:rPr>
          <w:rFonts w:ascii="Times New Roman" w:cs="Times New Roman" w:eastAsia="Times New Roman" w:hAnsi="Times New Roman"/>
          <w:sz w:val="18"/>
          <w:szCs w:val="18"/>
          <w:color w:val="auto"/>
        </w:rPr>
        <w:t>experience in corporate management, such as serving as an officer or former officer of a publicly held company; strong finance experience; relevant social policy concerns; experience relevant to the Company’s industry; experience as a board member or executive officer of another publicly held company; relevant academic expertise or other proficiency in an area of the Company’s operations; diversity of expertise and experience in substantive matters pertaining to the Company’s business relative to other board members; diversity of background and perspective, including, but not limited to, with respect to age, gender, race, place of residence and specialized experience; practical and mature business judgment, including, but not limited to, the ability to make independent analytical inquiries; and any other relevant qualifications, attributes or skills. The Board of Directors evaluates each individual in the context of the Board of Directors as a whole, with the objective of assembling a group that can best perpetuate the success of the business and represent shareholder interests through the exercise of sound judgment using its diversity of experience in these various areas. In determining whether to recommend a director for re-election, the Nomination and Corporate Governance Committee may also consider the director’s past attendance at meetings and participation in and contributions to the activities of the Board of Directors.</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Shareholder Recommendations and Nominees</w:t>
      </w:r>
    </w:p>
    <w:p>
      <w:pPr>
        <w:spacing w:after="0" w:line="16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The Nomination and Corporate Governance Committee and the Board have not established a formal policy with regard to the consideration of director candidates recommended by shareholders. This is due to the following factors: (i) the limited number of such recommendations, (ii) the need to evaluate such recommendations on a case-by-case basis, and (iii) the expectation that recommendations from shareholders would be considered in the same manner as recommendations by directors, officers, outside advisors or search firms in the event of a vacancy on the Board.</w:t>
      </w:r>
    </w:p>
    <w:p>
      <w:pPr>
        <w:spacing w:after="0" w:line="120"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Shareholders who desire to nominate persons directly for election to the Board of Directors at an annual general meeting of shareholders must meet the deadlines and other requirements set forth under “Additional Information — Shareholder Proposals for 2026 Annual General Meeting.” Any vacancies on the Board of Directors occurring between our annual general meetings of shareholders may be filled by a majority of the directors then in office, in which case any director so elected will serve until the next annual general meeting of shareholders when such director will offer himself or herself for re-election, or by ordinary resolution of the shareholders of the Company.</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COMMUNICATIONS FROM SHAREHOLDERS</w:t>
      </w:r>
    </w:p>
    <w:p>
      <w:pPr>
        <w:spacing w:after="0" w:line="144"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The Board of Directors will give appropriate attention to written communications that are submitted by shareholders, and will respond if and as appropriate. Our Company Secretary and General Counsel are primarily responsible for monitoring communications from shareholders and for providing copies or summaries to the directors as they consider appropriate.</w:t>
      </w:r>
    </w:p>
    <w:p>
      <w:pPr>
        <w:spacing w:after="0" w:line="11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Communications are forwarded to all directors if they relate to important substantive matters and include suggestions or comments that our Company Secretary or General Counsel and Chairperson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Shareholders who wish to send communications on any topic to the Board of Directors should address such communications to the Board of Directors in writing: c/o Company Secretary, Verona Pharma plc, c/o Shakespeare Martineau LLP,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60 Gracechurch Street, London, EC3V 0HR.</w:t>
      </w:r>
    </w:p>
    <w:p>
      <w:pPr>
        <w:spacing w:after="0" w:line="1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BOARD LEADERSHIP STRUCTURE AND ROLE IN RISK OVERSIGHT</w:t>
      </w:r>
    </w:p>
    <w:p>
      <w:pPr>
        <w:spacing w:after="0" w:line="158"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Our Corporate Governance Guidelines provide our Board of Directors with flexibility to combine or separate the positions of Chairperson of the Board and Chief Executive Officer in accordance with its determination that utilizing one or the other structure would be in the best interests of our Company based on the circumstances at that time. We recognize that different board leadership structures may be appropriate for companies in different situations.</w:t>
      </w: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239" w:firstLine="360"/>
        <w:spacing w:after="0" w:line="254" w:lineRule="auto"/>
        <w:rPr>
          <w:sz w:val="20"/>
          <w:szCs w:val="20"/>
          <w:color w:val="auto"/>
        </w:rPr>
      </w:pPr>
      <w:r>
        <w:rPr>
          <w:rFonts w:ascii="Times New Roman" w:cs="Times New Roman" w:eastAsia="Times New Roman" w:hAnsi="Times New Roman"/>
          <w:sz w:val="18"/>
          <w:szCs w:val="18"/>
          <w:color w:val="auto"/>
        </w:rPr>
        <w:t>Based on the Company’s present circumstances, the Board believes that the Company and its shareholders are best served by having Dr. Ebsworth serve as its Chairperson of the Board and</w:t>
      </w:r>
    </w:p>
    <w:p>
      <w:pPr>
        <w:ind w:left="1260" w:right="439"/>
        <w:spacing w:after="0"/>
        <w:rPr>
          <w:sz w:val="20"/>
          <w:szCs w:val="20"/>
          <w:color w:val="auto"/>
        </w:rPr>
      </w:pPr>
      <w:r>
        <w:rPr>
          <w:rFonts w:ascii="Times New Roman" w:cs="Times New Roman" w:eastAsia="Times New Roman" w:hAnsi="Times New Roman"/>
          <w:sz w:val="18"/>
          <w:szCs w:val="18"/>
          <w:color w:val="auto"/>
        </w:rPr>
        <w:t>Dr. Zaccardelli serve as its Chief Executive Officer. Our current leadership structure permits Dr. Zaccardelli to focus his attention on managing our Company and permits Dr. Ebsworth to manage the Board of Directors. Accordingly, we believe our current leadership structure is the optimal structure for us at this time. However, our Board of Directors will continue to periodically review our leadership structure and may make such changes in the future as it deems appropriate.</w:t>
      </w:r>
    </w:p>
    <w:p>
      <w:pPr>
        <w:spacing w:after="0" w:line="120"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Audit and Risk Committee or Board of Directors at regular meetings as part of management presentations that focus on particular business functions, operations or strategies, and presents the steps taken by management to mitigate or eliminate such risks. As provided in the terms of reference of the Audit and Risk Committee, the Audit and Risk Committee is responsible for discussing the Company’s policies with respect to risk assessment and risk management, including guidelines and policies to govern the process by which the Company’s exposure to risk is handled. In accordance with those policies, the Board and the Board committees have an active role in overseeing management of the Company’s risks inherent in their respective areas of oversight. In particular, our Board of Directors is responsible for monitoring and assessing strategic risk exposure, including business continuity risks. The Audit and Risk Committee monitors compliance with legal and regulatory requirements, discusses the Company’s policies with respect to risk assessment and risk management, including guidelines and policies to govern the process by which the Company’s exposure to risk is handled, oversees management of the Company’s financial and cybersecurity risks, and considers and approves or disapproves any related person transactions. Our Nomination and Corporate Governance Committee monitors the risks relating to our corporate governance framework and succession planning for our Board of Directors and senior management. Our Remuneration Committee assesses and monitors whether any of our remuneration policies and programs has the potential to encourage excessive risk-taking. While each committee is responsible for evaluating certain risks and overseeing the management of such risks, the entire Board has an active role in overseeing management of the Company’s risks and is regularly informed through committee reports about such risks. The Board does not believe that its role in the oversight of our risks adversely affects the Board’s leadership.</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PERIODIC BOARD EVALUATION</w:t>
      </w:r>
    </w:p>
    <w:p>
      <w:pPr>
        <w:spacing w:after="0" w:line="144"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Our Corporate Governance Guidelines require the Nomination and Corporate Governance Committee to oversee a periodic assessment of the Board and its committees.</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DIRECTOR ORIENTATION AND CONTINUING EDUCATION</w:t>
      </w:r>
    </w:p>
    <w:p>
      <w:pPr>
        <w:spacing w:after="0" w:line="158"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We provide an orientation process for new directors, including background material on the Company and our business. As appropriate, management will provide opportunities for additional educational sessions for directors on matters relevant to the Company and our business.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CODE OF BUSINESS CONDUCT AND ETHICS</w:t>
      </w:r>
    </w:p>
    <w:p>
      <w:pPr>
        <w:spacing w:after="0" w:line="158"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and others temporarily assigned to perform work or services for us. We have posted a current copy of the Code of Business Conduct and Ethics in the “Corporate Governance” section of our website at www.veronapharma.com. Our Board of Directors is responsible for administering the Code of Business Conduct and Ethics. The Board of Directors is allowed to amend, alter or terminate the Code of Business Conduct and Ethics. In addition, we intend to post on our website all disclosures that are required by law or the Nasdaq rules concerning any amendments to, or waivers from, any provision of the Code of Business Conduct and Ethics.</w:t>
      </w: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INSIDER TRADING COMPLIANCE POLICY</w:t>
      </w:r>
    </w:p>
    <w:p>
      <w:pPr>
        <w:spacing w:after="0" w:line="158"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Additionally, our Board of Directors has adopted an Insider Trading Compliance Policy, which applies to all of our directors, officers, employees and other covered persons, governing the purchase, sale, and other dispositions of our securities. We believe our Insider Trading Compliance Policy and procedures are reasonably designed to promote compliance with insider trading laws, rules and regulations, and listing standards applicable to Verona. A copy of our Insider Trading Compliance Policy was filed as Exhibit 19.1 to our Annual Report on Form 10-K for the year ended December 31, 2024.</w:t>
      </w:r>
    </w:p>
    <w:p>
      <w:pPr>
        <w:spacing w:after="0" w:line="1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ANTI-HEDGING POLICY</w:t>
      </w:r>
    </w:p>
    <w:p>
      <w:pPr>
        <w:spacing w:after="0" w:line="144"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The Insider Trading Compliance Policy prohibits our directors, officers and employees and any entities they control from purchasing financial instruments, such as prepaid variable forward contracts, equity swaps, collars, and exchange funds, or otherwise engaging in transactions that hedge or offset, or are designed to hedge or offset, any decrease in the market value of the Company’s equity securities, or that may cause an officer, director, or employee to no longer have the same objectives as the Company’s other shareholders.</w:t>
      </w:r>
    </w:p>
    <w:p>
      <w:pPr>
        <w:spacing w:after="0" w:line="3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ATTENDANCE BY MEMBERS OF THE BOARD OF DIRECTORS AT MEETINGS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There were 6 meetings of the Board of Directors during the fiscal year ended December 31, 2024.</w:t>
      </w:r>
    </w:p>
    <w:p>
      <w:pPr>
        <w:spacing w:after="0" w:line="16" w:lineRule="exact"/>
        <w:rPr>
          <w:sz w:val="20"/>
          <w:szCs w:val="20"/>
          <w:color w:val="auto"/>
        </w:rPr>
      </w:pPr>
    </w:p>
    <w:p>
      <w:pPr>
        <w:jc w:val="both"/>
        <w:ind w:left="1260" w:right="519"/>
        <w:spacing w:after="0" w:line="246" w:lineRule="auto"/>
        <w:rPr>
          <w:sz w:val="20"/>
          <w:szCs w:val="20"/>
          <w:color w:val="auto"/>
        </w:rPr>
      </w:pPr>
      <w:r>
        <w:rPr>
          <w:rFonts w:ascii="Times New Roman" w:cs="Times New Roman" w:eastAsia="Times New Roman" w:hAnsi="Times New Roman"/>
          <w:sz w:val="18"/>
          <w:szCs w:val="18"/>
          <w:color w:val="auto"/>
        </w:rPr>
        <w:t>During the fiscal year ended December 31, 2024, each director attended at least 75% of the aggregate of all meetings of the Board of Directors and meetings of the committees on which the director served during the period in which he or she served as a director.</w:t>
      </w:r>
    </w:p>
    <w:p>
      <w:pPr>
        <w:spacing w:after="0" w:line="100"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Currently, we do not maintain a formal policy regarding director attendance at the AGM; however, it is expected that directors will attend absent compelling circumstances. All of our then-serving directors attended our annual general meeting of shareholders held in 2024.</w:t>
      </w:r>
    </w:p>
    <w:p>
      <w:pPr>
        <w:spacing w:after="0" w:line="1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b w:val="1"/>
          <w:bCs w:val="1"/>
          <w:color w:val="auto"/>
        </w:rPr>
        <w:t>Committees of the Board</w:t>
      </w:r>
    </w:p>
    <w:p>
      <w:pPr>
        <w:spacing w:after="0" w:line="15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Our Board of Directors has established an Audit and Risk Committee, Remuneration Committee, Nomination and Corporate Governance Committee and Commercial Committee, each of which operates under written terms of reference that have been approved by our Board and that, in the case of the Audit and Risk Committee, Remuneration Committee and Nomination and Corporate Governance Committee, are available in the “Corporate Governance” section of our investor relations website at https://​ www.veronapharma.com/corporate-governance. All of the members of each of these committees are independent as defined under the Nasdaq rules. Our Board of Directors has determined that Christina Ackermann, James Brady, David Ebsworth, Ph.D., and Vikas Sinha meet the independence requirements of Rule 10A-3 under the Securities Exchange Act of 1934, as amended (the “Exchange Act”). All members of the Remuneration Committee meet the heightened standard for independence specific to members of a compensation committee under the Nasdaq rules and each qualifies as a “non-employee director” as defined in Rule 16b-3 of the Exchange Act. All members of the Nomination and Corporate Governance Committee are independent under the Nasdaq rules.</w:t>
      </w:r>
    </w:p>
    <w:p>
      <w:pPr>
        <w:spacing w:after="0" w:line="108" w:lineRule="exact"/>
        <w:rPr>
          <w:sz w:val="20"/>
          <w:szCs w:val="20"/>
          <w:color w:val="auto"/>
        </w:rPr>
      </w:pPr>
    </w:p>
    <w:p>
      <w:pPr>
        <w:ind w:left="1260" w:right="1179" w:firstLine="360"/>
        <w:spacing w:after="0" w:line="282" w:lineRule="auto"/>
        <w:rPr>
          <w:sz w:val="20"/>
          <w:szCs w:val="20"/>
          <w:color w:val="auto"/>
        </w:rPr>
      </w:pPr>
      <w:r>
        <w:rPr>
          <w:rFonts w:ascii="Times New Roman" w:cs="Times New Roman" w:eastAsia="Times New Roman" w:hAnsi="Times New Roman"/>
          <w:sz w:val="18"/>
          <w:szCs w:val="18"/>
          <w:color w:val="auto"/>
        </w:rPr>
        <w:t>The members of each of the Audit, Remuneration and Nomination and Corporate Governance Committees and the committee Chairs are set forth in the following chart.</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Nomination and</w:t>
            </w:r>
          </w:p>
        </w:tc>
        <w:tc>
          <w:tcPr>
            <w:tcW w:w="760" w:type="dxa"/>
            <w:vAlign w:val="bottom"/>
          </w:tcPr>
          <w:p>
            <w:pPr>
              <w:spacing w:after="0"/>
              <w:rPr>
                <w:sz w:val="14"/>
                <w:szCs w:val="14"/>
                <w:color w:val="auto"/>
              </w:rPr>
            </w:pPr>
          </w:p>
        </w:tc>
      </w:tr>
      <w:tr>
        <w:trPr>
          <w:trHeight w:val="162"/>
        </w:trPr>
        <w:tc>
          <w:tcPr>
            <w:tcW w:w="3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Commerical</w:t>
            </w:r>
          </w:p>
        </w:tc>
      </w:tr>
      <w:tr>
        <w:trPr>
          <w:trHeight w:val="190"/>
        </w:trPr>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Audit and Risk</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Remuneration</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Governance</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Committee</w:t>
            </w:r>
          </w:p>
        </w:tc>
      </w:tr>
      <w:tr>
        <w:trPr>
          <w:trHeight w:val="23"/>
        </w:trPr>
        <w:tc>
          <w:tcPr>
            <w:tcW w:w="3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Christina Ackermann</w:t>
            </w:r>
          </w:p>
        </w:tc>
        <w:tc>
          <w:tcPr>
            <w:tcW w:w="11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X</w:t>
            </w:r>
          </w:p>
        </w:tc>
        <w:tc>
          <w:tcPr>
            <w:tcW w:w="8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57"/>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Austwick</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r>
      <w:tr>
        <w:trPr>
          <w:trHeight w:val="25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Kenneth Cunningham, M.D.</w:t>
            </w:r>
          </w:p>
        </w:tc>
        <w:tc>
          <w:tcPr>
            <w:tcW w:w="11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Chair</w:t>
            </w: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Brady</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X</w:t>
            </w: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Lisa Deschamps</w:t>
            </w:r>
          </w:p>
        </w:tc>
        <w:tc>
          <w:tcPr>
            <w:tcW w:w="11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1"/>
              </w:rPr>
              <w:t>X</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5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Ebsworth, Ph.D.</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X</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X</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Chair</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70"/>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Mahendra Shah, Ph.D.</w:t>
            </w:r>
          </w:p>
        </w:tc>
        <w:tc>
          <w:tcPr>
            <w:tcW w:w="11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X</w:t>
            </w:r>
          </w:p>
        </w:tc>
        <w:tc>
          <w:tcPr>
            <w:tcW w:w="10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Vikas Sinha</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Chair</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1"/>
              </w:rPr>
              <w:t>X</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-1345565</wp:posOffset>
            </wp:positionV>
            <wp:extent cx="1371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-1345565</wp:posOffset>
            </wp:positionV>
            <wp:extent cx="1371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-1345565</wp:posOffset>
            </wp:positionV>
            <wp:extent cx="1371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3217545</wp:posOffset>
            </wp:positionH>
            <wp:positionV relativeFrom="paragraph">
              <wp:posOffset>-1345565</wp:posOffset>
            </wp:positionV>
            <wp:extent cx="1371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AUDIT AND RISK COMMITTEE</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Audit and Risk Committee’s responsibilities include, among other things:</w:t>
      </w:r>
    </w:p>
    <w:p>
      <w:pPr>
        <w:spacing w:after="0" w:line="117" w:lineRule="exact"/>
        <w:rPr>
          <w:sz w:val="20"/>
          <w:szCs w:val="20"/>
          <w:color w:val="auto"/>
        </w:rPr>
      </w:pPr>
    </w:p>
    <w:p>
      <w:pPr>
        <w:ind w:left="1800" w:right="499" w:hanging="180"/>
        <w:spacing w:after="0" w:line="266"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integrity of the financial statements of the Company, including its annual and interim reports, preliminary results’ announcements and any other formal announcement relating to its financial performance;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significant financial reporting issues and judgments that they contain;</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58"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the Company’s management and external auditor the Company’s audited financial statements and quarterly financial statements to be filed with the SEC, including disclosures under the caption “management’s discussion and analysis of financial condition and results of operation” and the matters required to be discussed by applicable Public Company Accounting Oversight Board (the “PCAOB”) standards and SEC rules;</w:t>
      </w:r>
    </w:p>
    <w:p>
      <w:pPr>
        <w:spacing w:after="0" w:line="75"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whether it will recommend to the Board of Directors that the Company’s audited financial statements be included in the Company’s Annual Report on Form 10-K;</w:t>
      </w:r>
    </w:p>
    <w:p>
      <w:pPr>
        <w:spacing w:after="0" w:line="67"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 annual committee report for inclusion where necessary in the proxy statement of the Company relating to its annual general meeting of shareholders;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appointment, re-appointment, and removal of the Company’s external auditor;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relationship with the external auditor;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annual audit plan;</w:t>
      </w:r>
    </w:p>
    <w:p>
      <w:pPr>
        <w:spacing w:after="0" w:line="117"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the Board of Directors’ oversight of the Company’s internal control over financial reporting and disclosure controls and procedures;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Company’s policies with respect to risk assessment and risk management;</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the Company’s arrangements for the receipt, retention and treatment of complaints received by the Company regarding accounting, internal accounting controls or auditing matters; and</w:t>
      </w:r>
    </w:p>
    <w:p>
      <w:pPr>
        <w:spacing w:after="0" w:line="53"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policies and procedures for reviewing and approving or ratifying related person transactions.</w:t>
      </w:r>
    </w:p>
    <w:p>
      <w:pPr>
        <w:spacing w:after="0" w:line="94"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The current members of the Audit and Risk Committee are Christina Ackermann, James Brady, David Ebsworth, Ph.D. and Vikas Sinha. Mr. Sinha serves as the Chairperson of the Audit and Risk Committee. The members of our Audit and Risk Committee meet the requirements for financial literacy under the applicable rules of Nasdaq. Our Board of Directors has determined that each of Vikas Sinha and James Brady are “audit committee financial experts” as defined by Item 407(d)(5)(ii) of Regulation S-K.</w:t>
      </w:r>
    </w:p>
    <w:p>
      <w:pPr>
        <w:spacing w:after="0" w:line="116"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The Audit and Risk Committee meets as often as one or more members of the Audit and Risk Committee deem necessary, but in any event, meets at least four times per year. The Audit and Risk Committee meets at least once per year with our independent accountant, without our management being present. The Audit and Risk Committee met 6 times in 2024.</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REMUNERATION COMMITTEE</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Remuneration Committee’s responsibilities include, among other things:</w:t>
      </w:r>
    </w:p>
    <w:p>
      <w:pPr>
        <w:spacing w:after="0" w:line="117" w:lineRule="exact"/>
        <w:rPr>
          <w:sz w:val="20"/>
          <w:szCs w:val="20"/>
          <w:color w:val="auto"/>
        </w:rPr>
      </w:pPr>
    </w:p>
    <w:p>
      <w:pPr>
        <w:jc w:val="both"/>
        <w:ind w:left="1800" w:right="739" w:hanging="180"/>
        <w:spacing w:after="0" w:line="266"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and agreeing with the Board of Directors the framework for the remuneration of the Company’s chief executive, chairperson, the executive directors, the company secretary and such other members of the Company’s management as it is designated to consider;</w:t>
      </w:r>
    </w:p>
    <w:p>
      <w:pPr>
        <w:spacing w:after="0" w:line="6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service contracts between the Company and its directors or between the Company and any subsidiary and its directors;</w:t>
      </w:r>
    </w:p>
    <w:p>
      <w:pPr>
        <w:spacing w:after="0" w:line="53" w:lineRule="exact"/>
        <w:rPr>
          <w:rFonts w:ascii="Times New Roman" w:cs="Times New Roman" w:eastAsia="Times New Roman" w:hAnsi="Times New Roman"/>
          <w:sz w:val="18"/>
          <w:szCs w:val="18"/>
          <w:color w:val="auto"/>
        </w:rPr>
      </w:pPr>
    </w:p>
    <w:p>
      <w:pPr>
        <w:ind w:left="1800" w:right="107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any employment and severance agreements or arrangements for the Company’s executive officers;</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9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and oversee the Company’s compliance with the compensation recovery policy required by applicable SEC and Nasdaq rules;</w:t>
      </w:r>
    </w:p>
    <w:p>
      <w:pPr>
        <w:spacing w:after="0" w:line="6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policy for, and scope of, pension arrangements for each executive director and other senior executives;</w:t>
      </w:r>
    </w:p>
    <w:p>
      <w:pPr>
        <w:spacing w:after="0" w:line="53"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the selection criteria, selecting, appointing and setting the terms of reference for any remuneration consultants who advise the Remuneration Committee and, when considered necessary, to obtain reliable, up-to-date information about remuneration in other companies;</w:t>
      </w:r>
    </w:p>
    <w:p>
      <w:pPr>
        <w:spacing w:after="0" w:line="67"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 report each year to the shareholders on behalf of the Board of Directors, which report should form part of, or be annexed to, the Company’s annual report and accounts;</w:t>
      </w:r>
    </w:p>
    <w:p>
      <w:pPr>
        <w:spacing w:after="0" w:line="53" w:lineRule="exact"/>
        <w:rPr>
          <w:rFonts w:ascii="Times New Roman" w:cs="Times New Roman" w:eastAsia="Times New Roman" w:hAnsi="Times New Roman"/>
          <w:sz w:val="18"/>
          <w:szCs w:val="18"/>
          <w:color w:val="auto"/>
        </w:rPr>
      </w:pPr>
    </w:p>
    <w:p>
      <w:pPr>
        <w:ind w:left="1800" w:right="599" w:hanging="180"/>
        <w:spacing w:after="0" w:line="261"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Company is required to include a Compensation Discussion and Analysis (“CD&amp;A”) in our proxy statement, reviewing and discussing with management our CD&amp;A and considering whether it will recommend to the Board of Directors that the CD&amp;A be included in the proxy statement; and</w:t>
      </w:r>
    </w:p>
    <w:p>
      <w:pPr>
        <w:spacing w:after="0" w:line="85" w:lineRule="exact"/>
        <w:rPr>
          <w:rFonts w:ascii="Times New Roman" w:cs="Times New Roman" w:eastAsia="Times New Roman" w:hAnsi="Times New Roman"/>
          <w:sz w:val="18"/>
          <w:szCs w:val="18"/>
          <w:color w:val="auto"/>
        </w:rPr>
      </w:pPr>
    </w:p>
    <w:p>
      <w:pPr>
        <w:ind w:left="1800" w:right="113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preparing the annual compensation committee report pursuant to the rules of the Exchange Act.</w:t>
      </w:r>
    </w:p>
    <w:p>
      <w:pPr>
        <w:spacing w:after="0" w:line="81"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Remuneration Committee has the authority to retain or obtain the advice of remuneration consultants, legal counsel and other advisors to assist in carrying out its responsibilities, including being directly responsible for the appointment, oversight and compensation of such consultant, counsel or advisor and the ability to cause us, without further action by the Board of Directors, to pay the compensation of such consultant, counsel or advisor as approved by the Remuneration Committee, provided, however, that in retaining or obtaining the advice of such consultant, counsel or advisor, other than in-house legal counsel, the Remuneration Committee shall take into consideration the factors affecting independence required by applicable SEC rules and Nasdaq rules. The Remuneration Committee also has the authority to conduct or authorize investigations into any matters within the scope of its responsibilities as it shall deem appropriate, including the authority to request any officer, employee or advisor of us to meet with the Remuneration Committee or any advisors engaged by the Remuneration Committee.</w:t>
      </w:r>
    </w:p>
    <w:p>
      <w:pPr>
        <w:spacing w:after="0" w:line="124"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During 2024, the Remuneration Committee engaged Aon Human Capital Solutions practice, a division of Aon plc (“Aon”) to provide benchmarking and advice on compensation of our executive officers and non-executive directors. The Remuneration Committee has considered the adviser independence factors required under SEC rules as they relate to (i) additional services, (ii) total fees as a percentage of total revenue,</w:t>
      </w:r>
    </w:p>
    <w:p>
      <w:pPr>
        <w:spacing w:after="0" w:line="3" w:lineRule="exact"/>
        <w:rPr>
          <w:sz w:val="20"/>
          <w:szCs w:val="20"/>
          <w:color w:val="auto"/>
        </w:rPr>
      </w:pPr>
    </w:p>
    <w:p>
      <w:pPr>
        <w:ind w:left="1260" w:right="519"/>
        <w:spacing w:after="0" w:line="253" w:lineRule="auto"/>
        <w:tabs>
          <w:tab w:leader="none" w:pos="159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of interest policies, (iv) business or personal relationships with members of the Remuneration Committee, (v) stock ownership by compensation advisors, and (vi) business or personal relationships with executives of the company and does not believe Aon’s work in 2024 raised a conflict of interest. For discussion of the role of compensation consultants in determining executive and non-executive director compensation, please refer to the section entitled “Compensation Discussion and Analysis” below.</w:t>
      </w:r>
    </w:p>
    <w:p>
      <w:pPr>
        <w:spacing w:after="0" w:line="119" w:lineRule="exact"/>
        <w:rPr>
          <w:sz w:val="20"/>
          <w:szCs w:val="20"/>
          <w:color w:val="auto"/>
        </w:rPr>
      </w:pPr>
    </w:p>
    <w:p>
      <w:pPr>
        <w:ind w:left="1260" w:right="439" w:firstLine="360"/>
        <w:spacing w:after="0" w:line="275" w:lineRule="auto"/>
        <w:rPr>
          <w:sz w:val="20"/>
          <w:szCs w:val="20"/>
          <w:color w:val="auto"/>
        </w:rPr>
      </w:pPr>
      <w:r>
        <w:rPr>
          <w:rFonts w:ascii="Times New Roman" w:cs="Times New Roman" w:eastAsia="Times New Roman" w:hAnsi="Times New Roman"/>
          <w:sz w:val="18"/>
          <w:szCs w:val="18"/>
          <w:color w:val="auto"/>
        </w:rPr>
        <w:t>The current members of our Remuneration Committee are Kenneth Cunningham, M.D., David Ebsworth, Ph.D. and Mahendra Shah, Ph.D. Dr. Cunningham serves as the Chairperson of the Remuneration Committee.</w:t>
      </w:r>
    </w:p>
    <w:p>
      <w:pPr>
        <w:spacing w:after="0" w:line="3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Remuneration Committee met 6 times during 2024.</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NOMINATION AND CORPORATE GOVERNANCE COMMITTEE</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Nomination and Corporate Governance Committee’s responsibilities include, among other things:</w:t>
      </w:r>
    </w:p>
    <w:p>
      <w:pPr>
        <w:spacing w:after="0" w:line="117" w:lineRule="exact"/>
        <w:rPr>
          <w:sz w:val="20"/>
          <w:szCs w:val="20"/>
          <w:color w:val="auto"/>
        </w:rPr>
      </w:pPr>
    </w:p>
    <w:p>
      <w:pPr>
        <w:ind w:left="1800" w:right="419" w:hanging="180"/>
        <w:spacing w:after="0" w:line="266"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structure, size and composition (including the skills, knowledge and experience) of the Board of Directors and make recommendations to the Board of Directors with regard to any adjustments that are deemed necessary;</w:t>
      </w:r>
    </w:p>
    <w:p>
      <w:pPr>
        <w:spacing w:after="0" w:line="67"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nominating, for the approval of the Board of Directors, candidates to fill Board vacancies as and when they arise;</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73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putting in place plans for the orderly succession of appointments to the Board of Directors and to senior management;</w:t>
      </w:r>
    </w:p>
    <w:p>
      <w:pPr>
        <w:spacing w:after="0" w:line="53" w:lineRule="exact"/>
        <w:rPr>
          <w:rFonts w:ascii="Times New Roman" w:cs="Times New Roman" w:eastAsia="Times New Roman" w:hAnsi="Times New Roman"/>
          <w:sz w:val="18"/>
          <w:szCs w:val="18"/>
          <w:color w:val="auto"/>
        </w:rPr>
      </w:pPr>
    </w:p>
    <w:p>
      <w:pPr>
        <w:ind w:left="1800" w:right="859" w:hanging="180"/>
        <w:spacing w:after="0" w:line="266"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of Directors on the membership of the Audit and Risk, Remuneration and Nomination and Corporate Governance Committees, in consultation with the chairs of those committees; and</w:t>
      </w:r>
    </w:p>
    <w:p>
      <w:pPr>
        <w:spacing w:after="0" w:line="67"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 periodic self-evaluation of the Board of Directors to determine whether it and its committees are functioning effectively.</w:t>
      </w:r>
    </w:p>
    <w:p>
      <w:pPr>
        <w:spacing w:after="0" w:line="94"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The current members of our Nomination and Corporate Governance Committee are Lisa Deschamps, David Ebsworth, Ph.D. and Vikas Sinha. Dr. Ebsworth serves as the Chairperson of the Nomination and Corporate Governance Committee.</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members of the Nomination and Corporate Governance Committee met 2 times during 2024.</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COMMERCIAL COMMITTEE</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Commercial Committee’s responsibilities include, among other things:</w:t>
      </w:r>
    </w:p>
    <w:p>
      <w:pPr>
        <w:spacing w:after="0" w:line="117" w:lineRule="exact"/>
        <w:rPr>
          <w:sz w:val="20"/>
          <w:szCs w:val="20"/>
          <w:color w:val="auto"/>
        </w:rPr>
      </w:pPr>
    </w:p>
    <w:p>
      <w:pPr>
        <w:ind w:left="1800" w:right="113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pricing, distribution and market access strategies for the Company’s commercial products, including the forecasting of sales;</w:t>
      </w:r>
    </w:p>
    <w:p>
      <w:pPr>
        <w:spacing w:after="0" w:line="53"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key performance indicators, including competition monitoring, that could impact the strategic direction; and</w:t>
      </w:r>
    </w:p>
    <w:p>
      <w:pPr>
        <w:spacing w:after="0" w:line="53"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strategic advice to the Company’s management and Board of Directors regarding the Company’s global expansion strategy for its commercial products, including pre-partnering product positioning considerations.</w:t>
      </w:r>
    </w:p>
    <w:p>
      <w:pPr>
        <w:spacing w:after="0" w:line="108" w:lineRule="exact"/>
        <w:rPr>
          <w:sz w:val="20"/>
          <w:szCs w:val="20"/>
          <w:color w:val="auto"/>
        </w:rPr>
      </w:pPr>
    </w:p>
    <w:p>
      <w:pPr>
        <w:ind w:left="1260" w:right="459" w:firstLine="360"/>
        <w:spacing w:after="0" w:line="275" w:lineRule="auto"/>
        <w:rPr>
          <w:sz w:val="20"/>
          <w:szCs w:val="20"/>
          <w:color w:val="auto"/>
        </w:rPr>
      </w:pPr>
      <w:r>
        <w:rPr>
          <w:rFonts w:ascii="Times New Roman" w:cs="Times New Roman" w:eastAsia="Times New Roman" w:hAnsi="Times New Roman"/>
          <w:sz w:val="18"/>
          <w:szCs w:val="18"/>
          <w:color w:val="auto"/>
        </w:rPr>
        <w:t>The current members of our Commercial Committee are Christina Ackermann, Michael Austwick, Lisa Deschamps and David Ebsworth, Ph.D. Mr. Austwick serves as the Chairperson of the Commercial Committee.</w:t>
      </w:r>
    </w:p>
    <w:p>
      <w:pPr>
        <w:spacing w:after="0" w:line="3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members of the Commercial Committee met 5 times during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620" w:right="419" w:firstLine="360"/>
        <w:spacing w:after="0" w:line="247" w:lineRule="auto"/>
        <w:rPr>
          <w:sz w:val="20"/>
          <w:szCs w:val="20"/>
          <w:color w:val="auto"/>
        </w:rPr>
      </w:pPr>
      <w:r>
        <w:rPr>
          <w:rFonts w:ascii="Times New Roman" w:cs="Times New Roman" w:eastAsia="Times New Roman" w:hAnsi="Times New Roman"/>
          <w:sz w:val="18"/>
          <w:szCs w:val="18"/>
          <w:color w:val="auto"/>
        </w:rPr>
        <w:t>In this Compensation Discussion and Analysis (“CD&amp;A”), we provide an overview and analysis of the compensation awarded to or earned by our named executive officers identified in the Summary Compensation Table below (each, an “NEO”) during fiscal year 2024, including the elements of our compensation program for NEOs, material compensation decisions made under that program for fiscal year 2024 and the material factors considered in making those decisions. Our NEOs for the year ended December 31, 2024 are:</w:t>
      </w:r>
    </w:p>
    <w:p>
      <w:pPr>
        <w:spacing w:after="0" w:line="72" w:lineRule="exact"/>
        <w:rPr>
          <w:sz w:val="20"/>
          <w:szCs w:val="20"/>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Zaccardelli, Pharm.D., President, Chief Executive Officer and Executive Director;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W. Hahn, Chief Financial Officer;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Fisher, General Counsel;</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Kathleen Rickard, M.D., Chief Medical Officer;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Claire Poll, Former General Counsel. Ms. Poll’s employment with us ended on November 2, 2024.</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2024 Performance Highlights and Pay for Performance.</w:t>
      </w:r>
    </w:p>
    <w:p>
      <w:pPr>
        <w:spacing w:after="0" w:line="148" w:lineRule="exact"/>
        <w:rPr>
          <w:sz w:val="20"/>
          <w:szCs w:val="20"/>
          <w:color w:val="auto"/>
        </w:rPr>
      </w:pPr>
    </w:p>
    <w:p>
      <w:pPr>
        <w:ind w:left="1620" w:right="679" w:firstLine="360"/>
        <w:spacing w:after="0" w:line="250" w:lineRule="auto"/>
        <w:rPr>
          <w:sz w:val="20"/>
          <w:szCs w:val="20"/>
          <w:color w:val="auto"/>
        </w:rPr>
      </w:pPr>
      <w:r>
        <w:rPr>
          <w:rFonts w:ascii="Times New Roman" w:cs="Times New Roman" w:eastAsia="Times New Roman" w:hAnsi="Times New Roman"/>
          <w:sz w:val="18"/>
          <w:szCs w:val="18"/>
          <w:color w:val="auto"/>
        </w:rPr>
        <w:t>Our executive compensation programs are designed to deliver pay in accordance with corporate and individual performance, rewarding superior performance and providing consequences for underperformance. We believe that the compensation of our NEOs for fiscal year 2024 was aligned with the Company’s performance during 2024. Highlights of that performance include:</w:t>
      </w:r>
    </w:p>
    <w:p>
      <w:pPr>
        <w:spacing w:after="0" w:line="69" w:lineRule="exact"/>
        <w:rPr>
          <w:sz w:val="20"/>
          <w:szCs w:val="20"/>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FDA approval of the Company’s New Drug Application (“NDA”) for Ohtuvayre;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launch of Ohtuvayre following FDA approval;</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Initiating a Phase 2 clinical trial of ensifentrine/glycopyrrolate fixed dose combination;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Initiating a Phase 2 clinical trial of nebulized ensifentrine in non-cystic fibrosis bronchiectasis.</w:t>
      </w:r>
    </w:p>
    <w:p>
      <w:pPr>
        <w:spacing w:after="0" w:line="158" w:lineRule="exact"/>
        <w:rPr>
          <w:sz w:val="20"/>
          <w:szCs w:val="20"/>
          <w:color w:val="auto"/>
        </w:rPr>
      </w:pPr>
    </w:p>
    <w:p>
      <w:pPr>
        <w:ind w:left="1620" w:right="459" w:firstLine="360"/>
        <w:spacing w:after="0" w:line="246" w:lineRule="auto"/>
        <w:rPr>
          <w:sz w:val="20"/>
          <w:szCs w:val="20"/>
          <w:color w:val="auto"/>
        </w:rPr>
      </w:pPr>
      <w:r>
        <w:rPr>
          <w:rFonts w:ascii="Times New Roman" w:cs="Times New Roman" w:eastAsia="Times New Roman" w:hAnsi="Times New Roman"/>
          <w:sz w:val="18"/>
          <w:szCs w:val="18"/>
          <w:color w:val="auto"/>
        </w:rPr>
        <w:t>In order to align pay with performance, a significant portion of our NEOs’ compensation is delivered in the form of equity awards and annual cash incentives, each of which depends on our actual performance. For fiscal year 2024, approximately 95% of our NEOs’ total compensation was in the form of time-based restricted share units (“RSUs”), performance-based restricted share units (“PRSUs”), share options and annual cash incentives.</w:t>
      </w:r>
    </w:p>
    <w:p>
      <w:pPr>
        <w:spacing w:after="0" w:line="110" w:lineRule="exact"/>
        <w:rPr>
          <w:sz w:val="20"/>
          <w:szCs w:val="20"/>
          <w:color w:val="auto"/>
        </w:rPr>
      </w:pPr>
    </w:p>
    <w:p>
      <w:pPr>
        <w:ind w:left="1260" w:right="979" w:firstLine="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2024 Compensation Highlights. </w:t>
      </w:r>
      <w:r>
        <w:rPr>
          <w:rFonts w:ascii="Times New Roman" w:cs="Times New Roman" w:eastAsia="Times New Roman" w:hAnsi="Times New Roman"/>
          <w:sz w:val="18"/>
          <w:szCs w:val="18"/>
          <w:color w:val="auto"/>
        </w:rPr>
        <w:t>Consistent with our compensation philosophy, key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decisions for 2024 included the following:</w:t>
      </w:r>
    </w:p>
    <w:p>
      <w:pPr>
        <w:spacing w:after="0" w:line="8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i w:val="1"/>
          <w:iCs w:val="1"/>
          <w:color w:val="auto"/>
        </w:rPr>
        <w:t>Base Salaries and Target Annual Cash Incentive Opportunities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620" w:right="519" w:firstLine="360"/>
        <w:spacing w:after="0" w:line="251" w:lineRule="auto"/>
        <w:rPr>
          <w:sz w:val="20"/>
          <w:szCs w:val="20"/>
          <w:color w:val="auto"/>
        </w:rPr>
      </w:pPr>
      <w:r>
        <w:rPr>
          <w:rFonts w:ascii="Times New Roman" w:cs="Times New Roman" w:eastAsia="Times New Roman" w:hAnsi="Times New Roman"/>
          <w:sz w:val="18"/>
          <w:szCs w:val="18"/>
          <w:color w:val="auto"/>
        </w:rPr>
        <w:t>The 2024 base salaries for our NEOs were increased from 2023 based on the market analysis of our independent compensation consultant and our Remuneration Committee’s evaluation of each executive’s role and performance. Target annual cash incentive opportunities remained level compared to 2023.</w:t>
      </w:r>
    </w:p>
    <w:p>
      <w:pPr>
        <w:spacing w:after="0" w:line="3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i w:val="1"/>
          <w:iCs w:val="1"/>
          <w:color w:val="auto"/>
        </w:rPr>
        <w:t>Annual Cash Incentives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620" w:right="419" w:firstLine="360"/>
        <w:spacing w:after="0" w:line="242" w:lineRule="auto"/>
        <w:rPr>
          <w:sz w:val="20"/>
          <w:szCs w:val="20"/>
          <w:color w:val="auto"/>
        </w:rPr>
      </w:pPr>
      <w:r>
        <w:rPr>
          <w:rFonts w:ascii="Times New Roman" w:cs="Times New Roman" w:eastAsia="Times New Roman" w:hAnsi="Times New Roman"/>
          <w:sz w:val="18"/>
          <w:szCs w:val="18"/>
          <w:color w:val="auto"/>
        </w:rPr>
        <w:t>In addition to base salaries, our NEOs are eligible to receive a discretionary bonus designed to drive the achievement of the Company’s strategic and corporate objectives. The goals are set at the start of the year by the Board of Directors and performance against objectives is assessed by the Remuneration Committee at the end of the relevant financial year. Based on its evaluation of Company performance, the Remuneration Committee determined that, in the aggregate, the Company’s corporate bonus objectives were attained at 110% of target levels of performance, and the committee approved annual bonuses that represented 110% of the target annual bonus for each of the NEOs who remained</w:t>
      </w: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39"/>
        <w:spacing w:after="0" w:line="282" w:lineRule="auto"/>
        <w:rPr>
          <w:sz w:val="20"/>
          <w:szCs w:val="20"/>
          <w:color w:val="auto"/>
        </w:rPr>
      </w:pPr>
      <w:r>
        <w:rPr>
          <w:rFonts w:ascii="Times New Roman" w:cs="Times New Roman" w:eastAsia="Times New Roman" w:hAnsi="Times New Roman"/>
          <w:sz w:val="18"/>
          <w:szCs w:val="18"/>
          <w:color w:val="auto"/>
        </w:rPr>
        <w:t>employed with us. Further details regarding our annual cash incentive program are set forth below in the section entitled “— Elements of Compensation”.</w:t>
      </w:r>
    </w:p>
    <w:p>
      <w:pPr>
        <w:spacing w:after="0" w:line="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Equity-Based Long Term Incentives</w:t>
      </w:r>
      <w:r>
        <w:rPr>
          <w:rFonts w:ascii="Times New Roman" w:cs="Times New Roman" w:eastAsia="Times New Roman" w:hAnsi="Times New Roman"/>
          <w:sz w:val="18"/>
          <w:szCs w:val="18"/>
          <w:color w:val="auto"/>
        </w:rPr>
        <w:t>.</w:t>
      </w:r>
    </w:p>
    <w:p>
      <w:pPr>
        <w:spacing w:after="0" w:line="146"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We grant equity-based compensation awards from time to time to motivate and retain our executive officers, and effectively align the interests of our executives with those of our shareholders by directly linking compensation to the value of our ordinary shares. Such awards were made in 2024 in the form of share options, RSUs and PRSUs. Additional details regarding these awards are set forth below in the section entitled “— Elements of Compensation.”</w:t>
      </w:r>
    </w:p>
    <w:p>
      <w:pPr>
        <w:spacing w:after="0" w:line="106"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Governance and Best Practices. </w:t>
      </w:r>
      <w:r>
        <w:rPr>
          <w:rFonts w:ascii="Times New Roman" w:cs="Times New Roman" w:eastAsia="Times New Roman" w:hAnsi="Times New Roman"/>
          <w:sz w:val="18"/>
          <w:szCs w:val="18"/>
          <w:color w:val="auto"/>
        </w:rPr>
        <w:t>We are committed to having strong governance standards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respect to our compensation programs, procedures and practices. Our key compensation practices include the following:</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4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What We Do</w:t>
            </w:r>
          </w:p>
        </w:tc>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What We Do Not Do</w:t>
            </w:r>
          </w:p>
        </w:tc>
        <w:tc>
          <w:tcPr>
            <w:tcW w:w="0" w:type="dxa"/>
            <w:vAlign w:val="bottom"/>
          </w:tcPr>
          <w:p>
            <w:pPr>
              <w:spacing w:after="0"/>
              <w:rPr>
                <w:sz w:val="1"/>
                <w:szCs w:val="1"/>
                <w:color w:val="auto"/>
              </w:rPr>
            </w:pPr>
          </w:p>
        </w:tc>
      </w:tr>
      <w:tr>
        <w:trPr>
          <w:trHeight w:val="37"/>
        </w:trPr>
        <w:tc>
          <w:tcPr>
            <w:tcW w:w="340" w:type="dxa"/>
            <w:vAlign w:val="bottom"/>
            <w:tcBorders>
              <w:bottom w:val="single" w:sz="8" w:color="auto"/>
            </w:tcBorders>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Emphasize performance-based, at risk</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Do not grant guaranteed equity</w:t>
            </w:r>
          </w:p>
        </w:tc>
        <w:tc>
          <w:tcPr>
            <w:tcW w:w="0" w:type="dxa"/>
            <w:vAlign w:val="bottom"/>
          </w:tcPr>
          <w:p>
            <w:pPr>
              <w:spacing w:after="0"/>
              <w:rPr>
                <w:sz w:val="1"/>
                <w:szCs w:val="1"/>
                <w:color w:val="auto"/>
              </w:rPr>
            </w:pPr>
          </w:p>
        </w:tc>
      </w:tr>
      <w:tr>
        <w:trPr>
          <w:trHeight w:val="234"/>
        </w:trPr>
        <w:tc>
          <w:tcPr>
            <w:tcW w:w="34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compensation.</w:t>
            </w:r>
          </w:p>
        </w:tc>
        <w:tc>
          <w:tcPr>
            <w:tcW w:w="320" w:type="dxa"/>
            <w:vAlign w:val="bottom"/>
          </w:tcPr>
          <w:p>
            <w:pPr>
              <w:spacing w:after="0"/>
              <w:rPr>
                <w:sz w:val="20"/>
                <w:szCs w:val="20"/>
                <w:color w:val="auto"/>
              </w:rPr>
            </w:pPr>
          </w:p>
        </w:tc>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compensation.</w:t>
            </w:r>
          </w:p>
        </w:tc>
        <w:tc>
          <w:tcPr>
            <w:tcW w:w="0" w:type="dxa"/>
            <w:vAlign w:val="bottom"/>
          </w:tcPr>
          <w:p>
            <w:pPr>
              <w:spacing w:after="0"/>
              <w:rPr>
                <w:sz w:val="1"/>
                <w:szCs w:val="1"/>
                <w:color w:val="auto"/>
              </w:rPr>
            </w:pPr>
          </w:p>
        </w:tc>
      </w:tr>
      <w:tr>
        <w:trPr>
          <w:trHeight w:val="238"/>
        </w:trPr>
        <w:tc>
          <w:tcPr>
            <w:tcW w:w="340" w:type="dxa"/>
            <w:vAlign w:val="bottom"/>
            <w:vMerge w:val="continue"/>
          </w:tcPr>
          <w:p>
            <w:pPr>
              <w:spacing w:after="0"/>
              <w:rPr>
                <w:sz w:val="20"/>
                <w:szCs w:val="20"/>
                <w:color w:val="auto"/>
              </w:rPr>
            </w:pPr>
          </w:p>
        </w:tc>
        <w:tc>
          <w:tcPr>
            <w:tcW w:w="3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Emphasize the use of equity compensation to</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Do not provide significant perquisites.</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promote executive retention and reward long-</w:t>
            </w:r>
          </w:p>
        </w:tc>
        <w:tc>
          <w:tcPr>
            <w:tcW w:w="3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term value creation.</w:t>
            </w:r>
          </w:p>
        </w:tc>
        <w:tc>
          <w:tcPr>
            <w:tcW w:w="3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40" w:type="dxa"/>
            <w:vAlign w:val="bottom"/>
            <w:vMerge w:val="continue"/>
          </w:tcPr>
          <w:p>
            <w:pPr>
              <w:spacing w:after="0"/>
              <w:rPr>
                <w:sz w:val="20"/>
                <w:szCs w:val="20"/>
                <w:color w:val="auto"/>
              </w:rPr>
            </w:pPr>
          </w:p>
        </w:tc>
        <w:tc>
          <w:tcPr>
            <w:tcW w:w="3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Weight the overall pay mix towards incentive</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Do not provide any compensation-related tax</w:t>
            </w:r>
          </w:p>
        </w:tc>
        <w:tc>
          <w:tcPr>
            <w:tcW w:w="0" w:type="dxa"/>
            <w:vAlign w:val="bottom"/>
          </w:tcPr>
          <w:p>
            <w:pPr>
              <w:spacing w:after="0"/>
              <w:rPr>
                <w:sz w:val="1"/>
                <w:szCs w:val="1"/>
                <w:color w:val="auto"/>
              </w:rPr>
            </w:pPr>
          </w:p>
        </w:tc>
      </w:tr>
      <w:tr>
        <w:trPr>
          <w:trHeight w:val="234"/>
        </w:trPr>
        <w:tc>
          <w:tcPr>
            <w:tcW w:w="34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compensation for senior executives.</w:t>
            </w:r>
          </w:p>
        </w:tc>
        <w:tc>
          <w:tcPr>
            <w:tcW w:w="320" w:type="dxa"/>
            <w:vAlign w:val="bottom"/>
          </w:tcPr>
          <w:p>
            <w:pPr>
              <w:spacing w:after="0"/>
              <w:rPr>
                <w:sz w:val="20"/>
                <w:szCs w:val="20"/>
                <w:color w:val="auto"/>
              </w:rPr>
            </w:pPr>
          </w:p>
        </w:tc>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gross-ups.</w:t>
            </w:r>
          </w:p>
        </w:tc>
        <w:tc>
          <w:tcPr>
            <w:tcW w:w="0" w:type="dxa"/>
            <w:vAlign w:val="bottom"/>
          </w:tcPr>
          <w:p>
            <w:pPr>
              <w:spacing w:after="0"/>
              <w:rPr>
                <w:sz w:val="1"/>
                <w:szCs w:val="1"/>
                <w:color w:val="auto"/>
              </w:rPr>
            </w:pPr>
          </w:p>
        </w:tc>
      </w:tr>
      <w:tr>
        <w:trPr>
          <w:trHeight w:val="238"/>
        </w:trPr>
        <w:tc>
          <w:tcPr>
            <w:tcW w:w="340" w:type="dxa"/>
            <w:vAlign w:val="bottom"/>
            <w:vMerge w:val="continue"/>
          </w:tcPr>
          <w:p>
            <w:pPr>
              <w:spacing w:after="0"/>
              <w:rPr>
                <w:sz w:val="20"/>
                <w:szCs w:val="20"/>
                <w:color w:val="auto"/>
              </w:rPr>
            </w:pPr>
          </w:p>
        </w:tc>
        <w:tc>
          <w:tcPr>
            <w:tcW w:w="3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Engage an independent compensation</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Do not reprice our option awards and our</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consultant to advise our Remuneration</w:t>
            </w:r>
          </w:p>
        </w:tc>
        <w:tc>
          <w:tcPr>
            <w:tcW w:w="320" w:type="dxa"/>
            <w:vAlign w:val="bottom"/>
          </w:tcPr>
          <w:p>
            <w:pPr>
              <w:spacing w:after="0"/>
              <w:rPr>
                <w:sz w:val="18"/>
                <w:szCs w:val="18"/>
                <w:color w:val="auto"/>
              </w:rPr>
            </w:pPr>
          </w:p>
        </w:tc>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incentive plan expressly forbids</w:t>
            </w:r>
          </w:p>
        </w:tc>
        <w:tc>
          <w:tcPr>
            <w:tcW w:w="0" w:type="dxa"/>
            <w:vAlign w:val="bottom"/>
          </w:tcPr>
          <w:p>
            <w:pPr>
              <w:spacing w:after="0"/>
              <w:rPr>
                <w:sz w:val="1"/>
                <w:szCs w:val="1"/>
                <w:color w:val="auto"/>
              </w:rPr>
            </w:pPr>
          </w:p>
        </w:tc>
      </w:tr>
      <w:tr>
        <w:trPr>
          <w:trHeight w:val="216"/>
        </w:trPr>
        <w:tc>
          <w:tcPr>
            <w:tcW w:w="34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Committee.</w:t>
            </w:r>
          </w:p>
        </w:tc>
        <w:tc>
          <w:tcPr>
            <w:tcW w:w="320" w:type="dxa"/>
            <w:vAlign w:val="bottom"/>
          </w:tcPr>
          <w:p>
            <w:pPr>
              <w:spacing w:after="0"/>
              <w:rPr>
                <w:sz w:val="18"/>
                <w:szCs w:val="18"/>
                <w:color w:val="auto"/>
              </w:rPr>
            </w:pPr>
          </w:p>
        </w:tc>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exchanging underwater options for cash</w:t>
            </w:r>
          </w:p>
        </w:tc>
        <w:tc>
          <w:tcPr>
            <w:tcW w:w="0" w:type="dxa"/>
            <w:vAlign w:val="bottom"/>
          </w:tcPr>
          <w:p>
            <w:pPr>
              <w:spacing w:after="0"/>
              <w:rPr>
                <w:sz w:val="1"/>
                <w:szCs w:val="1"/>
                <w:color w:val="auto"/>
              </w:rPr>
            </w:pPr>
          </w:p>
        </w:tc>
      </w:tr>
      <w:tr>
        <w:trPr>
          <w:trHeight w:val="257"/>
        </w:trPr>
        <w:tc>
          <w:tcPr>
            <w:tcW w:w="340" w:type="dxa"/>
            <w:vAlign w:val="bottom"/>
            <w:vMerge w:val="continue"/>
          </w:tcPr>
          <w:p>
            <w:pPr>
              <w:spacing w:after="0"/>
              <w:rPr>
                <w:sz w:val="22"/>
                <w:szCs w:val="22"/>
                <w:color w:val="auto"/>
              </w:rPr>
            </w:pPr>
          </w:p>
        </w:tc>
        <w:tc>
          <w:tcPr>
            <w:tcW w:w="3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Maintain a clawback policy and policies</w:t>
            </w:r>
          </w:p>
        </w:tc>
        <w:tc>
          <w:tcPr>
            <w:tcW w:w="320" w:type="dxa"/>
            <w:vAlign w:val="bottom"/>
          </w:tcPr>
          <w:p>
            <w:pPr>
              <w:spacing w:after="0"/>
              <w:rPr>
                <w:sz w:val="22"/>
                <w:szCs w:val="22"/>
                <w:color w:val="auto"/>
              </w:rPr>
            </w:pPr>
          </w:p>
        </w:tc>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without shareholder approval.</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prohibiting insider trading, hedging and</w:t>
            </w:r>
          </w:p>
        </w:tc>
        <w:tc>
          <w:tcPr>
            <w:tcW w:w="3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pledging</w:t>
            </w:r>
          </w:p>
        </w:tc>
        <w:tc>
          <w:tcPr>
            <w:tcW w:w="3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Compensation Objectives and Philosophy</w:t>
      </w:r>
    </w:p>
    <w:p>
      <w:pPr>
        <w:spacing w:after="0" w:line="148"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The key objective in our executive compensation program is to attract, motivate, and reward leaders who have the skills and experience necessary to successfully execute on our strategic plan to maximize shareholder value. Our executive compensation program is designed to:</w:t>
      </w:r>
    </w:p>
    <w:p>
      <w:pPr>
        <w:spacing w:after="0" w:line="61" w:lineRule="exact"/>
        <w:rPr>
          <w:sz w:val="20"/>
          <w:szCs w:val="20"/>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talented and experienced executives in a competitive and dynamic market;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our NEOs to help our company achieve the best possible financial and operational results;</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reward opportunities consistent with our performance on both a short-term and long-term basis;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long-term interests of our NEOs with those of our shareholders.</w:t>
      </w:r>
    </w:p>
    <w:p>
      <w:pPr>
        <w:spacing w:after="0" w:line="158"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We strive to set our overall total compensation at a competitive level. Executives may be compensated above or below the targeted market position based on factors such as experience, performance, scope of position and the competitive demand for proven executive talent, as described further below under “</w:t>
      </w:r>
      <w:r>
        <w:rPr>
          <w:rFonts w:ascii="Times New Roman" w:cs="Times New Roman" w:eastAsia="Times New Roman" w:hAnsi="Times New Roman"/>
          <w:sz w:val="18"/>
          <w:szCs w:val="18"/>
          <w:i w:val="1"/>
          <w:iCs w:val="1"/>
          <w:color w:val="auto"/>
        </w:rPr>
        <w:t>Determination of Executive Compensation</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Determination of Executive Compensation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Role of Remuneration Committee</w:t>
      </w:r>
    </w:p>
    <w:p>
      <w:pPr>
        <w:spacing w:after="0" w:line="148" w:lineRule="exact"/>
        <w:rPr>
          <w:sz w:val="20"/>
          <w:szCs w:val="20"/>
          <w:color w:val="auto"/>
        </w:rPr>
      </w:pPr>
    </w:p>
    <w:p>
      <w:pPr>
        <w:ind w:left="1260" w:right="599" w:firstLine="360"/>
        <w:spacing w:after="0" w:line="264" w:lineRule="auto"/>
        <w:rPr>
          <w:sz w:val="20"/>
          <w:szCs w:val="20"/>
          <w:color w:val="auto"/>
        </w:rPr>
      </w:pPr>
      <w:r>
        <w:rPr>
          <w:rFonts w:ascii="Times New Roman" w:cs="Times New Roman" w:eastAsia="Times New Roman" w:hAnsi="Times New Roman"/>
          <w:sz w:val="18"/>
          <w:szCs w:val="18"/>
          <w:color w:val="auto"/>
        </w:rPr>
        <w:t>The Remuneration Committee is responsible for establishing and overseeing our executive compensation programs and determines the compensation to be provided to the NEOs, with the agreement of the Board.</w:t>
      </w:r>
    </w:p>
    <w:p>
      <w:pPr>
        <w:spacing w:after="0" w:line="314" w:lineRule="exact"/>
        <w:rPr>
          <w:sz w:val="20"/>
          <w:szCs w:val="20"/>
          <w:color w:val="auto"/>
        </w:rPr>
      </w:pPr>
    </w:p>
    <w:p>
      <w:pPr>
        <w:ind w:left="1260" w:right="1039" w:firstLine="360"/>
        <w:spacing w:after="0" w:line="266" w:lineRule="auto"/>
        <w:rPr>
          <w:sz w:val="20"/>
          <w:szCs w:val="20"/>
          <w:color w:val="auto"/>
        </w:rPr>
      </w:pPr>
      <w:r>
        <w:rPr>
          <w:rFonts w:ascii="Times New Roman" w:cs="Times New Roman" w:eastAsia="Times New Roman" w:hAnsi="Times New Roman"/>
          <w:sz w:val="18"/>
          <w:szCs w:val="18"/>
          <w:color w:val="auto"/>
        </w:rPr>
        <w:t>In setting executive compensation, the Remuneration Committee considers a number of factors, including the recommendations of our Chief Executive Officer (other than with respect to the Chief</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4" w:lineRule="auto"/>
        <w:rPr>
          <w:sz w:val="20"/>
          <w:szCs w:val="20"/>
          <w:color w:val="auto"/>
        </w:rPr>
      </w:pPr>
      <w:r>
        <w:rPr>
          <w:rFonts w:ascii="Times New Roman" w:cs="Times New Roman" w:eastAsia="Times New Roman" w:hAnsi="Times New Roman"/>
          <w:sz w:val="18"/>
          <w:szCs w:val="18"/>
          <w:color w:val="auto"/>
        </w:rPr>
        <w:t>Executive Officer’s own compensation) and our human resources team, current and past total compensation, competitive market data and analysis provided by the Remuneration Committee’s independent compensation consultant, Company performance and each executive’s impact on performance, each executive’s relative scope of responsibility and potential, each executive’s individual performance and demonstrated leadership, and internal equity pay considerations. Our Chief Executive Officer’s recommendations are based on his evaluation of each other NEO’s individual performance and contributions, of which our Chief Executive Officer has direct knowledge. Our Board makes decisions regarding our Chief Executive Officer’s compensation, following recommendation from the Remuneration Committee.</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Consultant</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In order to design a competitive executive compensation program that will continue to attract top executive talent and reflect our compensation philosophy, our Remuneration Committee has retained Aon as an independent compensation consultant to provide benchmarking and executive compensation advisory services, help evaluate our compensation philosophy and objectives and provide guidance in administering our executive compensation program. The Remuneration Committee has evaluated Aon’s independence pursuant to the requirements of the SEC rules and has determined that Aon does not have any conflicts of interest in advising the Remuneration Committee. Aon did not provide any other services to the Company in 2024 for which the amount of fees exceeded $120,000.</w:t>
      </w:r>
    </w:p>
    <w:p>
      <w:pPr>
        <w:spacing w:after="0" w:line="124" w:lineRule="exact"/>
        <w:rPr>
          <w:sz w:val="20"/>
          <w:szCs w:val="20"/>
          <w:color w:val="auto"/>
        </w:rPr>
      </w:pPr>
    </w:p>
    <w:p>
      <w:pPr>
        <w:ind w:left="1260" w:right="1119" w:firstLine="360"/>
        <w:spacing w:after="0" w:line="266" w:lineRule="auto"/>
        <w:rPr>
          <w:sz w:val="20"/>
          <w:szCs w:val="20"/>
          <w:color w:val="auto"/>
        </w:rPr>
      </w:pPr>
      <w:r>
        <w:rPr>
          <w:rFonts w:ascii="Times New Roman" w:cs="Times New Roman" w:eastAsia="Times New Roman" w:hAnsi="Times New Roman"/>
          <w:sz w:val="18"/>
          <w:szCs w:val="18"/>
          <w:color w:val="auto"/>
        </w:rPr>
        <w:t>In consultation with Aon, in July 2024, our Remuneration Committee selected the following 18 companies as our peer group for 2024, focusing on revenue, industry, talent competitors, market capitalization, and a mix of other quantitative factors:</w:t>
      </w:r>
    </w:p>
    <w:p>
      <w:pPr>
        <w:spacing w:after="0" w:line="122" w:lineRule="exact"/>
        <w:rPr>
          <w:sz w:val="20"/>
          <w:szCs w:val="20"/>
          <w:color w:val="auto"/>
        </w:rPr>
      </w:pPr>
    </w:p>
    <w:tbl>
      <w:tblPr>
        <w:tblLayout w:type="fixed"/>
        <w:tblInd w:w="128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Agios Pharmaceuticals</w:t>
            </w:r>
          </w:p>
        </w:tc>
        <w:tc>
          <w:tcPr>
            <w:tcW w:w="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Heron Therapeutics</w:t>
            </w:r>
          </w:p>
        </w:tc>
        <w:tc>
          <w:tcPr>
            <w:tcW w:w="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Rhythm Pharmaceuticals</w:t>
            </w:r>
          </w:p>
        </w:tc>
      </w:tr>
      <w:tr>
        <w:trPr>
          <w:trHeight w:val="257"/>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Akero Therapeutics</w:t>
            </w:r>
          </w:p>
        </w:tc>
        <w:tc>
          <w:tcPr>
            <w:tcW w:w="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Immunocore Holdings</w:t>
            </w:r>
          </w:p>
        </w:tc>
        <w:tc>
          <w:tcPr>
            <w:tcW w:w="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SpringWorks Therapeutics</w:t>
            </w:r>
          </w:p>
        </w:tc>
      </w:tr>
      <w:tr>
        <w:trPr>
          <w:trHeight w:val="256"/>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Aurinia Pharmaceuticals</w:t>
            </w:r>
          </w:p>
        </w:tc>
        <w:tc>
          <w:tcPr>
            <w:tcW w:w="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Krystal Biotech</w:t>
            </w:r>
          </w:p>
        </w:tc>
        <w:tc>
          <w:tcPr>
            <w:tcW w:w="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Tarsus Pharmaceuticals</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Axsome Therapeutics</w:t>
            </w:r>
          </w:p>
        </w:tc>
        <w:tc>
          <w:tcPr>
            <w:tcW w:w="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Madrigal Pharmaceuticals</w:t>
            </w:r>
          </w:p>
        </w:tc>
        <w:tc>
          <w:tcPr>
            <w:tcW w:w="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TG Therapeutics</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BioCryst Pharmaceuticals</w:t>
            </w:r>
          </w:p>
        </w:tc>
        <w:tc>
          <w:tcPr>
            <w:tcW w:w="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Northwest Biotherapeutics</w:t>
            </w:r>
          </w:p>
        </w:tc>
        <w:tc>
          <w:tcPr>
            <w:tcW w:w="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Viridian Therapeutics</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Day One Biopharmaceuticals</w:t>
            </w:r>
          </w:p>
        </w:tc>
        <w:tc>
          <w:tcPr>
            <w:tcW w:w="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Phathom Pharmaceuticals</w:t>
            </w:r>
          </w:p>
        </w:tc>
        <w:tc>
          <w:tcPr>
            <w:tcW w:w="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Xenon Pharmaceuticals</w:t>
            </w:r>
          </w:p>
        </w:tc>
      </w:tr>
    </w:tbl>
    <w:p>
      <w:pPr>
        <w:spacing w:after="0" w:line="130" w:lineRule="exact"/>
        <w:rPr>
          <w:sz w:val="20"/>
          <w:szCs w:val="20"/>
          <w:color w:val="auto"/>
        </w:rPr>
      </w:pPr>
    </w:p>
    <w:p>
      <w:pPr>
        <w:ind w:left="1260" w:right="579" w:firstLine="360"/>
        <w:spacing w:after="0" w:line="241" w:lineRule="auto"/>
        <w:rPr>
          <w:sz w:val="20"/>
          <w:szCs w:val="20"/>
          <w:color w:val="auto"/>
        </w:rPr>
      </w:pPr>
      <w:r>
        <w:rPr>
          <w:rFonts w:ascii="Times New Roman" w:cs="Times New Roman" w:eastAsia="Times New Roman" w:hAnsi="Times New Roman"/>
          <w:sz w:val="18"/>
          <w:szCs w:val="18"/>
          <w:color w:val="auto"/>
        </w:rPr>
        <w:t>The peer group is used to support compensation decisions and is used for relative performance comparisons in the context of our incentive plans. As of July 2024, as compared to such peer group, we were at the 44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for 30 day average market capitalization, and the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for headcount. The peer group reflected the following changes from our 2023 peer group: Amylyx Pharmaceuticals, Marinus Pharmaceuticals, Mirati Therapeutics and ProKidney Corp. were removed due to significantly lower market capitalizations and M&amp;A activity and Day One Biopharmaceuticals, Heron Therapeutics and Tarsus Pharmaceuticals were added in order to strengthen the commercial stage focus and market capitalization alignment with Verona.</w:t>
      </w:r>
    </w:p>
    <w:p>
      <w:pPr>
        <w:spacing w:after="0" w:line="1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October 2024, Aon provided an analysis of data derived from (i) members of our peer group and</w:t>
      </w:r>
    </w:p>
    <w:p>
      <w:pPr>
        <w:spacing w:after="0" w:line="27" w:lineRule="exact"/>
        <w:rPr>
          <w:sz w:val="20"/>
          <w:szCs w:val="20"/>
          <w:color w:val="auto"/>
        </w:rPr>
      </w:pPr>
    </w:p>
    <w:p>
      <w:pPr>
        <w:ind w:left="1260" w:right="479"/>
        <w:spacing w:after="0" w:line="251" w:lineRule="auto"/>
        <w:tabs>
          <w:tab w:leader="none" w:pos="154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2024 Radford McLagan survey, the constituent companies of which were not provided to the Remuneration Committee, but reflected a broad industry group of newly-commercial Life Sciences companies with market capitalizations between $500 million and $4.5 billion and employee headcount between 70 and 650 employees. For 2024, the Remuneration Committee used Aon’s analysis to help structure a competitive executive compensation program, position executive compensation by considering market data, and make individual compensation decisions based on comparable positions at companies with which we compete for talent. While the Remuneration Committee does not establish compensation levels solely based on a review of competitive data or benchmark to any particular level, it believes such data is a useful tool in its deliberations as our compensation policies and practices must be competitive in the marketplace for us to be able to attract, motivate and retain qualified executive officers.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Elements of Compensation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primary elements of our NEOs’ compensation and the main objectives of each are:</w:t>
      </w:r>
    </w:p>
    <w:p>
      <w:pPr>
        <w:spacing w:after="0" w:line="115" w:lineRule="exact"/>
        <w:rPr>
          <w:sz w:val="20"/>
          <w:szCs w:val="20"/>
          <w:color w:val="auto"/>
        </w:rPr>
      </w:pPr>
    </w:p>
    <w:p>
      <w:pPr>
        <w:ind w:left="1800" w:right="699" w:hanging="180"/>
        <w:spacing w:after="0" w:line="284"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Base Salary</w:t>
      </w:r>
      <w:r>
        <w:rPr>
          <w:rFonts w:ascii="Times New Roman" w:cs="Times New Roman" w:eastAsia="Times New Roman" w:hAnsi="Times New Roman"/>
          <w:sz w:val="18"/>
          <w:szCs w:val="18"/>
          <w:color w:val="auto"/>
        </w:rPr>
        <w:t>. Base salary attracts and retains talented executives, recognizes individual roles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responsibilities, and is a stable, fixed component of our compensation program;</w:t>
      </w:r>
    </w:p>
    <w:p>
      <w:pPr>
        <w:spacing w:after="0" w:line="50" w:lineRule="exact"/>
        <w:rPr>
          <w:rFonts w:ascii="Times New Roman" w:cs="Times New Roman" w:eastAsia="Times New Roman" w:hAnsi="Times New Roman"/>
          <w:sz w:val="18"/>
          <w:szCs w:val="18"/>
          <w:color w:val="auto"/>
        </w:rPr>
      </w:pPr>
    </w:p>
    <w:p>
      <w:pPr>
        <w:jc w:val="both"/>
        <w:ind w:left="1800" w:right="559" w:hanging="180"/>
        <w:spacing w:after="0" w:line="267"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Performance-Based Incentive Compensation</w:t>
      </w:r>
      <w:r>
        <w:rPr>
          <w:rFonts w:ascii="Times New Roman" w:cs="Times New Roman" w:eastAsia="Times New Roman" w:hAnsi="Times New Roman"/>
          <w:sz w:val="18"/>
          <w:szCs w:val="18"/>
          <w:color w:val="auto"/>
        </w:rPr>
        <w:t>. Annual performance bonuses are a cash, “at-risk” component of our compensation program and promote short-term performance objectives and reward executives for their contributions toward achieving those objectives;</w:t>
      </w:r>
    </w:p>
    <w:p>
      <w:pPr>
        <w:spacing w:after="0" w:line="65"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Equity Based Long-Term Incentive Compensation</w:t>
      </w:r>
      <w:r>
        <w:rPr>
          <w:rFonts w:ascii="Times New Roman" w:cs="Times New Roman" w:eastAsia="Times New Roman" w:hAnsi="Times New Roman"/>
          <w:sz w:val="18"/>
          <w:szCs w:val="18"/>
          <w:color w:val="auto"/>
        </w:rPr>
        <w:t>. Equity compensation, generally provided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of RSUs (25% of the annual equity award) and PRSUs (75% of the annual equity award), aligns executives’ interests with our shareholders’ interests, emphasizes long-term financial and operational performance, and helps retain executive talent.</w:t>
      </w:r>
    </w:p>
    <w:p>
      <w:pPr>
        <w:spacing w:after="0" w:line="114"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In addition, our NEOs are eligible to participate in our health and welfare programs and our 401(k) plan on the same basis as our other employees. We also maintain employment and severance arrangements as well as a change in control severance plan, which aid in attracting and retaining executive talent and help executives to remain focused and dedicated during potential transition periods due to a change in control. Each of these elements of compensation for 2024 is described further below.</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62"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The base salaries of our NEOs are an important part of their total compensation package, and are intended to reflect their respective skills, experiences, role and responsibilities. Base salary is a visible and stable fixed component of our compensation program. Base salaries provide our NEOs with a reasonable degree of financial certainty and stability. Our Remuneration Committee periodically reviews and determines the base salaries of our executives in consultation with management and evaluates the base salaries of new hires at the time of hire.</w:t>
      </w:r>
    </w:p>
    <w:p>
      <w:pPr>
        <w:spacing w:after="0" w:line="106"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In October 2023, our Remuneration Committee approved base salary increases for 2024 of 4% for our CEO and CFO and up to 10% for our CMO and General Counsel, and in October 2024, our Remuneration Committee approved base salary increases for 2025 of 4% for each of NEOs who remained employed with us. Such increases were based on the market analysis of our independent market compensation consultant and our Remuneration Committee’s evaluation of each executive’s role and performance, as well as to reflect additional considerations set forth above under “</w:t>
      </w:r>
      <w:r>
        <w:rPr>
          <w:rFonts w:ascii="Times New Roman" w:cs="Times New Roman" w:eastAsia="Times New Roman" w:hAnsi="Times New Roman"/>
          <w:sz w:val="18"/>
          <w:szCs w:val="18"/>
          <w:i w:val="1"/>
          <w:iCs w:val="1"/>
          <w:color w:val="auto"/>
        </w:rPr>
        <w:t>Determination of Executive Compensation</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Following such determinations, our NEOs’ base salaries were as set forth below. All annual base salary increases were effective January 1st of the given year:</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2023 Annualized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 Annualized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 Annualized</w:t>
            </w:r>
          </w:p>
        </w:tc>
        <w:tc>
          <w:tcPr>
            <w:tcW w:w="40" w:type="dxa"/>
            <w:vAlign w:val="bottom"/>
          </w:tcPr>
          <w:p>
            <w:pPr>
              <w:spacing w:after="0"/>
              <w:rPr>
                <w:sz w:val="14"/>
                <w:szCs w:val="14"/>
                <w:color w:val="auto"/>
              </w:rPr>
            </w:pPr>
          </w:p>
        </w:tc>
      </w:tr>
      <w:tr>
        <w:trPr>
          <w:trHeight w:val="162"/>
        </w:trPr>
        <w:tc>
          <w:tcPr>
            <w:tcW w:w="4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Base Salary</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Base Salary</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Base Salary</w:t>
            </w:r>
          </w:p>
        </w:tc>
        <w:tc>
          <w:tcPr>
            <w:tcW w:w="40" w:type="dxa"/>
            <w:vAlign w:val="bottom"/>
          </w:tcPr>
          <w:p>
            <w:pPr>
              <w:spacing w:after="0"/>
              <w:rPr>
                <w:sz w:val="14"/>
                <w:szCs w:val="14"/>
                <w:color w:val="auto"/>
              </w:rPr>
            </w:pPr>
          </w:p>
        </w:tc>
      </w:tr>
      <w:tr>
        <w:trPr>
          <w:trHeight w:val="190"/>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0" w:type="dxa"/>
            <w:vAlign w:val="bottom"/>
          </w:tcPr>
          <w:p>
            <w:pPr>
              <w:spacing w:after="0"/>
              <w:rPr>
                <w:sz w:val="16"/>
                <w:szCs w:val="16"/>
                <w:color w:val="auto"/>
              </w:rPr>
            </w:pPr>
          </w:p>
        </w:tc>
        <w:tc>
          <w:tcPr>
            <w:tcW w:w="66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6"/>
                <w:szCs w:val="16"/>
                <w:color w:val="auto"/>
              </w:rPr>
            </w:pPr>
          </w:p>
        </w:tc>
      </w:tr>
      <w:tr>
        <w:trPr>
          <w:trHeight w:val="23"/>
        </w:trPr>
        <w:tc>
          <w:tcPr>
            <w:tcW w:w="4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Zaccardelli</w:t>
            </w:r>
          </w:p>
        </w:tc>
        <w:tc>
          <w:tcPr>
            <w:tcW w:w="10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​$839,437</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​$873,015</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​$907,936</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W. Hahn</w:t>
            </w:r>
          </w:p>
        </w:tc>
        <w:tc>
          <w:tcPr>
            <w:tcW w:w="100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​$559,625</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​$582,010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​$605,290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Fisher</w:t>
            </w:r>
          </w:p>
        </w:tc>
        <w:tc>
          <w:tcPr>
            <w:tcW w:w="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​$425,000</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​$442,000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Kathleen Rickard</w:t>
            </w:r>
          </w:p>
        </w:tc>
        <w:tc>
          <w:tcPr>
            <w:tcW w:w="100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​$458,333</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​$504,167</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​$524,333</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Claire Poll</w:t>
            </w:r>
            <w:r>
              <w:rPr>
                <w:rFonts w:ascii="Times New Roman" w:cs="Times New Roman" w:eastAsia="Times New Roman" w:hAnsi="Times New Roman"/>
                <w:sz w:val="23"/>
                <w:szCs w:val="23"/>
                <w:color w:val="auto"/>
                <w:vertAlign w:val="superscript"/>
              </w:rPr>
              <w:t>(1)</w:t>
            </w:r>
          </w:p>
        </w:tc>
        <w:tc>
          <w:tcPr>
            <w:tcW w:w="10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​$360,552</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​$396,607</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5223510</wp:posOffset>
            </wp:positionH>
            <wp:positionV relativeFrom="paragraph">
              <wp:posOffset>-839470</wp:posOffset>
            </wp:positionV>
            <wp:extent cx="137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4434840</wp:posOffset>
            </wp:positionH>
            <wp:positionV relativeFrom="paragraph">
              <wp:posOffset>-839470</wp:posOffset>
            </wp:positionV>
            <wp:extent cx="137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3646170</wp:posOffset>
            </wp:positionH>
            <wp:positionV relativeFrom="paragraph">
              <wp:posOffset>-839470</wp:posOffset>
            </wp:positionV>
            <wp:extent cx="137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3" w:lineRule="exact"/>
        <w:rPr>
          <w:sz w:val="20"/>
          <w:szCs w:val="20"/>
          <w:color w:val="auto"/>
        </w:rPr>
      </w:pPr>
    </w:p>
    <w:p>
      <w:pPr>
        <w:jc w:val="both"/>
        <w:ind w:left="1620" w:right="679" w:hanging="360"/>
        <w:spacing w:after="0" w:line="275" w:lineRule="auto"/>
        <w:tabs>
          <w:tab w:leader="none" w:pos="1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Poll’s employment with us ended on November 2, 2024. Upon her retirement, Ms. Poll received her accrued base salary and accrued, vested benefits, but did not receive any severance payments or benefits.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Cash Incentive Compensation</w:t>
      </w:r>
    </w:p>
    <w:p>
      <w:pPr>
        <w:spacing w:after="0" w:line="148"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We consider annual cash incentive bonuses to be an important component of our total compensation program and provides incentives necessary to retain executive officers. Each NEO (other than Ms. Poll) was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spacing w:after="0" w:line="258" w:lineRule="auto"/>
        <w:rPr>
          <w:sz w:val="20"/>
          <w:szCs w:val="20"/>
          <w:color w:val="auto"/>
        </w:rPr>
      </w:pPr>
      <w:r>
        <w:rPr>
          <w:rFonts w:ascii="Times New Roman" w:cs="Times New Roman" w:eastAsia="Times New Roman" w:hAnsi="Times New Roman"/>
          <w:sz w:val="18"/>
          <w:szCs w:val="18"/>
          <w:color w:val="auto"/>
        </w:rPr>
        <w:t>eligible to receive a discretionary annual performance-based cash bonus based on the achievement of the Company’s strategic and corporate objectives, with the amount of bonus expressed as a percentage of the named NEO’s base salary. In fiscal year 2024, our NEOs participated in our annual cash incentive bonus program at the following target percentages of base salary (which were the same target percentages as applied in fiscal year 2023 for those NEOs who were employed during fiscal year 2023).</w:t>
      </w:r>
    </w:p>
    <w:p>
      <w:pPr>
        <w:spacing w:after="0" w:line="15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40" w:type="dxa"/>
            <w:vAlign w:val="bottom"/>
          </w:tcPr>
          <w:p>
            <w:pPr>
              <w:spacing w:after="0"/>
              <w:rPr>
                <w:sz w:val="14"/>
                <w:szCs w:val="14"/>
                <w:color w:val="auto"/>
              </w:rPr>
            </w:pPr>
          </w:p>
        </w:tc>
      </w:tr>
      <w:tr>
        <w:trPr>
          <w:trHeight w:val="214"/>
        </w:trPr>
        <w:tc>
          <w:tcPr>
            <w:tcW w:w="4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760" w:type="dxa"/>
            <w:vAlign w:val="bottom"/>
            <w:gridSpan w:val="2"/>
          </w:tcPr>
          <w:p>
            <w:pPr>
              <w:ind w:left="2540"/>
              <w:spacing w:after="0"/>
              <w:rPr>
                <w:sz w:val="20"/>
                <w:szCs w:val="20"/>
                <w:color w:val="auto"/>
              </w:rPr>
            </w:pPr>
            <w:r>
              <w:rPr>
                <w:rFonts w:ascii="Times New Roman" w:cs="Times New Roman" w:eastAsia="Times New Roman" w:hAnsi="Times New Roman"/>
                <w:sz w:val="14"/>
                <w:szCs w:val="14"/>
                <w:b w:val="1"/>
                <w:bCs w:val="1"/>
                <w:color w:val="auto"/>
              </w:rPr>
              <w:t>​ ​</w:t>
            </w:r>
          </w:p>
        </w:tc>
        <w:tc>
          <w:tcPr>
            <w:tcW w:w="72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Percentage</w:t>
            </w:r>
            <w:r>
              <w:rPr>
                <w:rFonts w:ascii="Times New Roman" w:cs="Times New Roman" w:eastAsia="Times New Roman" w:hAnsi="Times New Roman"/>
                <w:sz w:val="24"/>
                <w:szCs w:val="24"/>
                <w:b w:val="1"/>
                <w:bCs w:val="1"/>
                <w:color w:val="auto"/>
                <w:vertAlign w:val="subscript"/>
              </w:rPr>
              <w:t>​</w:t>
            </w:r>
          </w:p>
        </w:tc>
      </w:tr>
      <w:tr>
        <w:trPr>
          <w:trHeight w:val="250"/>
        </w:trPr>
        <w:tc>
          <w:tcPr>
            <w:tcW w:w="4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Zaccardelli</w:t>
            </w:r>
          </w:p>
        </w:tc>
        <w:tc>
          <w:tcPr>
            <w:tcW w:w="256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top w:val="single" w:sz="8" w:color="auto"/>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Mark W. Hahn</w:t>
            </w:r>
          </w:p>
        </w:tc>
        <w:tc>
          <w:tcPr>
            <w:tcW w:w="2560" w:type="dxa"/>
            <w:vAlign w:val="bottom"/>
          </w:tcPr>
          <w:p>
            <w:pPr>
              <w:spacing w:after="0"/>
              <w:rPr>
                <w:sz w:val="22"/>
                <w:szCs w:val="22"/>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50%</w:t>
            </w:r>
            <w:r>
              <w:rPr>
                <w:rFonts w:ascii="Times New Roman" w:cs="Times New Roman" w:eastAsia="Times New Roman" w:hAnsi="Times New Roman"/>
                <w:sz w:val="18"/>
                <w:szCs w:val="18"/>
                <w:b w:val="1"/>
                <w:bCs w:val="1"/>
                <w:color w:val="auto"/>
              </w:rPr>
              <w:t xml:space="preserve"> ​</w:t>
            </w:r>
          </w:p>
        </w:tc>
      </w:tr>
      <w:tr>
        <w:trPr>
          <w:trHeight w:val="25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Fisher</w:t>
            </w:r>
          </w:p>
        </w:tc>
        <w:tc>
          <w:tcPr>
            <w:tcW w:w="2560" w:type="dxa"/>
            <w:vAlign w:val="bottom"/>
            <w:shd w:val="clear" w:color="auto" w:fill="CCEEFF"/>
          </w:tcPr>
          <w:p>
            <w:pPr>
              <w:spacing w:after="0"/>
              <w:rPr>
                <w:sz w:val="22"/>
                <w:szCs w:val="22"/>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Kathleen Rickard</w:t>
            </w:r>
          </w:p>
        </w:tc>
        <w:tc>
          <w:tcPr>
            <w:tcW w:w="2560" w:type="dxa"/>
            <w:vAlign w:val="bottom"/>
          </w:tcPr>
          <w:p>
            <w:pPr>
              <w:spacing w:after="0"/>
              <w:rPr>
                <w:sz w:val="24"/>
                <w:szCs w:val="24"/>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5214620</wp:posOffset>
            </wp:positionH>
            <wp:positionV relativeFrom="paragraph">
              <wp:posOffset>-676910</wp:posOffset>
            </wp:positionV>
            <wp:extent cx="137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3"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For 2024, our corporate bonus objectives were based on operational and financial milestones, which consisted of achieving FDA approval of the Company’s NDA for Ohtuvayre, the commercial launch of Ohtuvayre, completion CMC formulation evaluation and tech transfer, initiating a Phase 2 clinical trial ensifentrine/ glycopyrrolate fixed dose combination, initiating a Phase 2 clinical trial of nebulized ensifentrine in non-cystic fibrosis bronchiectasis, advancement or completion of product in-licensing and/or ensifentrine partnership in at least one major territory, and Company operation within the approved budget; however, our Remuneration Committee did not assign any particular weights to any particular objectives, nor did it have separate goals for any particular NEO.</w:t>
      </w:r>
    </w:p>
    <w:p>
      <w:pPr>
        <w:spacing w:after="0" w:line="124"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Based on its evaluation of Company performance, the Remuneration Committee determined that, in the aggregate, the Company’s corporate bonus objectives were attained at 110% of target levels of performance, and the Remuneration Committee approved annual bonuses that represented 110% of the target annual bonus for each of the NEOs. However, Ms. Poll’s employment with us ended during 2024 and, consequently, she did not receive an annual bonus for 2024. Additionally, Mr. Fisher commenced employment with us in March 2024 and his annual bonus for 2024 was pro-rated for his partial year of employment.</w:t>
      </w:r>
    </w:p>
    <w:p>
      <w:pPr>
        <w:spacing w:after="0" w:line="336"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The NEOs’ 2024 performance bonuses are set forth in the column entitled “Non-Equity Incentive Plan Compensation” in the “2024 Summary Compensation Table” below.</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Equity-Based Long-Term Incentive Awards</w:t>
      </w:r>
    </w:p>
    <w:p>
      <w:pPr>
        <w:spacing w:after="0" w:line="148" w:lineRule="exact"/>
        <w:rPr>
          <w:sz w:val="20"/>
          <w:szCs w:val="20"/>
          <w:color w:val="auto"/>
        </w:rPr>
      </w:pPr>
    </w:p>
    <w:p>
      <w:pPr>
        <w:ind w:left="1260" w:right="599" w:firstLine="360"/>
        <w:spacing w:after="0" w:line="256" w:lineRule="auto"/>
        <w:rPr>
          <w:sz w:val="20"/>
          <w:szCs w:val="20"/>
          <w:color w:val="auto"/>
        </w:rPr>
      </w:pPr>
      <w:r>
        <w:rPr>
          <w:rFonts w:ascii="Times New Roman" w:cs="Times New Roman" w:eastAsia="Times New Roman" w:hAnsi="Times New Roman"/>
          <w:sz w:val="18"/>
          <w:szCs w:val="18"/>
          <w:color w:val="auto"/>
        </w:rPr>
        <w:t>We view equity-based compensation as a critical component of our balanced total compensation program. Equity-based compensation creates an ownership culture among our employees that provides an incentive to contribute to the continued growth and development of our business and aligns interest of executives with those of our shareholders. We do not currently have any formal policy for determining the number of equity-based awards to grant to NEOs and we grant such awards from time to time to motivate and retain our executive officers.</w:t>
      </w:r>
    </w:p>
    <w:p>
      <w:pPr>
        <w:spacing w:after="0" w:line="120" w:lineRule="exact"/>
        <w:rPr>
          <w:sz w:val="20"/>
          <w:szCs w:val="20"/>
          <w:color w:val="auto"/>
        </w:rPr>
      </w:pPr>
    </w:p>
    <w:p>
      <w:pPr>
        <w:ind w:left="1260" w:right="579" w:firstLine="360"/>
        <w:spacing w:after="0" w:line="259" w:lineRule="auto"/>
        <w:rPr>
          <w:sz w:val="20"/>
          <w:szCs w:val="20"/>
          <w:color w:val="auto"/>
        </w:rPr>
      </w:pPr>
      <w:r>
        <w:rPr>
          <w:rFonts w:ascii="Times New Roman" w:cs="Times New Roman" w:eastAsia="Times New Roman" w:hAnsi="Times New Roman"/>
          <w:sz w:val="18"/>
          <w:szCs w:val="18"/>
          <w:color w:val="auto"/>
        </w:rPr>
        <w:t>Our Remuneration Committee believes it is essential to provide equity-based compensation to our executive officers in order to link the interests and risks of our executive officers with those of our shareholders, reinforcing our commitment to ensuring a strong linkage between company performance and pay. In 2024, we granted equity-based compensation to our NEOs primarily in the form of RSUs and PRSUs.</w:t>
      </w:r>
    </w:p>
    <w:p>
      <w:pPr>
        <w:spacing w:after="0" w:line="3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2024, we made the following grants of RSUs and PRSUs to our NEOs:</w:t>
      </w:r>
    </w:p>
    <w:p>
      <w:pPr>
        <w:spacing w:after="0" w:line="19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11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 Number</w:t>
            </w:r>
          </w:p>
        </w:tc>
        <w:tc>
          <w:tcPr>
            <w:tcW w:w="40" w:type="dxa"/>
            <w:vAlign w:val="bottom"/>
          </w:tcPr>
          <w:p>
            <w:pPr>
              <w:spacing w:after="0"/>
              <w:rPr>
                <w:sz w:val="14"/>
                <w:szCs w:val="14"/>
                <w:color w:val="auto"/>
              </w:rPr>
            </w:pPr>
          </w:p>
        </w:tc>
      </w:tr>
      <w:tr>
        <w:trPr>
          <w:trHeight w:val="214"/>
        </w:trPr>
        <w:tc>
          <w:tcPr>
            <w:tcW w:w="5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0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 ​   </w:t>
            </w:r>
            <w:r>
              <w:rPr>
                <w:rFonts w:ascii="Times New Roman" w:cs="Times New Roman" w:eastAsia="Times New Roman" w:hAnsi="Times New Roman"/>
                <w:sz w:val="24"/>
                <w:szCs w:val="24"/>
                <w:b w:val="1"/>
                <w:bCs w:val="1"/>
                <w:color w:val="auto"/>
                <w:vertAlign w:val="superscript"/>
              </w:rPr>
              <w:t>RSUs</w:t>
            </w:r>
            <w:r>
              <w:rPr>
                <w:rFonts w:ascii="Times New Roman" w:cs="Times New Roman" w:eastAsia="Times New Roman" w:hAnsi="Times New Roman"/>
                <w:sz w:val="13"/>
                <w:szCs w:val="13"/>
                <w:b w:val="1"/>
                <w:bCs w:val="1"/>
                <w:color w:val="auto"/>
              </w:rPr>
              <w:t xml:space="preserve">   ​ ​</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PRSUs</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5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David Zaccardelli</w:t>
            </w: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100,000 ​​ ​</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300,000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Mark W. Hahn</w:t>
            </w: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100,000 ​​ ​</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300,000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Andrew Fisher</w:t>
            </w: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37,500 ​​ ​</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112,500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Kathleen Rickard</w:t>
            </w: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37,500 ​​ ​</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112,500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-342265</wp:posOffset>
            </wp:positionV>
            <wp:extent cx="4749165" cy="1625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-668020</wp:posOffset>
            </wp:positionV>
            <wp:extent cx="4749165" cy="162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These grants were approved by the Remuneration Committee and the Board following consideration of the factors set forth above under “</w:t>
      </w:r>
      <w:r>
        <w:rPr>
          <w:rFonts w:ascii="Times New Roman" w:cs="Times New Roman" w:eastAsia="Times New Roman" w:hAnsi="Times New Roman"/>
          <w:sz w:val="18"/>
          <w:szCs w:val="18"/>
          <w:i w:val="1"/>
          <w:iCs w:val="1"/>
          <w:color w:val="auto"/>
        </w:rPr>
        <w:t>Determination of Executive Compensation.</w:t>
      </w:r>
      <w:r>
        <w:rPr>
          <w:rFonts w:ascii="Times New Roman" w:cs="Times New Roman" w:eastAsia="Times New Roman" w:hAnsi="Times New Roman"/>
          <w:sz w:val="18"/>
          <w:szCs w:val="18"/>
          <w:color w:val="auto"/>
        </w:rPr>
        <w:t xml:space="preserve"> Awards shown herein are expressed in terms of the number of ADSs that are covered by each such award.</w:t>
      </w:r>
    </w:p>
    <w:p>
      <w:pPr>
        <w:spacing w:after="0" w:line="102"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The RSU awards are scheduled to vest (i) as to 25%, upon the first anniversary of a specified vesting commencement date and (ii) as to the remainder, in quarterly installments over the following 3 years.</w:t>
      </w:r>
    </w:p>
    <w:p>
      <w:pPr>
        <w:spacing w:after="0" w:line="95"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PRSUs are eligible to be earned in quarterly installments based on achievement of quarterly revenue targets in 2025, calculated as follows: 90% of target revenue results in 50% of target PRSUs being earned, 95% of target revenue results in 75% of target PRSUs being earned, 100% of target revenue results in 100% of target PRSUs being earned, 110% of target revenue results in 106.25% of target PRSUs being earned, and 120% of target revenue results in 112.5% of target PRSUs being earned. An additional 12.5% of the total number of target PRSUs will be awarded if all quarterly revenue targets are met in 2025. Amounts will be linearly interpolated in between performance levels set forth above. The quarterly revenue targets for 2025 have been set in order to incentivize superior performance. PRSUs that are earned are eligible to vest as follows: (i) 34% of PRSUs earned each quarter will vest immediately, and (ii) as to the remainder, in eight quarterly installments over the following 2 years, subject generally to continued employment and potential accelerated vesting.</w:t>
      </w:r>
    </w:p>
    <w:p>
      <w:pPr>
        <w:spacing w:after="0" w:line="3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Additionally, in connection with the commencement of Mr. Fisher’s employment with us in</w:t>
      </w:r>
    </w:p>
    <w:p>
      <w:pPr>
        <w:spacing w:after="0" w:line="16" w:lineRule="exact"/>
        <w:rPr>
          <w:sz w:val="20"/>
          <w:szCs w:val="20"/>
          <w:color w:val="auto"/>
        </w:rPr>
      </w:pPr>
    </w:p>
    <w:p>
      <w:pPr>
        <w:ind w:left="1260" w:right="579"/>
        <w:spacing w:after="0" w:line="242" w:lineRule="auto"/>
        <w:rPr>
          <w:sz w:val="20"/>
          <w:szCs w:val="20"/>
          <w:color w:val="auto"/>
        </w:rPr>
      </w:pPr>
      <w:r>
        <w:rPr>
          <w:rFonts w:ascii="Times New Roman" w:cs="Times New Roman" w:eastAsia="Times New Roman" w:hAnsi="Times New Roman"/>
          <w:sz w:val="18"/>
          <w:szCs w:val="18"/>
          <w:color w:val="auto"/>
        </w:rPr>
        <w:t>March 2024, Mr. Fisher received an option to purchase 300,000 ADSs at an exercise price equal to the fair market value of an ADS on March 28, 2024. This option is scheduled to vest (i) as to 25%, on the first anniversary of the date of grant and (ii) as to the remainder, in equal monthly installments over the following 3 years, subject generally to Mr. Fisher’s continued employment.</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Retirement Savings, Health and Welfare Benefits</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maintain a 401(k) retirement savings plan for our employees, including our NEOs, who satisfy certain eligibility requirements. Our NEOs are eligible to participate in the 401(k) plan on the same terms as other full-time employees. The Internal Revenue Code (the “Code”) allows eligible employees to defer a portion of their compensation, within prescribed limits, on a pre-tax basis through contributions to the 401(k) plan. Currently, we match contributions made by participants in the 401(k) plan up to 4% of the employee contributions, and these matching contributions are fully vested as of the date on which the contribution is made. We believe that providing a vehicle for tax-deferred retirement savings though our 401(k) plan, and making fully vested matching contributions, adds to the overall desirability of our executive compensation package and further incentivizes our employees, including our NEOs, in accordance with our compensation policies.</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All of our full-time employees, including our NEOs, are eligible to participate in our health and welfare plans, including medical, dental and vision benefits, short-term and long-term disability insurance, and life insurance. We believe the benefits described above are necessary and appropriate to provide a competitive compensation package to our NEOs.</w:t>
      </w:r>
    </w:p>
    <w:p>
      <w:pPr>
        <w:spacing w:after="0" w:line="110"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We do not currently provide perquisites to our NEOs, and we do not view perquisites or other personal benefits as a significant component of our executive compensation program. In the future, we may provide perquisites or other personal benefits in limited circumstances, such as where we believe it is appropriate to assist an individual executive officer in the performance of the executive’s duties, to make our executive officers more efficient and effective, and for recruitment, motivation, or retention purposes. All future practices with respect to perquisites or other personal benefits will be approved by the Remuneration Committee.</w:t>
      </w:r>
    </w:p>
    <w:p>
      <w:pPr>
        <w:spacing w:after="0" w:line="3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do not generally provide any tax “gross ups” to our NEOs.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Severance and Change in Control Arrangements</w:t>
      </w:r>
    </w:p>
    <w:p>
      <w:pPr>
        <w:spacing w:after="0" w:line="148"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We have entered into employment and severance agreements with each of our NEOs. Certain key terms of these agreements are described below. A description of these arrangements, as well as information</w:t>
      </w: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82" w:lineRule="auto"/>
        <w:rPr>
          <w:sz w:val="20"/>
          <w:szCs w:val="20"/>
          <w:color w:val="auto"/>
        </w:rPr>
      </w:pPr>
      <w:r>
        <w:rPr>
          <w:rFonts w:ascii="Times New Roman" w:cs="Times New Roman" w:eastAsia="Times New Roman" w:hAnsi="Times New Roman"/>
          <w:sz w:val="18"/>
          <w:szCs w:val="18"/>
          <w:color w:val="auto"/>
        </w:rPr>
        <w:t>on the estimated payments and benefits that our NEOs would have been eligible to receive as of December 31, 2024, are set forth in “</w:t>
      </w:r>
      <w:r>
        <w:rPr>
          <w:rFonts w:ascii="Times New Roman" w:cs="Times New Roman" w:eastAsia="Times New Roman" w:hAnsi="Times New Roman"/>
          <w:sz w:val="18"/>
          <w:szCs w:val="18"/>
          <w:i w:val="1"/>
          <w:iCs w:val="1"/>
          <w:color w:val="auto"/>
        </w:rPr>
        <w:t>Potential Payments Upon Termination or Change in Control</w:t>
      </w:r>
      <w:r>
        <w:rPr>
          <w:rFonts w:ascii="Times New Roman" w:cs="Times New Roman" w:eastAsia="Times New Roman" w:hAnsi="Times New Roman"/>
          <w:sz w:val="18"/>
          <w:szCs w:val="18"/>
          <w:color w:val="auto"/>
        </w:rPr>
        <w:t>” below.</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Policies and Considerations</w:t>
      </w:r>
    </w:p>
    <w:p>
      <w:pPr>
        <w:spacing w:after="0" w:line="158"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Clawback Policy. </w:t>
      </w:r>
      <w:r>
        <w:rPr>
          <w:rFonts w:ascii="Times New Roman" w:cs="Times New Roman" w:eastAsia="Times New Roman" w:hAnsi="Times New Roman"/>
          <w:sz w:val="18"/>
          <w:szCs w:val="18"/>
          <w:color w:val="auto"/>
        </w:rPr>
        <w:t>We believe in maintaining best practices for our executive compensation program.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Consistent with that belief, our board of directors has adopted a “clawback” policy with respect to excess incentive-based cash and equity compensation in the event our publicly disclosed financial statements are required to be restated as a result of fraudulent or willful misconduct. The policy provides for the mandatory recovery (subject to limited exceptions) from current and former officers of incentive-based compensation that was erroneously received during the three years preceding the date that the Company is required to prepare an accounting restatement. The amount required to be recovered is the excess of the amount of incentive-based compensation received over the amount that otherwise would have been received had it been determined based on the restated financial measure.</w:t>
      </w:r>
    </w:p>
    <w:p>
      <w:pPr>
        <w:spacing w:after="0" w:line="112"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Share Ownership Guidelines</w:t>
      </w:r>
      <w:r>
        <w:rPr>
          <w:rFonts w:ascii="Times New Roman" w:cs="Times New Roman" w:eastAsia="Times New Roman" w:hAnsi="Times New Roman"/>
          <w:sz w:val="18"/>
          <w:szCs w:val="18"/>
          <w:color w:val="auto"/>
        </w:rPr>
        <w:t>. The Company encourages directors to own shares of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However, the number of shares of the Company owned by any director is a personal decision and, at this time, the Board has chosen not to adopt a policy requiring ownership by directors of a minimum number of shares.</w:t>
      </w:r>
    </w:p>
    <w:p>
      <w:pPr>
        <w:spacing w:after="0" w:line="3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Derivatives Trading, Hedging, and Pledging Policies.  </w:t>
      </w:r>
      <w:r>
        <w:rPr>
          <w:rFonts w:ascii="Times New Roman" w:cs="Times New Roman" w:eastAsia="Times New Roman" w:hAnsi="Times New Roman"/>
          <w:sz w:val="18"/>
          <w:szCs w:val="18"/>
          <w:color w:val="auto"/>
        </w:rPr>
        <w:t>Our Insider Trading Compliance Policy prohibits all</w:t>
      </w:r>
    </w:p>
    <w:p>
      <w:pPr>
        <w:spacing w:after="0" w:line="31" w:lineRule="exact"/>
        <w:rPr>
          <w:sz w:val="20"/>
          <w:szCs w:val="20"/>
          <w:color w:val="auto"/>
        </w:rPr>
      </w:pPr>
    </w:p>
    <w:p>
      <w:pPr>
        <w:ind w:left="1260" w:right="599"/>
        <w:spacing w:after="0" w:line="241" w:lineRule="auto"/>
        <w:rPr>
          <w:sz w:val="20"/>
          <w:szCs w:val="20"/>
          <w:color w:val="auto"/>
        </w:rPr>
      </w:pPr>
      <w:r>
        <w:rPr>
          <w:rFonts w:ascii="Times New Roman" w:cs="Times New Roman" w:eastAsia="Times New Roman" w:hAnsi="Times New Roman"/>
          <w:sz w:val="18"/>
          <w:szCs w:val="18"/>
          <w:color w:val="auto"/>
        </w:rPr>
        <w:t>of our employees, officers, and directors and any entities they control from purchasing financial instruments, such as prepaid variable forward contracts, equity swaps, collars, and exchange funds, or otherwise engaging in transactions that hedge or offset, or are designed to hedge or offset, any decrease in the market value of the Company’s equity securities, or that may cause an officer, director, or employee to no longer have the same objectives as the Company’s other shareholders.</w:t>
      </w:r>
    </w:p>
    <w:p>
      <w:pPr>
        <w:spacing w:after="0" w:line="113"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Equity Grant Practices</w:t>
      </w:r>
      <w:r>
        <w:rPr>
          <w:rFonts w:ascii="Times New Roman" w:cs="Times New Roman" w:eastAsia="Times New Roman" w:hAnsi="Times New Roman"/>
          <w:sz w:val="18"/>
          <w:szCs w:val="18"/>
          <w:color w:val="auto"/>
        </w:rPr>
        <w:t>. Our general practice is to not grant equity awards in anticipation of the release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material nonpublic information or time the release of material nonpublic information for the purpose of affecting the value of executive compensation. The Remuneration Committee uses its business judgment to determine the amount of an equity award and would consider any material nonpublic information that is known to the Remuneration Committee before granting an equity award. Although we do not have a formal policy with respect to the timing of our equity award grants, the Remuneration Committee has historically granted such awards on a predetermined annual schedule, though it has, from time to time, made grants at other times (for example, in connection with hiring and promotions) . In fiscal year 2024, we did not grant option awards to our NEOs during the four business days prior to or the one business day following the filing of our periodic reports or the filing or furnishing of a Form 8-K that discloses material nonpublic information.</w:t>
      </w:r>
    </w:p>
    <w:p>
      <w:pPr>
        <w:spacing w:after="0" w:line="321" w:lineRule="exact"/>
        <w:rPr>
          <w:sz w:val="20"/>
          <w:szCs w:val="20"/>
          <w:color w:val="auto"/>
        </w:rPr>
      </w:pPr>
    </w:p>
    <w:p>
      <w:pPr>
        <w:ind w:left="1260" w:right="77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Remuneration Committee takes into account whether components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for our executive officers will be adversely impacted by the penalty tax imposed by Section 409A of the Code, and aims to structure these components to be compliant with or exempt from Section 409A to avoid such potential adverse tax consequences.</w:t>
      </w:r>
    </w:p>
    <w:p>
      <w:pPr>
        <w:spacing w:after="0" w:line="109" w:lineRule="exact"/>
        <w:rPr>
          <w:sz w:val="20"/>
          <w:szCs w:val="20"/>
          <w:color w:val="auto"/>
        </w:rPr>
      </w:pPr>
    </w:p>
    <w:p>
      <w:pPr>
        <w:ind w:left="1260" w:right="53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Section 162(m)</w:t>
      </w:r>
      <w:r>
        <w:rPr>
          <w:rFonts w:ascii="Times New Roman" w:cs="Times New Roman" w:eastAsia="Times New Roman" w:hAnsi="Times New Roman"/>
          <w:sz w:val="18"/>
          <w:szCs w:val="18"/>
          <w:color w:val="auto"/>
        </w:rPr>
        <w:t>. Section 162(m) of the Code disallows a tax deduction to public companies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in excess of $1 million paid to “covered employees”, which generally includes all NEOs. While the Remuneration Committee may take the deductibility of compensation into account when making compensation decisions, the Remuneration Committee will award compensation that it determines to be consistent with the goals of our executive compensation program even if such compensation is not deductible by us.</w:t>
      </w:r>
    </w:p>
    <w:p>
      <w:pPr>
        <w:spacing w:after="0" w:line="101"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“Golden Parachute” Payments. </w:t>
      </w:r>
      <w:r>
        <w:rPr>
          <w:rFonts w:ascii="Times New Roman" w:cs="Times New Roman" w:eastAsia="Times New Roman" w:hAnsi="Times New Roman"/>
          <w:sz w:val="18"/>
          <w:szCs w:val="18"/>
          <w:color w:val="auto"/>
        </w:rPr>
        <w:t>Sections 280G and 4999 of the Code provide that certain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officers and other service providers who are highly compensated or hold significant equity interests may be subject to an excise tax if they receive payments or benefits in connection with a change in control of the Company that exceeds certain prescribed limits, and that we, or a successor, may forfeit a tax deduction on the amounts subject to this additional tax. While the Remuneration Committee may take the potential forfeiture of such tax deduction into account when making compensation decisions, it will award compensation that it determines to be consistent with the goals of our executive compensation program</w:t>
      </w: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39"/>
        <w:spacing w:after="0" w:line="282" w:lineRule="auto"/>
        <w:rPr>
          <w:sz w:val="20"/>
          <w:szCs w:val="20"/>
          <w:color w:val="auto"/>
        </w:rPr>
      </w:pPr>
      <w:r>
        <w:rPr>
          <w:rFonts w:ascii="Times New Roman" w:cs="Times New Roman" w:eastAsia="Times New Roman" w:hAnsi="Times New Roman"/>
          <w:sz w:val="18"/>
          <w:szCs w:val="18"/>
          <w:color w:val="auto"/>
        </w:rPr>
        <w:t>even if such compensation is not deductible by us. We do not provide any tax gross-ups to cover excise taxes under Section 4999 in connection with a change in control.</w:t>
      </w:r>
    </w:p>
    <w:p>
      <w:pPr>
        <w:spacing w:after="0" w:line="90" w:lineRule="exact"/>
        <w:rPr>
          <w:sz w:val="20"/>
          <w:szCs w:val="20"/>
          <w:color w:val="auto"/>
        </w:rPr>
      </w:pPr>
    </w:p>
    <w:p>
      <w:pPr>
        <w:ind w:left="1260" w:right="51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Accounting for Share-Based Compensation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follow Financial Accounting Standard Board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Accounting Standards Codification Topic 718, (“ASC Topic 718”), for our share-based compensation awards. ASC Topic 718 requires companies to measure the compensation expense for all share-based payment awards made to employees and directors, including option awards, RSUs and PRSUs based on the grant date “fair value” of these awards. This calculation is performed for accounting purposes and reported in the compensation tables below, even though our NEOs may never realize any value from their awards.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REMUNERATION COMMITTEE REPORT</w:t>
      </w:r>
    </w:p>
    <w:p>
      <w:pPr>
        <w:spacing w:after="0" w:line="162"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Remuneration Committee has reviewed and discussed with management the disclosures contained in the Compensation Discussion and Analysis. Based on this review and discussion, the Remuneration Committee has recommended to the Board that the section entitled “Compensation Discussion and Analysis” be included in this proxy statement.</w:t>
      </w:r>
    </w:p>
    <w:p>
      <w:pPr>
        <w:spacing w:after="0" w:line="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Kenneth Cunningham, M.D. (Chair)</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David Ebsworth, Ph.D.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Mahendra Shah, Ph.D.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EXECUTIVE COMPENSATION TABLES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2024 Summary Compensation Table</w:t>
      </w:r>
    </w:p>
    <w:p>
      <w:pPr>
        <w:spacing w:after="0" w:line="162"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contains information about the compensation earned by each of our NEOs during our most recently completed fiscal year ended December 31, 2024.</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Non-Equity</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center"/>
              <w:ind w:right="238"/>
              <w:spacing w:after="0"/>
              <w:rPr>
                <w:sz w:val="20"/>
                <w:szCs w:val="20"/>
                <w:color w:val="auto"/>
              </w:rPr>
            </w:pPr>
            <w:r>
              <w:rPr>
                <w:rFonts w:ascii="Times New Roman" w:cs="Times New Roman" w:eastAsia="Times New Roman" w:hAnsi="Times New Roman"/>
                <w:sz w:val="14"/>
                <w:szCs w:val="14"/>
                <w:b w:val="1"/>
                <w:bCs w:val="1"/>
                <w:color w:val="auto"/>
              </w:rPr>
              <w:t>Plan</w:t>
            </w:r>
          </w:p>
        </w:tc>
        <w:tc>
          <w:tcPr>
            <w:tcW w:w="14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18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40" w:type="dxa"/>
            <w:vAlign w:val="bottom"/>
          </w:tcPr>
          <w:p>
            <w:pPr>
              <w:spacing w:after="0"/>
              <w:rPr>
                <w:sz w:val="14"/>
                <w:szCs w:val="14"/>
                <w:color w:val="auto"/>
              </w:rPr>
            </w:pPr>
          </w:p>
        </w:tc>
        <w:tc>
          <w:tcPr>
            <w:tcW w:w="10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w w:val="95"/>
              </w:rPr>
              <w:t xml:space="preserve">Compensation </w:t>
            </w:r>
            <w:r>
              <w:rPr>
                <w:rFonts w:ascii="Times New Roman" w:cs="Times New Roman" w:eastAsia="Times New Roman" w:hAnsi="Times New Roman"/>
                <w:sz w:val="17"/>
                <w:szCs w:val="17"/>
                <w:b w:val="1"/>
                <w:bCs w:val="1"/>
                <w:color w:val="auto"/>
                <w:w w:val="95"/>
                <w:vertAlign w:val="superscript"/>
              </w:rPr>
              <w:t>(3)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38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 ​Year ​ ​Salary ($) ​ ​</w:t>
            </w:r>
          </w:p>
        </w:tc>
        <w:tc>
          <w:tcPr>
            <w:tcW w:w="620" w:type="dxa"/>
            <w:vAlign w:val="bottom"/>
          </w:tcPr>
          <w:p>
            <w:pPr>
              <w:jc w:val="center"/>
              <w:ind w:right="14"/>
              <w:spacing w:after="0" w:line="200" w:lineRule="exact"/>
              <w:rPr>
                <w:sz w:val="20"/>
                <w:szCs w:val="20"/>
                <w:color w:val="auto"/>
              </w:rPr>
            </w:pPr>
            <w:r>
              <w:rPr>
                <w:rFonts w:ascii="Times New Roman" w:cs="Times New Roman" w:eastAsia="Times New Roman" w:hAnsi="Times New Roman"/>
                <w:sz w:val="23"/>
                <w:szCs w:val="23"/>
                <w:b w:val="1"/>
                <w:bCs w:val="1"/>
                <w:color w:val="auto"/>
                <w:w w:val="95"/>
                <w:vertAlign w:val="subscript"/>
              </w:rPr>
              <w:t>($)</w:t>
            </w:r>
            <w:r>
              <w:rPr>
                <w:rFonts w:ascii="Times New Roman" w:cs="Times New Roman" w:eastAsia="Times New Roman" w:hAnsi="Times New Roman"/>
                <w:sz w:val="8"/>
                <w:szCs w:val="8"/>
                <w:b w:val="1"/>
                <w:bCs w:val="1"/>
                <w:color w:val="auto"/>
                <w:w w:val="95"/>
              </w:rPr>
              <w:t>(1)</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 Awards</w:t>
            </w:r>
            <w:r>
              <w:rPr>
                <w:rFonts w:ascii="Times New Roman" w:cs="Times New Roman" w:eastAsia="Times New Roman" w:hAnsi="Times New Roman"/>
                <w:sz w:val="17"/>
                <w:szCs w:val="17"/>
                <w:b w:val="1"/>
                <w:bCs w:val="1"/>
                <w:color w:val="auto"/>
                <w:vertAlign w:val="superscript"/>
              </w:rPr>
              <w:t>(1)</w:t>
            </w:r>
            <w:r>
              <w:rPr>
                <w:rFonts w:ascii="Times New Roman" w:cs="Times New Roman" w:eastAsia="Times New Roman" w:hAnsi="Times New Roman"/>
                <w:sz w:val="14"/>
                <w:szCs w:val="14"/>
                <w:b w:val="1"/>
                <w:bCs w:val="1"/>
                <w:color w:val="auto"/>
              </w:rPr>
              <w:t xml:space="preserve"> ​ ​</w:t>
            </w:r>
          </w:p>
        </w:tc>
        <w:tc>
          <w:tcPr>
            <w:tcW w:w="280" w:type="dxa"/>
            <w:vAlign w:val="bottom"/>
          </w:tcPr>
          <w:p>
            <w:pPr>
              <w:spacing w:after="0"/>
              <w:rPr>
                <w:sz w:val="17"/>
                <w:szCs w:val="17"/>
                <w:color w:val="auto"/>
              </w:rPr>
            </w:pPr>
          </w:p>
        </w:tc>
        <w:tc>
          <w:tcPr>
            <w:tcW w:w="620" w:type="dxa"/>
            <w:vAlign w:val="bottom"/>
          </w:tcPr>
          <w:p>
            <w:pPr>
              <w:jc w:val="center"/>
              <w:ind w:right="218"/>
              <w:spacing w:after="0" w:line="200" w:lineRule="exact"/>
              <w:rPr>
                <w:sz w:val="20"/>
                <w:szCs w:val="20"/>
                <w:color w:val="auto"/>
              </w:rPr>
            </w:pPr>
            <w:r>
              <w:rPr>
                <w:rFonts w:ascii="Times New Roman" w:cs="Times New Roman" w:eastAsia="Times New Roman" w:hAnsi="Times New Roman"/>
                <w:sz w:val="23"/>
                <w:szCs w:val="23"/>
                <w:b w:val="1"/>
                <w:bCs w:val="1"/>
                <w:color w:val="auto"/>
                <w:w w:val="95"/>
                <w:vertAlign w:val="subscript"/>
              </w:rPr>
              <w:t>($)</w:t>
            </w:r>
            <w:r>
              <w:rPr>
                <w:rFonts w:ascii="Times New Roman" w:cs="Times New Roman" w:eastAsia="Times New Roman" w:hAnsi="Times New Roman"/>
                <w:sz w:val="8"/>
                <w:szCs w:val="8"/>
                <w:b w:val="1"/>
                <w:bCs w:val="1"/>
                <w:color w:val="auto"/>
                <w:w w:val="95"/>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380" w:type="dxa"/>
            <w:vAlign w:val="bottom"/>
          </w:tcPr>
          <w:p>
            <w:pPr>
              <w:spacing w:after="0"/>
              <w:rPr>
                <w:sz w:val="17"/>
                <w:szCs w:val="17"/>
                <w:color w:val="auto"/>
              </w:rPr>
            </w:pPr>
          </w:p>
        </w:tc>
        <w:tc>
          <w:tcPr>
            <w:tcW w:w="640" w:type="dxa"/>
            <w:vAlign w:val="bottom"/>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vMerge w:val="restart"/>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gridSpan w:val="2"/>
            <w:shd w:val="clear" w:color="auto" w:fill="000000"/>
          </w:tcPr>
          <w:p>
            <w:pPr>
              <w:spacing w:after="0" w:line="20" w:lineRule="exact"/>
              <w:rPr>
                <w:sz w:val="1"/>
                <w:szCs w:val="1"/>
                <w:color w:val="auto"/>
              </w:rPr>
            </w:pPr>
          </w:p>
        </w:tc>
        <w:tc>
          <w:tcPr>
            <w:tcW w:w="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David Zaccardelli, Pharm.D.</w:t>
            </w:r>
          </w:p>
        </w:tc>
        <w:tc>
          <w:tcPr>
            <w:tcW w:w="60" w:type="dxa"/>
            <w:vAlign w:val="bottom"/>
            <w:vMerge w:val="continue"/>
          </w:tcPr>
          <w:p>
            <w:pPr>
              <w:spacing w:after="0"/>
              <w:rPr>
                <w:sz w:val="23"/>
                <w:szCs w:val="23"/>
                <w:color w:val="auto"/>
              </w:rPr>
            </w:pPr>
          </w:p>
        </w:tc>
        <w:tc>
          <w:tcPr>
            <w:tcW w:w="380" w:type="dxa"/>
            <w:vAlign w:val="bottom"/>
            <w:tcBorders>
              <w:bottom w:val="single" w:sz="8" w:color="CCEEFF"/>
            </w:tcBorders>
            <w:gridSpan w:val="2"/>
            <w:shd w:val="clear" w:color="auto" w:fill="CCEEFF"/>
          </w:tcPr>
          <w:p>
            <w:pPr>
              <w:ind w:left="40"/>
              <w:spacing w:after="0" w:line="25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2024</w:t>
            </w:r>
          </w:p>
        </w:tc>
        <w:tc>
          <w:tcPr>
            <w:tcW w:w="140" w:type="dxa"/>
            <w:vAlign w:val="bottom"/>
            <w:tcBorders>
              <w:bottom w:val="single" w:sz="8" w:color="CCEEFF"/>
            </w:tcBorders>
            <w:vMerge w:val="continue"/>
            <w:shd w:val="clear" w:color="auto" w:fill="CCEEFF"/>
          </w:tcPr>
          <w:p>
            <w:pPr>
              <w:spacing w:after="0"/>
              <w:rPr>
                <w:sz w:val="23"/>
                <w:szCs w:val="23"/>
                <w:color w:val="auto"/>
              </w:rPr>
            </w:pPr>
          </w:p>
        </w:tc>
        <w:tc>
          <w:tcPr>
            <w:tcW w:w="600" w:type="dxa"/>
            <w:vAlign w:val="bottom"/>
            <w:tcBorders>
              <w:bottom w:val="single" w:sz="8" w:color="CCEEFF"/>
              <w:right w:val="single" w:sz="8" w:color="CCEEFF"/>
            </w:tcBorders>
            <w:gridSpan w:val="2"/>
            <w:shd w:val="clear" w:color="auto" w:fill="CCEEFF"/>
          </w:tcPr>
          <w:p>
            <w:pPr>
              <w:jc w:val="right"/>
              <w:spacing w:after="0" w:line="25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873,015</w:t>
            </w:r>
          </w:p>
        </w:tc>
        <w:tc>
          <w:tcPr>
            <w:tcW w:w="820" w:type="dxa"/>
            <w:vAlign w:val="bottom"/>
            <w:tcBorders>
              <w:bottom w:val="single" w:sz="8" w:color="CCEEFF"/>
              <w:right w:val="single" w:sz="8" w:color="CCEEFF"/>
            </w:tcBorders>
            <w:gridSpan w:val="3"/>
            <w:shd w:val="clear" w:color="auto" w:fill="CCEEFF"/>
          </w:tcPr>
          <w:p>
            <w:pPr>
              <w:spacing w:after="0" w:line="25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18,089,500</w:t>
            </w:r>
          </w:p>
        </w:tc>
        <w:tc>
          <w:tcPr>
            <w:tcW w:w="1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CEEFF"/>
            </w:tcBorders>
            <w:vMerge w:val="continue"/>
            <w:shd w:val="clear" w:color="auto" w:fill="CCEEFF"/>
          </w:tcPr>
          <w:p>
            <w:pPr>
              <w:spacing w:after="0"/>
              <w:rPr>
                <w:sz w:val="23"/>
                <w:szCs w:val="23"/>
                <w:color w:val="auto"/>
              </w:rPr>
            </w:pPr>
          </w:p>
        </w:tc>
        <w:tc>
          <w:tcPr>
            <w:tcW w:w="900" w:type="dxa"/>
            <w:vAlign w:val="bottom"/>
            <w:tcBorders>
              <w:left w:val="single" w:sz="8" w:color="CCEEFF"/>
              <w:bottom w:val="single" w:sz="8" w:color="CCEEFF"/>
              <w:right w:val="single" w:sz="8" w:color="CCEEFF"/>
            </w:tcBorders>
            <w:gridSpan w:val="2"/>
            <w:shd w:val="clear" w:color="auto" w:fill="CCEEFF"/>
          </w:tcPr>
          <w:p>
            <w:pPr>
              <w:jc w:val="right"/>
              <w:ind w:right="158"/>
              <w:spacing w:after="0" w:line="25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480,158</w:t>
            </w:r>
          </w:p>
        </w:tc>
        <w:tc>
          <w:tcPr>
            <w:tcW w:w="140" w:type="dxa"/>
            <w:vAlign w:val="bottom"/>
            <w:tcBorders>
              <w:bottom w:val="single" w:sz="8" w:color="CCEEFF"/>
            </w:tcBorders>
            <w:vMerge w:val="continue"/>
            <w:shd w:val="clear" w:color="auto" w:fill="CCEEFF"/>
          </w:tcPr>
          <w:p>
            <w:pPr>
              <w:spacing w:after="0"/>
              <w:rPr>
                <w:sz w:val="23"/>
                <w:szCs w:val="23"/>
                <w:color w:val="auto"/>
              </w:rPr>
            </w:pPr>
          </w:p>
        </w:tc>
        <w:tc>
          <w:tcPr>
            <w:tcW w:w="1020" w:type="dxa"/>
            <w:vAlign w:val="bottom"/>
            <w:tcBorders>
              <w:bottom w:val="single" w:sz="8" w:color="CCEEFF"/>
              <w:right w:val="single" w:sz="8" w:color="CCEEFF"/>
            </w:tcBorders>
            <w:gridSpan w:val="2"/>
            <w:shd w:val="clear" w:color="auto" w:fill="CCEEFF"/>
          </w:tcPr>
          <w:p>
            <w:pPr>
              <w:jc w:val="right"/>
              <w:ind w:right="228"/>
              <w:spacing w:after="0" w:line="25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13,800</w:t>
            </w:r>
          </w:p>
        </w:tc>
        <w:tc>
          <w:tcPr>
            <w:tcW w:w="860" w:type="dxa"/>
            <w:vAlign w:val="bottom"/>
            <w:tcBorders>
              <w:bottom w:val="single" w:sz="8" w:color="CCEEFF"/>
              <w:right w:val="single" w:sz="8" w:color="CCEEFF"/>
            </w:tcBorders>
            <w:gridSpan w:val="3"/>
            <w:shd w:val="clear" w:color="auto" w:fill="CCEEFF"/>
          </w:tcPr>
          <w:p>
            <w:pPr>
              <w:spacing w:after="0" w:line="25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19,456,473</w:t>
            </w:r>
          </w:p>
        </w:tc>
        <w:tc>
          <w:tcPr>
            <w:tcW w:w="280" w:type="dxa"/>
            <w:vAlign w:val="bottom"/>
            <w:tcBorders>
              <w:bottom w:val="single" w:sz="8" w:color="CCEEFF"/>
            </w:tcBorders>
            <w:vMerge w:val="continue"/>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8"/>
        </w:trPr>
        <w:tc>
          <w:tcPr>
            <w:tcW w:w="2160" w:type="dxa"/>
            <w:vAlign w:val="bottom"/>
            <w:gridSpan w:val="2"/>
          </w:tcPr>
          <w:p>
            <w:pPr>
              <w:ind w:left="140"/>
              <w:spacing w:after="0" w:line="152" w:lineRule="exact"/>
              <w:rPr>
                <w:sz w:val="20"/>
                <w:szCs w:val="20"/>
                <w:color w:val="auto"/>
              </w:rPr>
            </w:pPr>
            <w:r>
              <w:rPr>
                <w:rFonts w:ascii="Times New Roman" w:cs="Times New Roman" w:eastAsia="Times New Roman" w:hAnsi="Times New Roman"/>
                <w:sz w:val="14"/>
                <w:szCs w:val="14"/>
                <w:i w:val="1"/>
                <w:iCs w:val="1"/>
                <w:color w:val="auto"/>
              </w:rPr>
              <w:t>President  and  Chief  Executive</w:t>
            </w:r>
          </w:p>
        </w:tc>
        <w:tc>
          <w:tcPr>
            <w:tcW w:w="60" w:type="dxa"/>
            <w:vAlign w:val="bottom"/>
          </w:tcPr>
          <w:p>
            <w:pPr>
              <w:spacing w:after="0"/>
              <w:rPr>
                <w:sz w:val="15"/>
                <w:szCs w:val="15"/>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​​2023 ​ ​</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​819,568</w:t>
            </w: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 5,324,000</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900" w:type="dxa"/>
            <w:vAlign w:val="bottom"/>
            <w:gridSpan w:val="2"/>
          </w:tcPr>
          <w:p>
            <w:pPr>
              <w:jc w:val="right"/>
              <w:ind w:right="158"/>
              <w:spacing w:after="0"/>
              <w:rPr>
                <w:sz w:val="20"/>
                <w:szCs w:val="20"/>
                <w:color w:val="auto"/>
              </w:rPr>
            </w:pPr>
            <w:r>
              <w:rPr>
                <w:rFonts w:ascii="Times New Roman" w:cs="Times New Roman" w:eastAsia="Times New Roman" w:hAnsi="Times New Roman"/>
                <w:sz w:val="14"/>
                <w:szCs w:val="14"/>
                <w:color w:val="auto"/>
              </w:rPr>
              <w:t>​440,705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​13,200</w:t>
            </w:r>
          </w:p>
        </w:tc>
        <w:tc>
          <w:tcPr>
            <w:tcW w:w="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6,597,473</w:t>
            </w:r>
          </w:p>
        </w:tc>
        <w:tc>
          <w:tcPr>
            <w:tcW w:w="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rPr>
              <w:t>Officer</w:t>
            </w:r>
          </w:p>
        </w:tc>
        <w:tc>
          <w:tcPr>
            <w:tcW w:w="60" w:type="dxa"/>
            <w:vAlign w:val="bottom"/>
          </w:tcPr>
          <w:p>
            <w:pPr>
              <w:spacing w:after="0"/>
              <w:rPr>
                <w:sz w:val="21"/>
                <w:szCs w:val="21"/>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​​2022 ​ ​</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​524,842</w:t>
            </w: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 4,133,500</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900" w:type="dxa"/>
            <w:vAlign w:val="bottom"/>
            <w:gridSpan w:val="2"/>
          </w:tcPr>
          <w:p>
            <w:pPr>
              <w:jc w:val="right"/>
              <w:ind w:right="158"/>
              <w:spacing w:after="0"/>
              <w:rPr>
                <w:sz w:val="20"/>
                <w:szCs w:val="20"/>
                <w:color w:val="auto"/>
              </w:rPr>
            </w:pPr>
            <w:r>
              <w:rPr>
                <w:rFonts w:ascii="Times New Roman" w:cs="Times New Roman" w:eastAsia="Times New Roman" w:hAnsi="Times New Roman"/>
                <w:sz w:val="14"/>
                <w:szCs w:val="14"/>
                <w:color w:val="auto"/>
              </w:rPr>
              <w:t>​497,297</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​27,501</w:t>
            </w:r>
          </w:p>
        </w:tc>
        <w:tc>
          <w:tcPr>
            <w:tcW w:w="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5,183,140</w:t>
            </w:r>
          </w:p>
        </w:tc>
        <w:tc>
          <w:tcPr>
            <w:tcW w:w="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Mark W. Hahn</w:t>
            </w:r>
          </w:p>
        </w:tc>
        <w:tc>
          <w:tcPr>
            <w:tcW w:w="1180" w:type="dxa"/>
            <w:vAlign w:val="bottom"/>
            <w:gridSpan w:val="6"/>
          </w:tcPr>
          <w:p>
            <w:pPr>
              <w:jc w:val="right"/>
              <w:spacing w:after="0" w:line="269"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2024 </w:t>
            </w:r>
            <w:r>
              <w:rPr>
                <w:rFonts w:ascii="Times New Roman" w:cs="Times New Roman" w:eastAsia="Times New Roman" w:hAnsi="Times New Roman"/>
                <w:sz w:val="28"/>
                <w:szCs w:val="28"/>
                <w:color w:val="auto"/>
                <w:vertAlign w:val="superscript"/>
              </w:rPr>
              <w:t>​ ​ ​</w:t>
            </w:r>
            <w:r>
              <w:rPr>
                <w:rFonts w:ascii="Times New Roman" w:cs="Times New Roman" w:eastAsia="Times New Roman" w:hAnsi="Times New Roman"/>
                <w:sz w:val="14"/>
                <w:szCs w:val="14"/>
                <w:color w:val="auto"/>
              </w:rPr>
              <w:t>582,010</w:t>
            </w:r>
          </w:p>
        </w:tc>
        <w:tc>
          <w:tcPr>
            <w:tcW w:w="820" w:type="dxa"/>
            <w:vAlign w:val="bottom"/>
            <w:gridSpan w:val="3"/>
          </w:tcPr>
          <w:p>
            <w:pPr>
              <w:spacing w:after="0" w:line="269"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18,089,500</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w:t>
            </w:r>
          </w:p>
        </w:tc>
        <w:tc>
          <w:tcPr>
            <w:tcW w:w="900" w:type="dxa"/>
            <w:vAlign w:val="bottom"/>
            <w:gridSpan w:val="2"/>
          </w:tcPr>
          <w:p>
            <w:pPr>
              <w:jc w:val="right"/>
              <w:ind w:right="158"/>
              <w:spacing w:after="0" w:line="269"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320,105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tcPr>
          <w:p>
            <w:pPr>
              <w:jc w:val="right"/>
              <w:ind w:right="228"/>
              <w:spacing w:after="0" w:line="269"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13,800</w:t>
            </w:r>
          </w:p>
        </w:tc>
        <w:tc>
          <w:tcPr>
            <w:tcW w:w="860" w:type="dxa"/>
            <w:vAlign w:val="bottom"/>
            <w:gridSpan w:val="3"/>
          </w:tcPr>
          <w:p>
            <w:pPr>
              <w:spacing w:after="0" w:line="269"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19,005,415</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7"/>
        </w:trPr>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6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​​2023 ​ ​</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​551,291</w:t>
            </w: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 5,324,000</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900" w:type="dxa"/>
            <w:vAlign w:val="bottom"/>
            <w:gridSpan w:val="2"/>
          </w:tcPr>
          <w:p>
            <w:pPr>
              <w:jc w:val="right"/>
              <w:ind w:right="158"/>
              <w:spacing w:after="0"/>
              <w:rPr>
                <w:sz w:val="20"/>
                <w:szCs w:val="20"/>
                <w:color w:val="auto"/>
              </w:rPr>
            </w:pPr>
            <w:r>
              <w:rPr>
                <w:rFonts w:ascii="Times New Roman" w:cs="Times New Roman" w:eastAsia="Times New Roman" w:hAnsi="Times New Roman"/>
                <w:sz w:val="14"/>
                <w:szCs w:val="14"/>
                <w:color w:val="auto"/>
              </w:rPr>
              <w:t>​293,803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​13,200</w:t>
            </w:r>
          </w:p>
        </w:tc>
        <w:tc>
          <w:tcPr>
            <w:tcW w:w="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6,182,294</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​​2022 ​ ​</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​430,450</w:t>
            </w: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 3,983,498</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900" w:type="dxa"/>
            <w:vAlign w:val="bottom"/>
            <w:gridSpan w:val="2"/>
          </w:tcPr>
          <w:p>
            <w:pPr>
              <w:jc w:val="right"/>
              <w:ind w:right="158"/>
              <w:spacing w:after="0"/>
              <w:rPr>
                <w:sz w:val="20"/>
                <w:szCs w:val="20"/>
                <w:color w:val="auto"/>
              </w:rPr>
            </w:pPr>
            <w:r>
              <w:rPr>
                <w:rFonts w:ascii="Times New Roman" w:cs="Times New Roman" w:eastAsia="Times New Roman" w:hAnsi="Times New Roman"/>
                <w:sz w:val="14"/>
                <w:szCs w:val="14"/>
                <w:color w:val="auto"/>
              </w:rPr>
              <w:t>​331,531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​22,401</w:t>
            </w:r>
          </w:p>
        </w:tc>
        <w:tc>
          <w:tcPr>
            <w:tcW w:w="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4,767,880</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1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gridSpan w:val="3"/>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3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2"/>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Andrew Fisher</w:t>
            </w:r>
            <w:r>
              <w:rPr>
                <w:rFonts w:ascii="Times New Roman" w:cs="Times New Roman" w:eastAsia="Times New Roman" w:hAnsi="Times New Roman"/>
                <w:sz w:val="17"/>
                <w:szCs w:val="17"/>
                <w:color w:val="auto"/>
                <w:vertAlign w:val="superscript"/>
              </w:rPr>
              <w:t>(4)</w:t>
            </w:r>
          </w:p>
        </w:tc>
        <w:tc>
          <w:tcPr>
            <w:tcW w:w="6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​​2024 ​ ​</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​352,557</w:t>
            </w:r>
          </w:p>
        </w:tc>
        <w:tc>
          <w:tcPr>
            <w:tcW w:w="82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 ​​ 6,783,563</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​​3,516,179 ​ ​</w:t>
            </w:r>
          </w:p>
        </w:tc>
        <w:tc>
          <w:tcPr>
            <w:tcW w:w="900" w:type="dxa"/>
            <w:vAlign w:val="bottom"/>
            <w:tcBorders>
              <w:left w:val="single" w:sz="8" w:color="CCEEFF"/>
              <w:right w:val="single" w:sz="8" w:color="CCEEFF"/>
            </w:tcBorders>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4"/>
                <w:szCs w:val="14"/>
                <w:color w:val="auto"/>
              </w:rPr>
              <w:t>​155,833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tcBorders>
              <w:right w:val="single" w:sz="8" w:color="CCEEFF"/>
            </w:tcBorders>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​13,800</w:t>
            </w:r>
          </w:p>
        </w:tc>
        <w:tc>
          <w:tcPr>
            <w:tcW w:w="1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 ​​10,821,932 ​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1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General Counsel</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left w:val="single" w:sz="8" w:color="CCEEFF"/>
              <w:bottom w:val="single" w:sz="8" w:color="CCEEFF"/>
            </w:tcBorders>
            <w:shd w:val="clear" w:color="auto" w:fill="CCEEFF"/>
          </w:tcPr>
          <w:p>
            <w:pPr>
              <w:spacing w:after="0"/>
              <w:rPr>
                <w:sz w:val="18"/>
                <w:szCs w:val="18"/>
                <w:color w:val="auto"/>
              </w:rPr>
            </w:pPr>
          </w:p>
        </w:tc>
        <w:tc>
          <w:tcPr>
            <w:tcW w:w="62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right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Kathleen Rickard, M.D.</w:t>
            </w:r>
          </w:p>
        </w:tc>
        <w:tc>
          <w:tcPr>
            <w:tcW w:w="1180" w:type="dxa"/>
            <w:vAlign w:val="bottom"/>
            <w:gridSpan w:val="6"/>
          </w:tcPr>
          <w:p>
            <w:pPr>
              <w:jc w:val="right"/>
              <w:spacing w:after="0" w:line="232"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 xml:space="preserve">2024 </w:t>
            </w:r>
            <w:r>
              <w:rPr>
                <w:rFonts w:ascii="Times New Roman" w:cs="Times New Roman" w:eastAsia="Times New Roman" w:hAnsi="Times New Roman"/>
                <w:sz w:val="26"/>
                <w:szCs w:val="26"/>
                <w:color w:val="auto"/>
                <w:vertAlign w:val="superscript"/>
              </w:rPr>
              <w:t>​ ​ ​</w:t>
            </w:r>
            <w:r>
              <w:rPr>
                <w:rFonts w:ascii="Times New Roman" w:cs="Times New Roman" w:eastAsia="Times New Roman" w:hAnsi="Times New Roman"/>
                <w:sz w:val="14"/>
                <w:szCs w:val="14"/>
                <w:color w:val="auto"/>
              </w:rPr>
              <w:t>504,167</w:t>
            </w:r>
          </w:p>
        </w:tc>
        <w:tc>
          <w:tcPr>
            <w:tcW w:w="820" w:type="dxa"/>
            <w:vAlign w:val="bottom"/>
            <w:gridSpan w:val="3"/>
          </w:tcPr>
          <w:p>
            <w:pPr>
              <w:spacing w:after="0" w:line="232"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 xml:space="preserve"> 6,783,563</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line="232"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 ​</w:t>
            </w:r>
          </w:p>
        </w:tc>
        <w:tc>
          <w:tcPr>
            <w:tcW w:w="900" w:type="dxa"/>
            <w:vAlign w:val="bottom"/>
            <w:gridSpan w:val="2"/>
          </w:tcPr>
          <w:p>
            <w:pPr>
              <w:jc w:val="right"/>
              <w:ind w:right="158"/>
              <w:spacing w:after="0" w:line="232"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221,833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7,509,563</w:t>
            </w:r>
          </w:p>
        </w:tc>
        <w:tc>
          <w:tcPr>
            <w:tcW w:w="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16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rPr>
              <w:t>Chief Medical Officer</w:t>
            </w:r>
          </w:p>
        </w:tc>
        <w:tc>
          <w:tcPr>
            <w:tcW w:w="6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​​2023 ​ ​</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​458,333</w:t>
            </w: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 1,331,000</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900" w:type="dxa"/>
            <w:vAlign w:val="bottom"/>
            <w:gridSpan w:val="2"/>
          </w:tcPr>
          <w:p>
            <w:pPr>
              <w:jc w:val="right"/>
              <w:ind w:right="158"/>
              <w:spacing w:after="0"/>
              <w:rPr>
                <w:sz w:val="20"/>
                <w:szCs w:val="20"/>
                <w:color w:val="auto"/>
              </w:rPr>
            </w:pPr>
            <w:r>
              <w:rPr>
                <w:rFonts w:ascii="Times New Roman" w:cs="Times New Roman" w:eastAsia="Times New Roman" w:hAnsi="Times New Roman"/>
                <w:sz w:val="14"/>
                <w:szCs w:val="14"/>
                <w:color w:val="auto"/>
              </w:rPr>
              <w:t>​192,500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1,981,833</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​​2022 ​ ​</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​434,439</w:t>
            </w:r>
          </w:p>
        </w:tc>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863,000</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900" w:type="dxa"/>
            <w:vAlign w:val="bottom"/>
            <w:gridSpan w:val="2"/>
          </w:tcPr>
          <w:p>
            <w:pPr>
              <w:jc w:val="right"/>
              <w:ind w:right="158"/>
              <w:spacing w:after="0"/>
              <w:rPr>
                <w:sz w:val="20"/>
                <w:szCs w:val="20"/>
                <w:color w:val="auto"/>
              </w:rPr>
            </w:pPr>
            <w:r>
              <w:rPr>
                <w:rFonts w:ascii="Times New Roman" w:cs="Times New Roman" w:eastAsia="Times New Roman" w:hAnsi="Times New Roman"/>
                <w:sz w:val="14"/>
                <w:szCs w:val="14"/>
                <w:color w:val="auto"/>
              </w:rPr>
              <w:t>​217,220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 3,342</w:t>
            </w:r>
          </w:p>
        </w:tc>
        <w:tc>
          <w:tcPr>
            <w:tcW w:w="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1,518,001</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1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gridSpan w:val="3"/>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2"/>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Claire Poll</w:t>
            </w:r>
            <w:r>
              <w:rPr>
                <w:rFonts w:ascii="Times New Roman" w:cs="Times New Roman" w:eastAsia="Times New Roman" w:hAnsi="Times New Roman"/>
                <w:sz w:val="17"/>
                <w:szCs w:val="17"/>
                <w:color w:val="auto"/>
                <w:vertAlign w:val="superscript"/>
              </w:rPr>
              <w:t>(5)</w:t>
            </w:r>
          </w:p>
        </w:tc>
        <w:tc>
          <w:tcPr>
            <w:tcW w:w="6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​​2024 ​ ​</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​326,023</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 ​</w:t>
            </w:r>
          </w:p>
        </w:tc>
        <w:tc>
          <w:tcPr>
            <w:tcW w:w="280" w:type="dxa"/>
            <w:vAlign w:val="bottom"/>
            <w:tcBorders>
              <w:lef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CCEEFF"/>
            </w:tcBorders>
            <w:shd w:val="clear" w:color="auto" w:fill="CCEEFF"/>
          </w:tcPr>
          <w:p>
            <w:pPr>
              <w:jc w:val="right"/>
              <w:ind w:right="15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326,023</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1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Former General Counsel</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left w:val="single" w:sz="8" w:color="CCEEFF"/>
              <w:bottom w:val="single" w:sz="8" w:color="CCEEFF"/>
            </w:tcBorders>
            <w:shd w:val="clear" w:color="auto" w:fill="CCEEFF"/>
          </w:tcPr>
          <w:p>
            <w:pPr>
              <w:spacing w:after="0"/>
              <w:rPr>
                <w:sz w:val="19"/>
                <w:szCs w:val="19"/>
                <w:color w:val="auto"/>
              </w:rPr>
            </w:pPr>
          </w:p>
        </w:tc>
        <w:tc>
          <w:tcPr>
            <w:tcW w:w="62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right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-2142490</wp:posOffset>
            </wp:positionV>
            <wp:extent cx="5212080" cy="4883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212080" cy="488315"/>
                    </a:xfrm>
                    <a:prstGeom prst="rect">
                      <a:avLst/>
                    </a:prstGeom>
                    <a:noFill/>
                  </pic:spPr>
                </pic:pic>
              </a:graphicData>
            </a:graphic>
          </wp:anchor>
        </w:drawing>
      </w:r>
    </w:p>
    <w:p>
      <w:pPr>
        <w:spacing w:after="0" w:line="110" w:lineRule="exact"/>
        <w:rPr>
          <w:sz w:val="20"/>
          <w:szCs w:val="20"/>
          <w:color w:val="auto"/>
        </w:rPr>
      </w:pPr>
    </w:p>
    <w:p>
      <w:pPr>
        <w:ind w:left="1620" w:right="439" w:hanging="360"/>
        <w:spacing w:after="0" w:line="256" w:lineRule="auto"/>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full grant-date fair value of share awards and option awards granted during 2022, 2023 and 2024 computed in accordance with ASC Topic 718, rather than the amounts paid to or realized by the named individual. The amount shown herein reflects the vesting at maximum levels of each award of PRSUs. We provide information regarding the assumptions used to calculate the value of all share awards and option awards made to our NEOs in Note 7 to the consolidated financial statements included in in our Annual Report on Form 10-K for the year ended December 31, 2024.</w:t>
      </w:r>
    </w:p>
    <w:p>
      <w:pPr>
        <w:spacing w:after="0" w:line="38" w:lineRule="exact"/>
        <w:rPr>
          <w:rFonts w:ascii="Times New Roman" w:cs="Times New Roman" w:eastAsia="Times New Roman" w:hAnsi="Times New Roman"/>
          <w:sz w:val="18"/>
          <w:szCs w:val="18"/>
          <w:color w:val="auto"/>
        </w:rPr>
      </w:pPr>
    </w:p>
    <w:p>
      <w:pPr>
        <w:ind w:left="1620" w:right="479" w:hanging="360"/>
        <w:spacing w:after="0" w:line="266" w:lineRule="auto"/>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payments earned by our NEOs based upon the achievement of certain company and individual performance objectives for 2022, 2023 and 2024. Please see the description of the annual bonus program under “</w:t>
      </w:r>
      <w:r>
        <w:rPr>
          <w:rFonts w:ascii="Times New Roman" w:cs="Times New Roman" w:eastAsia="Times New Roman" w:hAnsi="Times New Roman"/>
          <w:sz w:val="18"/>
          <w:szCs w:val="18"/>
          <w:i w:val="1"/>
          <w:iCs w:val="1"/>
          <w:color w:val="auto"/>
        </w:rPr>
        <w:t>Cash Incentive Compensation</w:t>
      </w:r>
      <w:r>
        <w:rPr>
          <w:rFonts w:ascii="Times New Roman" w:cs="Times New Roman" w:eastAsia="Times New Roman" w:hAnsi="Times New Roman"/>
          <w:sz w:val="18"/>
          <w:szCs w:val="18"/>
          <w:color w:val="auto"/>
        </w:rPr>
        <w:t>” in the CD&amp;A above.</w:t>
      </w:r>
    </w:p>
    <w:p>
      <w:pPr>
        <w:spacing w:after="0" w:line="4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for 2024 consist of Company retirement plan contributions.</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Fisher commenced employment with us on March 4, 2024.</w:t>
      </w:r>
    </w:p>
    <w:p>
      <w:pPr>
        <w:spacing w:after="0" w:line="76" w:lineRule="exact"/>
        <w:rPr>
          <w:rFonts w:ascii="Times New Roman" w:cs="Times New Roman" w:eastAsia="Times New Roman" w:hAnsi="Times New Roman"/>
          <w:sz w:val="18"/>
          <w:szCs w:val="18"/>
          <w:color w:val="auto"/>
        </w:rPr>
      </w:pPr>
    </w:p>
    <w:p>
      <w:pPr>
        <w:jc w:val="both"/>
        <w:ind w:left="1620" w:right="479" w:hanging="360"/>
        <w:spacing w:after="0" w:line="266" w:lineRule="auto"/>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Poll’s employment with us ended on November 2, 2024. Amounts shown in this row are expressed in U.S. dollars. Amounts for 2024 paid in pounds sterling have been converted to U.S. dollars based on the exchange rate ($1.25513 to 1 pound sterling) 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Grants of Plan-Based Awards in Fiscal Year 2024</w:t>
      </w:r>
    </w:p>
    <w:p>
      <w:pPr>
        <w:spacing w:after="0" w:line="162" w:lineRule="exact"/>
        <w:rPr>
          <w:sz w:val="20"/>
          <w:szCs w:val="20"/>
          <w:color w:val="auto"/>
        </w:rPr>
      </w:pPr>
    </w:p>
    <w:p>
      <w:pPr>
        <w:ind w:left="1620" w:right="1080"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provides supplemental information relating to grants of plan-based awards made during fiscal year 2024 to help explain information provided above in our Summary Compensation Table. This table presents information regarding all grants of plan-based awards occurring during fiscal year 2024. Awards cover ordinary shares and/or ADSs; however, amounts shown below are expressed in terms of the number of ADSs that are covered by each such award.</w:t>
      </w:r>
    </w:p>
    <w:p>
      <w:pPr>
        <w:spacing w:after="0" w:line="384"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3"/>
              </w:rPr>
              <w:t>Estimated Possible</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Payouts Under</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Non-Equity</w:t>
            </w:r>
          </w:p>
        </w:tc>
        <w:tc>
          <w:tcPr>
            <w:tcW w:w="160" w:type="dxa"/>
            <w:vAlign w:val="bottom"/>
          </w:tcPr>
          <w:p>
            <w:pPr>
              <w:spacing w:after="0"/>
              <w:rPr>
                <w:sz w:val="14"/>
                <w:szCs w:val="14"/>
                <w:color w:val="auto"/>
              </w:rPr>
            </w:pPr>
          </w:p>
        </w:tc>
        <w:tc>
          <w:tcPr>
            <w:tcW w:w="1520" w:type="dxa"/>
            <w:vAlign w:val="bottom"/>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Estimated Future Payouts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7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Grant</w:t>
            </w:r>
          </w:p>
        </w:tc>
        <w:tc>
          <w:tcPr>
            <w:tcW w:w="0" w:type="dxa"/>
            <w:vAlign w:val="bottom"/>
          </w:tcPr>
          <w:p>
            <w:pPr>
              <w:spacing w:after="0"/>
              <w:rPr>
                <w:sz w:val="1"/>
                <w:szCs w:val="1"/>
                <w:color w:val="auto"/>
              </w:rPr>
            </w:pPr>
          </w:p>
        </w:tc>
      </w:tr>
      <w:tr>
        <w:trPr>
          <w:trHeight w:val="154"/>
        </w:trPr>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3"/>
              </w:rPr>
              <w:t>Incentive</w:t>
            </w:r>
          </w:p>
        </w:tc>
        <w:tc>
          <w:tcPr>
            <w:tcW w:w="160" w:type="dxa"/>
            <w:vAlign w:val="bottom"/>
          </w:tcPr>
          <w:p>
            <w:pPr>
              <w:spacing w:after="0"/>
              <w:rPr>
                <w:sz w:val="13"/>
                <w:szCs w:val="13"/>
                <w:color w:val="auto"/>
              </w:rPr>
            </w:pPr>
          </w:p>
        </w:tc>
        <w:tc>
          <w:tcPr>
            <w:tcW w:w="1520" w:type="dxa"/>
            <w:vAlign w:val="bottom"/>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Under Equity Incentive</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2"/>
              </w:rPr>
              <w:t>Stock Awards:</w:t>
            </w:r>
          </w:p>
        </w:tc>
        <w:tc>
          <w:tcPr>
            <w:tcW w:w="100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3"/>
              </w:rPr>
              <w:t>Option Awards:</w:t>
            </w: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0" w:type="dxa"/>
            <w:vAlign w:val="bottom"/>
          </w:tcPr>
          <w:p>
            <w:pPr>
              <w:spacing w:after="0"/>
              <w:rPr>
                <w:sz w:val="1"/>
                <w:szCs w:val="1"/>
                <w:color w:val="auto"/>
              </w:rPr>
            </w:pPr>
          </w:p>
        </w:tc>
      </w:tr>
      <w:tr>
        <w:trPr>
          <w:trHeight w:val="170"/>
        </w:trPr>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80"/>
              <w:spacing w:after="0" w:line="170" w:lineRule="exact"/>
              <w:rPr>
                <w:sz w:val="20"/>
                <w:szCs w:val="20"/>
                <w:color w:val="auto"/>
              </w:rPr>
            </w:pPr>
            <w:r>
              <w:rPr>
                <w:rFonts w:ascii="Times New Roman" w:cs="Times New Roman" w:eastAsia="Times New Roman" w:hAnsi="Times New Roman"/>
                <w:sz w:val="13"/>
                <w:szCs w:val="13"/>
                <w:b w:val="1"/>
                <w:bCs w:val="1"/>
                <w:color w:val="auto"/>
                <w:w w:val="90"/>
              </w:rPr>
              <w:t>Plan Awards</w:t>
            </w:r>
            <w:r>
              <w:rPr>
                <w:rFonts w:ascii="Times New Roman" w:cs="Times New Roman" w:eastAsia="Times New Roman" w:hAnsi="Times New Roman"/>
                <w:sz w:val="16"/>
                <w:szCs w:val="16"/>
                <w:b w:val="1"/>
                <w:bCs w:val="1"/>
                <w:color w:val="auto"/>
                <w:w w:val="90"/>
                <w:vertAlign w:val="superscript"/>
              </w:rPr>
              <w:t>(1)</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gridSpan w:val="5"/>
          </w:tcPr>
          <w:p>
            <w:pPr>
              <w:jc w:val="center"/>
              <w:ind w:right="289"/>
              <w:spacing w:after="0" w:line="170" w:lineRule="exact"/>
              <w:rPr>
                <w:sz w:val="20"/>
                <w:szCs w:val="20"/>
                <w:color w:val="auto"/>
              </w:rPr>
            </w:pPr>
            <w:r>
              <w:rPr>
                <w:rFonts w:ascii="Times New Roman" w:cs="Times New Roman" w:eastAsia="Times New Roman" w:hAnsi="Times New Roman"/>
                <w:sz w:val="13"/>
                <w:szCs w:val="13"/>
                <w:b w:val="1"/>
                <w:bCs w:val="1"/>
                <w:color w:val="auto"/>
                <w:w w:val="87"/>
              </w:rPr>
              <w:t>Plan Awards</w:t>
            </w:r>
            <w:r>
              <w:rPr>
                <w:rFonts w:ascii="Times New Roman" w:cs="Times New Roman" w:eastAsia="Times New Roman" w:hAnsi="Times New Roman"/>
                <w:sz w:val="16"/>
                <w:szCs w:val="16"/>
                <w:b w:val="1"/>
                <w:bCs w:val="1"/>
                <w:color w:val="auto"/>
                <w:w w:val="87"/>
                <w:vertAlign w:val="superscript"/>
              </w:rPr>
              <w:t>(2)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2"/>
              </w:rPr>
              <w:t>Number of</w:t>
            </w:r>
          </w:p>
        </w:tc>
        <w:tc>
          <w:tcPr>
            <w:tcW w:w="740" w:type="dxa"/>
            <w:vAlign w:val="bottom"/>
            <w:gridSpan w:val="2"/>
          </w:tcPr>
          <w:p>
            <w:pPr>
              <w:jc w:val="center"/>
              <w:ind w:left="31"/>
              <w:spacing w:after="0"/>
              <w:rPr>
                <w:sz w:val="20"/>
                <w:szCs w:val="20"/>
                <w:color w:val="auto"/>
              </w:rPr>
            </w:pPr>
            <w:r>
              <w:rPr>
                <w:rFonts w:ascii="Times New Roman" w:cs="Times New Roman" w:eastAsia="Times New Roman" w:hAnsi="Times New Roman"/>
                <w:sz w:val="13"/>
                <w:szCs w:val="13"/>
                <w:b w:val="1"/>
                <w:bCs w:val="1"/>
                <w:color w:val="auto"/>
                <w:w w:val="92"/>
              </w:rPr>
              <w:t>Number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2"/>
              </w:rPr>
              <w:t>Exercise or</w:t>
            </w:r>
          </w:p>
        </w:tc>
        <w:tc>
          <w:tcPr>
            <w:tcW w:w="60" w:type="dxa"/>
            <w:vAlign w:val="bottom"/>
          </w:tcPr>
          <w:p>
            <w:pPr>
              <w:spacing w:after="0"/>
              <w:rPr>
                <w:sz w:val="14"/>
                <w:szCs w:val="14"/>
                <w:color w:val="auto"/>
              </w:rPr>
            </w:pPr>
          </w:p>
        </w:tc>
        <w:tc>
          <w:tcPr>
            <w:tcW w:w="620" w:type="dxa"/>
            <w:vAlign w:val="bottom"/>
          </w:tcPr>
          <w:p>
            <w:pPr>
              <w:jc w:val="center"/>
              <w:ind w:right="12"/>
              <w:spacing w:after="0"/>
              <w:rPr>
                <w:sz w:val="20"/>
                <w:szCs w:val="20"/>
                <w:color w:val="auto"/>
              </w:rPr>
            </w:pPr>
            <w:r>
              <w:rPr>
                <w:rFonts w:ascii="Times New Roman" w:cs="Times New Roman" w:eastAsia="Times New Roman" w:hAnsi="Times New Roman"/>
                <w:sz w:val="13"/>
                <w:szCs w:val="13"/>
                <w:b w:val="1"/>
                <w:bCs w:val="1"/>
                <w:color w:val="auto"/>
                <w:w w:val="90"/>
              </w:rPr>
              <w:t>Fair Value</w:t>
            </w:r>
          </w:p>
        </w:tc>
        <w:tc>
          <w:tcPr>
            <w:tcW w:w="0" w:type="dxa"/>
            <w:vAlign w:val="bottom"/>
          </w:tcPr>
          <w:p>
            <w:pPr>
              <w:spacing w:after="0"/>
              <w:rPr>
                <w:sz w:val="1"/>
                <w:szCs w:val="1"/>
                <w:color w:val="auto"/>
              </w:rPr>
            </w:pPr>
          </w:p>
        </w:tc>
      </w:tr>
      <w:tr>
        <w:trPr>
          <w:trHeight w:val="34"/>
        </w:trPr>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Shares of</w:t>
            </w:r>
          </w:p>
        </w:tc>
        <w:tc>
          <w:tcPr>
            <w:tcW w:w="7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w w:val="99"/>
              </w:rPr>
              <w:t>Securities</w:t>
            </w: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2"/>
              </w:rPr>
              <w:t>Base Price</w:t>
            </w:r>
          </w:p>
        </w:tc>
        <w:tc>
          <w:tcPr>
            <w:tcW w:w="60" w:type="dxa"/>
            <w:vAlign w:val="bottom"/>
          </w:tcPr>
          <w:p>
            <w:pPr>
              <w:spacing w:after="0"/>
              <w:rPr>
                <w:sz w:val="2"/>
                <w:szCs w:val="2"/>
                <w:color w:val="auto"/>
              </w:rPr>
            </w:pPr>
          </w:p>
        </w:tc>
        <w:tc>
          <w:tcPr>
            <w:tcW w:w="620" w:type="dxa"/>
            <w:vAlign w:val="bottom"/>
            <w:vMerge w:val="restart"/>
          </w:tcPr>
          <w:p>
            <w:pPr>
              <w:jc w:val="center"/>
              <w:ind w:right="12"/>
              <w:spacing w:after="0"/>
              <w:rPr>
                <w:sz w:val="20"/>
                <w:szCs w:val="20"/>
                <w:color w:val="auto"/>
              </w:rPr>
            </w:pPr>
            <w:r>
              <w:rPr>
                <w:rFonts w:ascii="Times New Roman" w:cs="Times New Roman" w:eastAsia="Times New Roman" w:hAnsi="Times New Roman"/>
                <w:sz w:val="13"/>
                <w:szCs w:val="13"/>
                <w:b w:val="1"/>
                <w:bCs w:val="1"/>
                <w:color w:val="auto"/>
                <w:w w:val="92"/>
              </w:rPr>
              <w:t>of Stock</w:t>
            </w:r>
          </w:p>
        </w:tc>
        <w:tc>
          <w:tcPr>
            <w:tcW w:w="0" w:type="dxa"/>
            <w:vAlign w:val="bottom"/>
          </w:tcPr>
          <w:p>
            <w:pPr>
              <w:spacing w:after="0"/>
              <w:rPr>
                <w:sz w:val="1"/>
                <w:szCs w:val="1"/>
                <w:color w:val="auto"/>
              </w:rPr>
            </w:pPr>
          </w:p>
        </w:tc>
      </w:tr>
      <w:tr>
        <w:trPr>
          <w:trHeight w:val="108"/>
        </w:trPr>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4"/>
              </w:rPr>
              <w:t>Grant</w:t>
            </w:r>
          </w:p>
        </w:tc>
        <w:tc>
          <w:tcPr>
            <w:tcW w:w="78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4"/>
              </w:rPr>
              <w:t>Approval</w:t>
            </w:r>
          </w:p>
        </w:tc>
        <w:tc>
          <w:tcPr>
            <w:tcW w:w="1120" w:type="dxa"/>
            <w:vAlign w:val="bottom"/>
            <w:gridSpan w:val="3"/>
          </w:tcPr>
          <w:p>
            <w:pPr>
              <w:ind w:left="340"/>
              <w:spacing w:after="0" w:line="142" w:lineRule="exact"/>
              <w:rPr>
                <w:sz w:val="20"/>
                <w:szCs w:val="20"/>
                <w:color w:val="auto"/>
              </w:rPr>
            </w:pPr>
            <w:r>
              <w:rPr>
                <w:rFonts w:ascii="Times New Roman" w:cs="Times New Roman" w:eastAsia="Times New Roman" w:hAnsi="Times New Roman"/>
                <w:sz w:val="13"/>
                <w:szCs w:val="13"/>
                <w:b w:val="1"/>
                <w:bCs w:val="1"/>
                <w:color w:val="auto"/>
              </w:rPr>
              <w:t>Target</w:t>
            </w:r>
          </w:p>
        </w:tc>
        <w:tc>
          <w:tcPr>
            <w:tcW w:w="5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Threshold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Target</w:t>
            </w:r>
          </w:p>
        </w:tc>
        <w:tc>
          <w:tcPr>
            <w:tcW w:w="5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3"/>
              </w:rPr>
              <w:t>Maximum</w:t>
            </w:r>
          </w:p>
        </w:tc>
        <w:tc>
          <w:tcPr>
            <w:tcW w:w="140" w:type="dxa"/>
            <w:vAlign w:val="bottom"/>
          </w:tcPr>
          <w:p>
            <w:pPr>
              <w:spacing w:after="0"/>
              <w:rPr>
                <w:sz w:val="12"/>
                <w:szCs w:val="12"/>
                <w:color w:val="auto"/>
              </w:rPr>
            </w:pPr>
          </w:p>
        </w:tc>
        <w:tc>
          <w:tcPr>
            <w:tcW w:w="920" w:type="dxa"/>
            <w:vAlign w:val="bottom"/>
            <w:gridSpan w:val="3"/>
          </w:tcPr>
          <w:p>
            <w:pPr>
              <w:jc w:val="center"/>
              <w:ind w:right="160"/>
              <w:spacing w:after="0" w:line="142" w:lineRule="exact"/>
              <w:rPr>
                <w:sz w:val="20"/>
                <w:szCs w:val="20"/>
                <w:color w:val="auto"/>
              </w:rPr>
            </w:pPr>
            <w:r>
              <w:rPr>
                <w:rFonts w:ascii="Times New Roman" w:cs="Times New Roman" w:eastAsia="Times New Roman" w:hAnsi="Times New Roman"/>
                <w:sz w:val="13"/>
                <w:szCs w:val="13"/>
                <w:b w:val="1"/>
                <w:bCs w:val="1"/>
                <w:color w:val="auto"/>
                <w:w w:val="94"/>
              </w:rPr>
              <w:t>Stock or</w:t>
            </w:r>
          </w:p>
        </w:tc>
        <w:tc>
          <w:tcPr>
            <w:tcW w:w="740" w:type="dxa"/>
            <w:vAlign w:val="bottom"/>
            <w:gridSpan w:val="2"/>
          </w:tcPr>
          <w:p>
            <w:pPr>
              <w:jc w:val="center"/>
              <w:ind w:left="31"/>
              <w:spacing w:after="0" w:line="142"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w w:val="94"/>
              </w:rPr>
              <w:t>of Option</w:t>
            </w:r>
          </w:p>
        </w:tc>
        <w:tc>
          <w:tcPr>
            <w:tcW w:w="68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and Option</w:t>
            </w:r>
          </w:p>
        </w:tc>
        <w:tc>
          <w:tcPr>
            <w:tcW w:w="0" w:type="dxa"/>
            <w:vAlign w:val="bottom"/>
          </w:tcPr>
          <w:p>
            <w:pPr>
              <w:spacing w:after="0"/>
              <w:rPr>
                <w:sz w:val="1"/>
                <w:szCs w:val="1"/>
                <w:color w:val="auto"/>
              </w:rPr>
            </w:pPr>
          </w:p>
        </w:tc>
      </w:tr>
      <w:tr>
        <w:trPr>
          <w:trHeight w:val="68"/>
        </w:trPr>
        <w:tc>
          <w:tcPr>
            <w:tcW w:w="14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vMerge w:val="restart"/>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120" w:type="dxa"/>
            <w:vAlign w:val="bottom"/>
            <w:vMerge w:val="restart"/>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100" w:type="dxa"/>
            <w:vAlign w:val="bottom"/>
            <w:vMerge w:val="restart"/>
          </w:tcPr>
          <w:p>
            <w:pPr>
              <w:spacing w:after="0"/>
              <w:rPr>
                <w:sz w:val="5"/>
                <w:szCs w:val="5"/>
                <w:color w:val="auto"/>
              </w:rPr>
            </w:pPr>
          </w:p>
        </w:tc>
        <w:tc>
          <w:tcPr>
            <w:tcW w:w="400" w:type="dxa"/>
            <w:vAlign w:val="bottom"/>
          </w:tcPr>
          <w:p>
            <w:pPr>
              <w:spacing w:after="0"/>
              <w:rPr>
                <w:sz w:val="5"/>
                <w:szCs w:val="5"/>
                <w:color w:val="auto"/>
              </w:rPr>
            </w:pPr>
          </w:p>
        </w:tc>
        <w:tc>
          <w:tcPr>
            <w:tcW w:w="620" w:type="dxa"/>
            <w:vAlign w:val="bottom"/>
            <w:vMerge w:val="restart"/>
          </w:tcPr>
          <w:p>
            <w:pPr>
              <w:jc w:val="center"/>
              <w:ind w:right="289"/>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vMerge w:val="restart"/>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20" w:type="dxa"/>
            <w:vAlign w:val="bottom"/>
          </w:tcPr>
          <w:p>
            <w:pPr>
              <w:spacing w:after="0"/>
              <w:rPr>
                <w:sz w:val="5"/>
                <w:szCs w:val="5"/>
                <w:color w:val="auto"/>
              </w:rPr>
            </w:pP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w w:val="78"/>
              </w:rPr>
              <w:t>(#)</w:t>
            </w: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Units (#)</w:t>
            </w:r>
            <w:r>
              <w:rPr>
                <w:rFonts w:ascii="Times New Roman" w:cs="Times New Roman" w:eastAsia="Times New Roman" w:hAnsi="Times New Roman"/>
                <w:sz w:val="16"/>
                <w:szCs w:val="16"/>
                <w:b w:val="1"/>
                <w:bCs w:val="1"/>
                <w:color w:val="auto"/>
                <w:vertAlign w:val="superscript"/>
              </w:rPr>
              <w:t>(3)</w:t>
            </w:r>
          </w:p>
        </w:tc>
        <w:tc>
          <w:tcPr>
            <w:tcW w:w="140" w:type="dxa"/>
            <w:vAlign w:val="bottom"/>
            <w:vMerge w:val="restart"/>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b w:val="1"/>
                <w:bCs w:val="1"/>
                <w:color w:val="auto"/>
              </w:rPr>
              <w:t>(4)</w:t>
            </w:r>
          </w:p>
        </w:tc>
        <w:tc>
          <w:tcPr>
            <w:tcW w:w="140" w:type="dxa"/>
            <w:vAlign w:val="bottom"/>
          </w:tcPr>
          <w:p>
            <w:pPr>
              <w:spacing w:after="0"/>
              <w:rPr>
                <w:sz w:val="5"/>
                <w:szCs w:val="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Awards ($/Sh)</w:t>
            </w:r>
          </w:p>
        </w:tc>
        <w:tc>
          <w:tcPr>
            <w:tcW w:w="120" w:type="dxa"/>
            <w:vAlign w:val="bottom"/>
            <w:vMerge w:val="restart"/>
          </w:tcPr>
          <w:p>
            <w:pPr>
              <w:spacing w:after="0"/>
              <w:rPr>
                <w:sz w:val="5"/>
                <w:szCs w:val="5"/>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86"/>
              </w:rPr>
              <w:t>Awards ($)</w:t>
            </w:r>
            <w:r>
              <w:rPr>
                <w:rFonts w:ascii="Times New Roman" w:cs="Times New Roman" w:eastAsia="Times New Roman" w:hAnsi="Times New Roman"/>
                <w:sz w:val="16"/>
                <w:szCs w:val="16"/>
                <w:b w:val="1"/>
                <w:bCs w:val="1"/>
                <w:color w:val="auto"/>
                <w:w w:val="86"/>
                <w:vertAlign w:val="superscript"/>
              </w:rPr>
              <w:t>(5)</w:t>
            </w: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7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w w:val="99"/>
              </w:rPr>
              <w:t>Options (#)</w:t>
            </w:r>
          </w:p>
        </w:tc>
        <w:tc>
          <w:tcPr>
            <w:tcW w:w="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8"/>
                <w:szCs w:val="8"/>
                <w:b w:val="1"/>
                <w:bCs w:val="1"/>
                <w:color w:val="auto"/>
              </w:rPr>
              <w:t>​</w:t>
            </w:r>
          </w:p>
        </w:tc>
        <w:tc>
          <w:tcPr>
            <w:tcW w:w="1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Zaccardelli</w:t>
            </w: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10/30/2024</w:t>
            </w: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10/30/2024</w:t>
            </w:r>
          </w:p>
        </w:tc>
        <w:tc>
          <w:tcPr>
            <w:tcW w:w="10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5"/>
                <w:szCs w:val="15"/>
                <w:color w:val="auto"/>
              </w:rPr>
            </w:pPr>
          </w:p>
        </w:tc>
        <w:tc>
          <w:tcPr>
            <w:tcW w:w="920" w:type="dxa"/>
            <w:vAlign w:val="bottom"/>
            <w:gridSpan w:val="3"/>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​100,000</w:t>
            </w:r>
          </w:p>
        </w:tc>
        <w:tc>
          <w:tcPr>
            <w:tcW w:w="3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3,367,000</w:t>
            </w:r>
          </w:p>
        </w:tc>
        <w:tc>
          <w:tcPr>
            <w:tcW w:w="0" w:type="dxa"/>
            <w:vAlign w:val="bottom"/>
          </w:tcPr>
          <w:p>
            <w:pPr>
              <w:spacing w:after="0"/>
              <w:rPr>
                <w:sz w:val="1"/>
                <w:szCs w:val="1"/>
                <w:color w:val="auto"/>
              </w:rPr>
            </w:pPr>
          </w:p>
        </w:tc>
      </w:tr>
      <w:tr>
        <w:trPr>
          <w:trHeight w:val="62"/>
        </w:trPr>
        <w:tc>
          <w:tcPr>
            <w:tcW w:w="14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68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68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CCEEFF"/>
            </w:tcBorders>
            <w:vMerge w:val="continue"/>
            <w:shd w:val="clear" w:color="auto" w:fill="CCEEFF"/>
          </w:tcPr>
          <w:p>
            <w:pPr>
              <w:spacing w:after="0"/>
              <w:rPr>
                <w:sz w:val="5"/>
                <w:szCs w:val="5"/>
                <w:color w:val="auto"/>
              </w:rPr>
            </w:pPr>
          </w:p>
        </w:tc>
        <w:tc>
          <w:tcPr>
            <w:tcW w:w="720" w:type="dxa"/>
            <w:vAlign w:val="bottom"/>
            <w:tcBorders>
              <w:bottom w:val="single" w:sz="8" w:color="CCEEFF"/>
            </w:tcBorders>
            <w:gridSpan w:val="2"/>
            <w:vMerge w:val="continue"/>
            <w:shd w:val="clear" w:color="auto" w:fill="CCEEFF"/>
          </w:tcPr>
          <w:p>
            <w:pPr>
              <w:spacing w:after="0"/>
              <w:rPr>
                <w:sz w:val="5"/>
                <w:szCs w:val="5"/>
                <w:color w:val="auto"/>
              </w:rPr>
            </w:pPr>
          </w:p>
        </w:tc>
        <w:tc>
          <w:tcPr>
            <w:tcW w:w="160" w:type="dxa"/>
            <w:vAlign w:val="bottom"/>
            <w:tcBorders>
              <w:bottom w:val="single" w:sz="8" w:color="CCEEFF"/>
            </w:tcBorders>
            <w:vMerge w:val="continue"/>
            <w:shd w:val="clear" w:color="auto" w:fill="CCEEFF"/>
          </w:tcPr>
          <w:p>
            <w:pPr>
              <w:spacing w:after="0"/>
              <w:rPr>
                <w:sz w:val="5"/>
                <w:szCs w:val="5"/>
                <w:color w:val="auto"/>
              </w:rPr>
            </w:pPr>
          </w:p>
        </w:tc>
        <w:tc>
          <w:tcPr>
            <w:tcW w:w="4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60" w:type="dxa"/>
            <w:vAlign w:val="bottom"/>
            <w:tcBorders>
              <w:bottom w:val="single" w:sz="8" w:color="CCEEFF"/>
            </w:tcBorders>
            <w:vMerge w:val="continue"/>
            <w:shd w:val="clear" w:color="auto" w:fill="CCEEFF"/>
          </w:tcPr>
          <w:p>
            <w:pPr>
              <w:spacing w:after="0"/>
              <w:rPr>
                <w:sz w:val="5"/>
                <w:szCs w:val="5"/>
                <w:color w:val="auto"/>
              </w:rPr>
            </w:pPr>
          </w:p>
        </w:tc>
        <w:tc>
          <w:tcPr>
            <w:tcW w:w="560" w:type="dxa"/>
            <w:vAlign w:val="bottom"/>
            <w:tcBorders>
              <w:bottom w:val="single" w:sz="8" w:color="CCEEFF"/>
            </w:tcBorders>
            <w:gridSpan w:val="2"/>
            <w:vMerge w:val="continue"/>
            <w:shd w:val="clear" w:color="auto" w:fill="CCEEFF"/>
          </w:tcPr>
          <w:p>
            <w:pPr>
              <w:spacing w:after="0"/>
              <w:rPr>
                <w:sz w:val="5"/>
                <w:szCs w:val="5"/>
                <w:color w:val="auto"/>
              </w:rPr>
            </w:pPr>
          </w:p>
        </w:tc>
        <w:tc>
          <w:tcPr>
            <w:tcW w:w="380" w:type="dxa"/>
            <w:vAlign w:val="bottom"/>
            <w:tcBorders>
              <w:bottom w:val="single" w:sz="8" w:color="CCEEFF"/>
            </w:tcBorders>
            <w:vMerge w:val="continue"/>
            <w:shd w:val="clear" w:color="auto" w:fill="CCEEFF"/>
          </w:tcPr>
          <w:p>
            <w:pPr>
              <w:spacing w:after="0"/>
              <w:rPr>
                <w:sz w:val="5"/>
                <w:szCs w:val="5"/>
                <w:color w:val="auto"/>
              </w:rPr>
            </w:pPr>
          </w:p>
        </w:tc>
        <w:tc>
          <w:tcPr>
            <w:tcW w:w="20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920" w:type="dxa"/>
            <w:vAlign w:val="bottom"/>
            <w:tcBorders>
              <w:bottom w:val="single" w:sz="8" w:color="CCEEFF"/>
            </w:tcBorders>
            <w:gridSpan w:val="3"/>
            <w:vMerge w:val="continue"/>
            <w:shd w:val="clear" w:color="auto" w:fill="CCEEFF"/>
          </w:tcPr>
          <w:p>
            <w:pPr>
              <w:spacing w:after="0"/>
              <w:rPr>
                <w:sz w:val="5"/>
                <w:szCs w:val="5"/>
                <w:color w:val="auto"/>
              </w:rPr>
            </w:pPr>
          </w:p>
        </w:tc>
        <w:tc>
          <w:tcPr>
            <w:tcW w:w="380" w:type="dxa"/>
            <w:vAlign w:val="bottom"/>
            <w:tcBorders>
              <w:bottom w:val="single" w:sz="8" w:color="CCEEFF"/>
            </w:tcBorders>
            <w:vMerge w:val="continue"/>
            <w:shd w:val="clear" w:color="auto" w:fill="CCEEFF"/>
          </w:tcPr>
          <w:p>
            <w:pPr>
              <w:spacing w:after="0"/>
              <w:rPr>
                <w:sz w:val="5"/>
                <w:szCs w:val="5"/>
                <w:color w:val="auto"/>
              </w:rPr>
            </w:pPr>
          </w:p>
        </w:tc>
        <w:tc>
          <w:tcPr>
            <w:tcW w:w="36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CCEEFF"/>
            </w:tcBorders>
            <w:vMerge w:val="continue"/>
            <w:shd w:val="clear" w:color="auto" w:fill="CCEEFF"/>
          </w:tcPr>
          <w:p>
            <w:pPr>
              <w:spacing w:after="0"/>
              <w:rPr>
                <w:sz w:val="5"/>
                <w:szCs w:val="5"/>
                <w:color w:val="auto"/>
              </w:rPr>
            </w:pPr>
          </w:p>
        </w:tc>
        <w:tc>
          <w:tcPr>
            <w:tcW w:w="520" w:type="dxa"/>
            <w:vAlign w:val="bottom"/>
            <w:tcBorders>
              <w:bottom w:val="single" w:sz="8" w:color="CCEEFF"/>
            </w:tcBorders>
            <w:gridSpan w:val="2"/>
            <w:vMerge w:val="continue"/>
            <w:shd w:val="clear" w:color="auto" w:fill="CCEEFF"/>
          </w:tcPr>
          <w:p>
            <w:pPr>
              <w:spacing w:after="0"/>
              <w:rPr>
                <w:sz w:val="5"/>
                <w:szCs w:val="5"/>
                <w:color w:val="auto"/>
              </w:rPr>
            </w:pPr>
          </w:p>
        </w:tc>
        <w:tc>
          <w:tcPr>
            <w:tcW w:w="680" w:type="dxa"/>
            <w:vAlign w:val="bottom"/>
            <w:tcBorders>
              <w:bottom w:val="single" w:sz="8" w:color="CCEEFF"/>
            </w:tcBorders>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David Zaccardelli</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12/13/2024</w:t>
            </w:r>
          </w:p>
        </w:tc>
        <w:tc>
          <w:tcPr>
            <w:tcW w:w="120" w:type="dxa"/>
            <w:vAlign w:val="bottom"/>
          </w:tcPr>
          <w:p>
            <w:pPr>
              <w:spacing w:after="0"/>
              <w:rPr>
                <w:sz w:val="16"/>
                <w:szCs w:val="1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10/30/2024</w:t>
            </w:r>
          </w:p>
        </w:tc>
        <w:tc>
          <w:tcPr>
            <w:tcW w:w="100" w:type="dxa"/>
            <w:vAlign w:val="bottom"/>
          </w:tcPr>
          <w:p>
            <w:pPr>
              <w:spacing w:after="0"/>
              <w:rPr>
                <w:sz w:val="16"/>
                <w:szCs w:val="16"/>
                <w:color w:val="auto"/>
              </w:rPr>
            </w:pPr>
          </w:p>
        </w:tc>
        <w:tc>
          <w:tcPr>
            <w:tcW w:w="4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00" w:type="dxa"/>
            <w:vAlign w:val="bottom"/>
          </w:tcPr>
          <w:p>
            <w:pPr>
              <w:spacing w:after="0"/>
              <w:rPr>
                <w:sz w:val="16"/>
                <w:szCs w:val="16"/>
                <w:color w:val="auto"/>
              </w:rPr>
            </w:pPr>
          </w:p>
        </w:tc>
        <w:tc>
          <w:tcPr>
            <w:tcW w:w="6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​300,000</w:t>
            </w: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​375,000</w:t>
            </w:r>
          </w:p>
        </w:tc>
        <w:tc>
          <w:tcPr>
            <w:tcW w:w="140" w:type="dxa"/>
            <w:vAlign w:val="bottom"/>
          </w:tcPr>
          <w:p>
            <w:pPr>
              <w:spacing w:after="0"/>
              <w:rPr>
                <w:sz w:val="16"/>
                <w:szCs w:val="16"/>
                <w:color w:val="auto"/>
              </w:rPr>
            </w:pPr>
          </w:p>
        </w:tc>
        <w:tc>
          <w:tcPr>
            <w:tcW w:w="3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​14,722,500</w:t>
            </w:r>
          </w:p>
        </w:tc>
        <w:tc>
          <w:tcPr>
            <w:tcW w:w="0" w:type="dxa"/>
            <w:vAlign w:val="bottom"/>
          </w:tcPr>
          <w:p>
            <w:pPr>
              <w:spacing w:after="0"/>
              <w:rPr>
                <w:sz w:val="1"/>
                <w:szCs w:val="1"/>
                <w:color w:val="auto"/>
              </w:rPr>
            </w:pPr>
          </w:p>
        </w:tc>
      </w:tr>
      <w:tr>
        <w:trPr>
          <w:trHeight w:val="45"/>
        </w:trPr>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vMerge w:val="continue"/>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gridSpan w:val="3"/>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3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vMerge w:val="continue"/>
          </w:tcPr>
          <w:p>
            <w:pPr>
              <w:spacing w:after="0"/>
              <w:rPr>
                <w:sz w:val="3"/>
                <w:szCs w:val="3"/>
                <w:color w:val="auto"/>
              </w:rPr>
            </w:pPr>
          </w:p>
        </w:tc>
        <w:tc>
          <w:tcPr>
            <w:tcW w:w="520" w:type="dxa"/>
            <w:vAlign w:val="bottom"/>
            <w:gridSpan w:val="2"/>
            <w:vMerge w:val="continue"/>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Zaccardelli</w:t>
            </w: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$436,507</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8"/>
        </w:trPr>
        <w:tc>
          <w:tcPr>
            <w:tcW w:w="14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020" w:type="dxa"/>
            <w:vAlign w:val="bottom"/>
            <w:tcBorders>
              <w:bottom w:val="single" w:sz="8" w:color="CCEEFF"/>
            </w:tcBorders>
            <w:gridSpan w:val="2"/>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vMerge w:val="continue"/>
            <w:shd w:val="clear" w:color="auto" w:fill="CCEEFF"/>
          </w:tcPr>
          <w:p>
            <w:pPr>
              <w:spacing w:after="0"/>
              <w:rPr>
                <w:sz w:val="4"/>
                <w:szCs w:val="4"/>
                <w:color w:val="auto"/>
              </w:rPr>
            </w:pPr>
          </w:p>
        </w:tc>
        <w:tc>
          <w:tcPr>
            <w:tcW w:w="42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vMerge w:val="continue"/>
            <w:shd w:val="clear" w:color="auto" w:fill="CCEEFF"/>
          </w:tcPr>
          <w:p>
            <w:pPr>
              <w:spacing w:after="0"/>
              <w:rPr>
                <w:sz w:val="4"/>
                <w:szCs w:val="4"/>
                <w:color w:val="auto"/>
              </w:rPr>
            </w:pPr>
          </w:p>
        </w:tc>
        <w:tc>
          <w:tcPr>
            <w:tcW w:w="560" w:type="dxa"/>
            <w:vAlign w:val="bottom"/>
            <w:tcBorders>
              <w:bottom w:val="single" w:sz="8" w:color="CCEEFF"/>
            </w:tcBorders>
            <w:gridSpan w:val="2"/>
            <w:vMerge w:val="continue"/>
            <w:shd w:val="clear" w:color="auto" w:fill="CCEEFF"/>
          </w:tcPr>
          <w:p>
            <w:pPr>
              <w:spacing w:after="0"/>
              <w:rPr>
                <w:sz w:val="4"/>
                <w:szCs w:val="4"/>
                <w:color w:val="auto"/>
              </w:rPr>
            </w:pPr>
          </w:p>
        </w:tc>
        <w:tc>
          <w:tcPr>
            <w:tcW w:w="380" w:type="dxa"/>
            <w:vAlign w:val="bottom"/>
            <w:tcBorders>
              <w:bottom w:val="single" w:sz="8" w:color="CCEEFF"/>
            </w:tcBorders>
            <w:vMerge w:val="continue"/>
            <w:shd w:val="clear" w:color="auto" w:fill="CCEEFF"/>
          </w:tcPr>
          <w:p>
            <w:pPr>
              <w:spacing w:after="0"/>
              <w:rPr>
                <w:sz w:val="4"/>
                <w:szCs w:val="4"/>
                <w:color w:val="auto"/>
              </w:rPr>
            </w:pPr>
          </w:p>
        </w:tc>
        <w:tc>
          <w:tcPr>
            <w:tcW w:w="200" w:type="dxa"/>
            <w:vAlign w:val="bottom"/>
            <w:tcBorders>
              <w:bottom w:val="single" w:sz="8" w:color="CCEEFF"/>
            </w:tcBorders>
            <w:vMerge w:val="continue"/>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vMerge w:val="continue"/>
            <w:shd w:val="clear" w:color="auto" w:fill="CCEEFF"/>
          </w:tcPr>
          <w:p>
            <w:pPr>
              <w:spacing w:after="0"/>
              <w:rPr>
                <w:sz w:val="4"/>
                <w:szCs w:val="4"/>
                <w:color w:val="auto"/>
              </w:rPr>
            </w:pPr>
          </w:p>
        </w:tc>
        <w:tc>
          <w:tcPr>
            <w:tcW w:w="580" w:type="dxa"/>
            <w:vAlign w:val="bottom"/>
            <w:tcBorders>
              <w:bottom w:val="single" w:sz="8" w:color="CCEEFF"/>
            </w:tcBorders>
            <w:gridSpan w:val="2"/>
            <w:vMerge w:val="continue"/>
            <w:shd w:val="clear" w:color="auto" w:fill="CCEEFF"/>
          </w:tcPr>
          <w:p>
            <w:pPr>
              <w:spacing w:after="0"/>
              <w:rPr>
                <w:sz w:val="4"/>
                <w:szCs w:val="4"/>
                <w:color w:val="auto"/>
              </w:rPr>
            </w:pPr>
          </w:p>
        </w:tc>
        <w:tc>
          <w:tcPr>
            <w:tcW w:w="380" w:type="dxa"/>
            <w:vAlign w:val="bottom"/>
            <w:tcBorders>
              <w:bottom w:val="single" w:sz="8" w:color="CCEEFF"/>
            </w:tcBorders>
            <w:vMerge w:val="continue"/>
            <w:shd w:val="clear" w:color="auto" w:fill="CCEEFF"/>
          </w:tcPr>
          <w:p>
            <w:pPr>
              <w:spacing w:after="0"/>
              <w:rPr>
                <w:sz w:val="4"/>
                <w:szCs w:val="4"/>
                <w:color w:val="auto"/>
              </w:rPr>
            </w:pPr>
          </w:p>
        </w:tc>
        <w:tc>
          <w:tcPr>
            <w:tcW w:w="36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CCEEFF"/>
            </w:tcBorders>
            <w:vMerge w:val="continue"/>
            <w:shd w:val="clear" w:color="auto" w:fill="CCEEFF"/>
          </w:tcPr>
          <w:p>
            <w:pPr>
              <w:spacing w:after="0"/>
              <w:rPr>
                <w:sz w:val="4"/>
                <w:szCs w:val="4"/>
                <w:color w:val="auto"/>
              </w:rPr>
            </w:pPr>
          </w:p>
        </w:tc>
        <w:tc>
          <w:tcPr>
            <w:tcW w:w="520" w:type="dxa"/>
            <w:vAlign w:val="bottom"/>
            <w:tcBorders>
              <w:bottom w:val="single" w:sz="8" w:color="CCEEFF"/>
            </w:tcBorders>
            <w:gridSpan w:val="2"/>
            <w:vMerge w:val="continue"/>
            <w:shd w:val="clear" w:color="auto" w:fill="CCEEFF"/>
          </w:tcPr>
          <w:p>
            <w:pPr>
              <w:spacing w:after="0"/>
              <w:rPr>
                <w:sz w:val="4"/>
                <w:szCs w:val="4"/>
                <w:color w:val="auto"/>
              </w:rPr>
            </w:pPr>
          </w:p>
        </w:tc>
        <w:tc>
          <w:tcPr>
            <w:tcW w:w="60" w:type="dxa"/>
            <w:vAlign w:val="bottom"/>
            <w:tcBorders>
              <w:bottom w:val="single" w:sz="8" w:color="CCEEFF"/>
            </w:tcBorders>
            <w:vMerge w:val="continue"/>
            <w:shd w:val="clear" w:color="auto" w:fill="CCEEFF"/>
          </w:tcPr>
          <w:p>
            <w:pPr>
              <w:spacing w:after="0"/>
              <w:rPr>
                <w:sz w:val="4"/>
                <w:szCs w:val="4"/>
                <w:color w:val="auto"/>
              </w:rPr>
            </w:pPr>
          </w:p>
        </w:tc>
        <w:tc>
          <w:tcPr>
            <w:tcW w:w="620" w:type="dxa"/>
            <w:vAlign w:val="bottom"/>
            <w:tcBorders>
              <w:bottom w:val="single" w:sz="8" w:color="CCEEFF"/>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Mark W. Hahn</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10/30/2024</w:t>
            </w:r>
          </w:p>
        </w:tc>
        <w:tc>
          <w:tcPr>
            <w:tcW w:w="120" w:type="dxa"/>
            <w:vAlign w:val="bottom"/>
          </w:tcPr>
          <w:p>
            <w:pPr>
              <w:spacing w:after="0"/>
              <w:rPr>
                <w:sz w:val="16"/>
                <w:szCs w:val="1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10/30/2024</w:t>
            </w:r>
          </w:p>
        </w:tc>
        <w:tc>
          <w:tcPr>
            <w:tcW w:w="100" w:type="dxa"/>
            <w:vAlign w:val="bottom"/>
          </w:tcPr>
          <w:p>
            <w:pPr>
              <w:spacing w:after="0"/>
              <w:rPr>
                <w:sz w:val="16"/>
                <w:szCs w:val="16"/>
                <w:color w:val="auto"/>
              </w:rPr>
            </w:pPr>
          </w:p>
        </w:tc>
        <w:tc>
          <w:tcPr>
            <w:tcW w:w="4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92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​100,000</w:t>
            </w:r>
          </w:p>
        </w:tc>
        <w:tc>
          <w:tcPr>
            <w:tcW w:w="3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3,367,000</w:t>
            </w:r>
          </w:p>
        </w:tc>
        <w:tc>
          <w:tcPr>
            <w:tcW w:w="0" w:type="dxa"/>
            <w:vAlign w:val="bottom"/>
          </w:tcPr>
          <w:p>
            <w:pPr>
              <w:spacing w:after="0"/>
              <w:rPr>
                <w:sz w:val="1"/>
                <w:szCs w:val="1"/>
                <w:color w:val="auto"/>
              </w:rPr>
            </w:pPr>
          </w:p>
        </w:tc>
      </w:tr>
      <w:tr>
        <w:trPr>
          <w:trHeight w:val="45"/>
        </w:trPr>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vMerge w:val="continue"/>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4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560" w:type="dxa"/>
            <w:vAlign w:val="bottom"/>
            <w:gridSpan w:val="2"/>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3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vMerge w:val="continue"/>
          </w:tcPr>
          <w:p>
            <w:pPr>
              <w:spacing w:after="0"/>
              <w:rPr>
                <w:sz w:val="3"/>
                <w:szCs w:val="3"/>
                <w:color w:val="auto"/>
              </w:rPr>
            </w:pPr>
          </w:p>
        </w:tc>
        <w:tc>
          <w:tcPr>
            <w:tcW w:w="520" w:type="dxa"/>
            <w:vAlign w:val="bottom"/>
            <w:gridSpan w:val="2"/>
            <w:vMerge w:val="continue"/>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 W. Hahn</w:t>
            </w: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12/13/2024</w:t>
            </w:r>
          </w:p>
        </w:tc>
        <w:tc>
          <w:tcPr>
            <w:tcW w:w="12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10/30/2024</w:t>
            </w:r>
          </w:p>
        </w:tc>
        <w:tc>
          <w:tcPr>
            <w:tcW w:w="10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00" w:type="dxa"/>
            <w:vAlign w:val="bottom"/>
            <w:shd w:val="clear" w:color="auto" w:fill="CCEEFF"/>
          </w:tcPr>
          <w:p>
            <w:pPr>
              <w:spacing w:after="0"/>
              <w:rPr>
                <w:sz w:val="16"/>
                <w:szCs w:val="16"/>
                <w:color w:val="auto"/>
              </w:rPr>
            </w:pPr>
          </w:p>
        </w:tc>
        <w:tc>
          <w:tcPr>
            <w:tcW w:w="6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​300,000</w:t>
            </w:r>
          </w:p>
        </w:tc>
        <w:tc>
          <w:tcPr>
            <w:tcW w:w="5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​375,000</w:t>
            </w:r>
          </w:p>
        </w:tc>
        <w:tc>
          <w:tcPr>
            <w:tcW w:w="14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​14,722,500</w:t>
            </w:r>
          </w:p>
        </w:tc>
        <w:tc>
          <w:tcPr>
            <w:tcW w:w="0" w:type="dxa"/>
            <w:vAlign w:val="bottom"/>
          </w:tcPr>
          <w:p>
            <w:pPr>
              <w:spacing w:after="0"/>
              <w:rPr>
                <w:sz w:val="1"/>
                <w:szCs w:val="1"/>
                <w:color w:val="auto"/>
              </w:rPr>
            </w:pPr>
          </w:p>
        </w:tc>
      </w:tr>
      <w:tr>
        <w:trPr>
          <w:trHeight w:val="48"/>
        </w:trPr>
        <w:tc>
          <w:tcPr>
            <w:tcW w:w="14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400" w:type="dxa"/>
            <w:vAlign w:val="bottom"/>
            <w:tcBorders>
              <w:bottom w:val="single" w:sz="8" w:color="CCEEFF"/>
            </w:tcBorders>
            <w:vMerge w:val="continue"/>
            <w:shd w:val="clear" w:color="auto" w:fill="CCEEFF"/>
          </w:tcPr>
          <w:p>
            <w:pPr>
              <w:spacing w:after="0"/>
              <w:rPr>
                <w:sz w:val="4"/>
                <w:szCs w:val="4"/>
                <w:color w:val="auto"/>
              </w:rPr>
            </w:pPr>
          </w:p>
        </w:tc>
        <w:tc>
          <w:tcPr>
            <w:tcW w:w="720" w:type="dxa"/>
            <w:vAlign w:val="bottom"/>
            <w:tcBorders>
              <w:bottom w:val="single" w:sz="8" w:color="CCEEFF"/>
            </w:tcBorders>
            <w:gridSpan w:val="2"/>
            <w:vMerge w:val="continue"/>
            <w:shd w:val="clear" w:color="auto" w:fill="CCEEFF"/>
          </w:tcPr>
          <w:p>
            <w:pPr>
              <w:spacing w:after="0"/>
              <w:rPr>
                <w:sz w:val="4"/>
                <w:szCs w:val="4"/>
                <w:color w:val="auto"/>
              </w:rPr>
            </w:pPr>
          </w:p>
        </w:tc>
        <w:tc>
          <w:tcPr>
            <w:tcW w:w="580" w:type="dxa"/>
            <w:vAlign w:val="bottom"/>
            <w:tcBorders>
              <w:bottom w:val="single" w:sz="8" w:color="CCEEFF"/>
            </w:tcBorders>
            <w:gridSpan w:val="2"/>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620" w:type="dxa"/>
            <w:vAlign w:val="bottom"/>
            <w:tcBorders>
              <w:bottom w:val="single" w:sz="8" w:color="CCEEFF"/>
            </w:tcBorders>
            <w:gridSpan w:val="3"/>
            <w:vMerge w:val="continue"/>
            <w:shd w:val="clear" w:color="auto" w:fill="CCEEFF"/>
          </w:tcPr>
          <w:p>
            <w:pPr>
              <w:spacing w:after="0"/>
              <w:rPr>
                <w:sz w:val="4"/>
                <w:szCs w:val="4"/>
                <w:color w:val="auto"/>
              </w:rPr>
            </w:pPr>
          </w:p>
        </w:tc>
        <w:tc>
          <w:tcPr>
            <w:tcW w:w="580" w:type="dxa"/>
            <w:vAlign w:val="bottom"/>
            <w:tcBorders>
              <w:bottom w:val="single" w:sz="8" w:color="CCEEFF"/>
            </w:tcBorders>
            <w:gridSpan w:val="2"/>
            <w:vMerge w:val="continue"/>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vMerge w:val="continue"/>
            <w:shd w:val="clear" w:color="auto" w:fill="CCEEFF"/>
          </w:tcPr>
          <w:p>
            <w:pPr>
              <w:spacing w:after="0"/>
              <w:rPr>
                <w:sz w:val="4"/>
                <w:szCs w:val="4"/>
                <w:color w:val="auto"/>
              </w:rPr>
            </w:pPr>
          </w:p>
        </w:tc>
        <w:tc>
          <w:tcPr>
            <w:tcW w:w="580" w:type="dxa"/>
            <w:vAlign w:val="bottom"/>
            <w:tcBorders>
              <w:bottom w:val="single" w:sz="8" w:color="CCEEFF"/>
            </w:tcBorders>
            <w:gridSpan w:val="2"/>
            <w:vMerge w:val="continue"/>
            <w:shd w:val="clear" w:color="auto" w:fill="CCEEFF"/>
          </w:tcPr>
          <w:p>
            <w:pPr>
              <w:spacing w:after="0"/>
              <w:rPr>
                <w:sz w:val="4"/>
                <w:szCs w:val="4"/>
                <w:color w:val="auto"/>
              </w:rPr>
            </w:pPr>
          </w:p>
        </w:tc>
        <w:tc>
          <w:tcPr>
            <w:tcW w:w="380" w:type="dxa"/>
            <w:vAlign w:val="bottom"/>
            <w:tcBorders>
              <w:bottom w:val="single" w:sz="8" w:color="CCEEFF"/>
            </w:tcBorders>
            <w:vMerge w:val="continue"/>
            <w:shd w:val="clear" w:color="auto" w:fill="CCEEFF"/>
          </w:tcPr>
          <w:p>
            <w:pPr>
              <w:spacing w:after="0"/>
              <w:rPr>
                <w:sz w:val="4"/>
                <w:szCs w:val="4"/>
                <w:color w:val="auto"/>
              </w:rPr>
            </w:pPr>
          </w:p>
        </w:tc>
        <w:tc>
          <w:tcPr>
            <w:tcW w:w="36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CCEEFF"/>
            </w:tcBorders>
            <w:vMerge w:val="continue"/>
            <w:shd w:val="clear" w:color="auto" w:fill="CCEEFF"/>
          </w:tcPr>
          <w:p>
            <w:pPr>
              <w:spacing w:after="0"/>
              <w:rPr>
                <w:sz w:val="4"/>
                <w:szCs w:val="4"/>
                <w:color w:val="auto"/>
              </w:rPr>
            </w:pPr>
          </w:p>
        </w:tc>
        <w:tc>
          <w:tcPr>
            <w:tcW w:w="520" w:type="dxa"/>
            <w:vAlign w:val="bottom"/>
            <w:tcBorders>
              <w:bottom w:val="single" w:sz="8" w:color="CCEEFF"/>
            </w:tcBorders>
            <w:gridSpan w:val="2"/>
            <w:vMerge w:val="continue"/>
            <w:shd w:val="clear" w:color="auto" w:fill="CCEEFF"/>
          </w:tcPr>
          <w:p>
            <w:pPr>
              <w:spacing w:after="0"/>
              <w:rPr>
                <w:sz w:val="4"/>
                <w:szCs w:val="4"/>
                <w:color w:val="auto"/>
              </w:rPr>
            </w:pPr>
          </w:p>
        </w:tc>
        <w:tc>
          <w:tcPr>
            <w:tcW w:w="680" w:type="dxa"/>
            <w:vAlign w:val="bottom"/>
            <w:tcBorders>
              <w:bottom w:val="single" w:sz="8" w:color="CCEEFF"/>
            </w:tcBorders>
            <w:gridSpan w:val="2"/>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Mark W. Hahn</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rPr>
              <w:t>$291,005</w:t>
            </w:r>
          </w:p>
        </w:tc>
        <w:tc>
          <w:tcPr>
            <w:tcW w:w="100" w:type="dxa"/>
            <w:vAlign w:val="bottom"/>
          </w:tcPr>
          <w:p>
            <w:pPr>
              <w:spacing w:after="0"/>
              <w:rPr>
                <w:sz w:val="16"/>
                <w:szCs w:val="16"/>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3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5"/>
        </w:trPr>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4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560" w:type="dxa"/>
            <w:vAlign w:val="bottom"/>
            <w:gridSpan w:val="2"/>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3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vMerge w:val="continue"/>
          </w:tcPr>
          <w:p>
            <w:pPr>
              <w:spacing w:after="0"/>
              <w:rPr>
                <w:sz w:val="3"/>
                <w:szCs w:val="3"/>
                <w:color w:val="auto"/>
              </w:rPr>
            </w:pPr>
          </w:p>
        </w:tc>
        <w:tc>
          <w:tcPr>
            <w:tcW w:w="520" w:type="dxa"/>
            <w:vAlign w:val="bottom"/>
            <w:gridSpan w:val="2"/>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Andrew Fisher</w:t>
            </w: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10/30/2024</w:t>
            </w:r>
          </w:p>
        </w:tc>
        <w:tc>
          <w:tcPr>
            <w:tcW w:w="12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10/30/2024</w:t>
            </w:r>
          </w:p>
        </w:tc>
        <w:tc>
          <w:tcPr>
            <w:tcW w:w="10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6"/>
                <w:szCs w:val="16"/>
                <w:color w:val="auto"/>
              </w:rPr>
            </w:pPr>
          </w:p>
        </w:tc>
        <w:tc>
          <w:tcPr>
            <w:tcW w:w="920" w:type="dxa"/>
            <w:vAlign w:val="bottom"/>
            <w:gridSpan w:val="3"/>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37,500</w:t>
            </w:r>
          </w:p>
        </w:tc>
        <w:tc>
          <w:tcPr>
            <w:tcW w:w="3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1,262,625</w:t>
            </w:r>
          </w:p>
        </w:tc>
        <w:tc>
          <w:tcPr>
            <w:tcW w:w="0" w:type="dxa"/>
            <w:vAlign w:val="bottom"/>
          </w:tcPr>
          <w:p>
            <w:pPr>
              <w:spacing w:after="0"/>
              <w:rPr>
                <w:sz w:val="1"/>
                <w:szCs w:val="1"/>
                <w:color w:val="auto"/>
              </w:rPr>
            </w:pPr>
          </w:p>
        </w:tc>
      </w:tr>
      <w:tr>
        <w:trPr>
          <w:trHeight w:val="48"/>
        </w:trPr>
        <w:tc>
          <w:tcPr>
            <w:tcW w:w="14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400" w:type="dxa"/>
            <w:vAlign w:val="bottom"/>
            <w:tcBorders>
              <w:bottom w:val="single" w:sz="8" w:color="CCEEFF"/>
            </w:tcBorders>
            <w:vMerge w:val="continue"/>
            <w:shd w:val="clear" w:color="auto" w:fill="CCEEFF"/>
          </w:tcPr>
          <w:p>
            <w:pPr>
              <w:spacing w:after="0"/>
              <w:rPr>
                <w:sz w:val="4"/>
                <w:szCs w:val="4"/>
                <w:color w:val="auto"/>
              </w:rPr>
            </w:pPr>
          </w:p>
        </w:tc>
        <w:tc>
          <w:tcPr>
            <w:tcW w:w="720" w:type="dxa"/>
            <w:vAlign w:val="bottom"/>
            <w:tcBorders>
              <w:bottom w:val="single" w:sz="8" w:color="CCEEFF"/>
            </w:tcBorders>
            <w:gridSpan w:val="2"/>
            <w:vMerge w:val="continue"/>
            <w:shd w:val="clear" w:color="auto" w:fill="CCEEFF"/>
          </w:tcPr>
          <w:p>
            <w:pPr>
              <w:spacing w:after="0"/>
              <w:rPr>
                <w:sz w:val="4"/>
                <w:szCs w:val="4"/>
                <w:color w:val="auto"/>
              </w:rPr>
            </w:pPr>
          </w:p>
        </w:tc>
        <w:tc>
          <w:tcPr>
            <w:tcW w:w="160" w:type="dxa"/>
            <w:vAlign w:val="bottom"/>
            <w:tcBorders>
              <w:bottom w:val="single" w:sz="8" w:color="CCEEFF"/>
            </w:tcBorders>
            <w:vMerge w:val="continue"/>
            <w:shd w:val="clear" w:color="auto" w:fill="CCEEFF"/>
          </w:tcPr>
          <w:p>
            <w:pPr>
              <w:spacing w:after="0"/>
              <w:rPr>
                <w:sz w:val="4"/>
                <w:szCs w:val="4"/>
                <w:color w:val="auto"/>
              </w:rPr>
            </w:pPr>
          </w:p>
        </w:tc>
        <w:tc>
          <w:tcPr>
            <w:tcW w:w="42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vMerge w:val="continue"/>
            <w:shd w:val="clear" w:color="auto" w:fill="CCEEFF"/>
          </w:tcPr>
          <w:p>
            <w:pPr>
              <w:spacing w:after="0"/>
              <w:rPr>
                <w:sz w:val="4"/>
                <w:szCs w:val="4"/>
                <w:color w:val="auto"/>
              </w:rPr>
            </w:pPr>
          </w:p>
        </w:tc>
        <w:tc>
          <w:tcPr>
            <w:tcW w:w="560" w:type="dxa"/>
            <w:vAlign w:val="bottom"/>
            <w:tcBorders>
              <w:bottom w:val="single" w:sz="8" w:color="CCEEFF"/>
            </w:tcBorders>
            <w:gridSpan w:val="2"/>
            <w:vMerge w:val="continue"/>
            <w:shd w:val="clear" w:color="auto" w:fill="CCEEFF"/>
          </w:tcPr>
          <w:p>
            <w:pPr>
              <w:spacing w:after="0"/>
              <w:rPr>
                <w:sz w:val="4"/>
                <w:szCs w:val="4"/>
                <w:color w:val="auto"/>
              </w:rPr>
            </w:pPr>
          </w:p>
        </w:tc>
        <w:tc>
          <w:tcPr>
            <w:tcW w:w="380" w:type="dxa"/>
            <w:vAlign w:val="bottom"/>
            <w:tcBorders>
              <w:bottom w:val="single" w:sz="8" w:color="CCEEFF"/>
            </w:tcBorders>
            <w:vMerge w:val="continue"/>
            <w:shd w:val="clear" w:color="auto" w:fill="CCEEFF"/>
          </w:tcPr>
          <w:p>
            <w:pPr>
              <w:spacing w:after="0"/>
              <w:rPr>
                <w:sz w:val="4"/>
                <w:szCs w:val="4"/>
                <w:color w:val="auto"/>
              </w:rPr>
            </w:pPr>
          </w:p>
        </w:tc>
        <w:tc>
          <w:tcPr>
            <w:tcW w:w="200" w:type="dxa"/>
            <w:vAlign w:val="bottom"/>
            <w:tcBorders>
              <w:bottom w:val="single" w:sz="8" w:color="CCEEFF"/>
            </w:tcBorders>
            <w:vMerge w:val="continue"/>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gridSpan w:val="3"/>
            <w:vMerge w:val="continue"/>
            <w:shd w:val="clear" w:color="auto" w:fill="CCEEFF"/>
          </w:tcPr>
          <w:p>
            <w:pPr>
              <w:spacing w:after="0"/>
              <w:rPr>
                <w:sz w:val="4"/>
                <w:szCs w:val="4"/>
                <w:color w:val="auto"/>
              </w:rPr>
            </w:pPr>
          </w:p>
        </w:tc>
        <w:tc>
          <w:tcPr>
            <w:tcW w:w="380" w:type="dxa"/>
            <w:vAlign w:val="bottom"/>
            <w:tcBorders>
              <w:bottom w:val="single" w:sz="8" w:color="CCEEFF"/>
            </w:tcBorders>
            <w:vMerge w:val="continue"/>
            <w:shd w:val="clear" w:color="auto" w:fill="CCEEFF"/>
          </w:tcPr>
          <w:p>
            <w:pPr>
              <w:spacing w:after="0"/>
              <w:rPr>
                <w:sz w:val="4"/>
                <w:szCs w:val="4"/>
                <w:color w:val="auto"/>
              </w:rPr>
            </w:pPr>
          </w:p>
        </w:tc>
        <w:tc>
          <w:tcPr>
            <w:tcW w:w="36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360" w:type="dxa"/>
            <w:vAlign w:val="bottom"/>
            <w:tcBorders>
              <w:bottom w:val="single" w:sz="8" w:color="CCEEFF"/>
            </w:tcBorders>
            <w:vMerge w:val="continue"/>
            <w:shd w:val="clear" w:color="auto" w:fill="CCEEFF"/>
          </w:tcPr>
          <w:p>
            <w:pPr>
              <w:spacing w:after="0"/>
              <w:rPr>
                <w:sz w:val="4"/>
                <w:szCs w:val="4"/>
                <w:color w:val="auto"/>
              </w:rPr>
            </w:pPr>
          </w:p>
        </w:tc>
        <w:tc>
          <w:tcPr>
            <w:tcW w:w="520" w:type="dxa"/>
            <w:vAlign w:val="bottom"/>
            <w:tcBorders>
              <w:bottom w:val="single" w:sz="8" w:color="CCEEFF"/>
            </w:tcBorders>
            <w:gridSpan w:val="2"/>
            <w:vMerge w:val="continue"/>
            <w:shd w:val="clear" w:color="auto" w:fill="CCEEFF"/>
          </w:tcPr>
          <w:p>
            <w:pPr>
              <w:spacing w:after="0"/>
              <w:rPr>
                <w:sz w:val="4"/>
                <w:szCs w:val="4"/>
                <w:color w:val="auto"/>
              </w:rPr>
            </w:pPr>
          </w:p>
        </w:tc>
        <w:tc>
          <w:tcPr>
            <w:tcW w:w="680" w:type="dxa"/>
            <w:vAlign w:val="bottom"/>
            <w:tcBorders>
              <w:bottom w:val="single" w:sz="8" w:color="CCEEFF"/>
            </w:tcBorders>
            <w:gridSpan w:val="2"/>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Andrew Fisher</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12/13/2024</w:t>
            </w:r>
          </w:p>
        </w:tc>
        <w:tc>
          <w:tcPr>
            <w:tcW w:w="120" w:type="dxa"/>
            <w:vAlign w:val="bottom"/>
          </w:tcPr>
          <w:p>
            <w:pPr>
              <w:spacing w:after="0"/>
              <w:rPr>
                <w:sz w:val="16"/>
                <w:szCs w:val="1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10/30/2024</w:t>
            </w:r>
          </w:p>
        </w:tc>
        <w:tc>
          <w:tcPr>
            <w:tcW w:w="100" w:type="dxa"/>
            <w:vAlign w:val="bottom"/>
          </w:tcPr>
          <w:p>
            <w:pPr>
              <w:spacing w:after="0"/>
              <w:rPr>
                <w:sz w:val="16"/>
                <w:szCs w:val="16"/>
                <w:color w:val="auto"/>
              </w:rPr>
            </w:pPr>
          </w:p>
        </w:tc>
        <w:tc>
          <w:tcPr>
            <w:tcW w:w="4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56,250</w:t>
            </w:r>
          </w:p>
        </w:tc>
        <w:tc>
          <w:tcPr>
            <w:tcW w:w="100" w:type="dxa"/>
            <w:vAlign w:val="bottom"/>
          </w:tcPr>
          <w:p>
            <w:pPr>
              <w:spacing w:after="0"/>
              <w:rPr>
                <w:sz w:val="16"/>
                <w:szCs w:val="16"/>
                <w:color w:val="auto"/>
              </w:rPr>
            </w:pPr>
          </w:p>
        </w:tc>
        <w:tc>
          <w:tcPr>
            <w:tcW w:w="6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​112,500</w:t>
            </w: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​140,625</w:t>
            </w:r>
          </w:p>
        </w:tc>
        <w:tc>
          <w:tcPr>
            <w:tcW w:w="140" w:type="dxa"/>
            <w:vAlign w:val="bottom"/>
          </w:tcPr>
          <w:p>
            <w:pPr>
              <w:spacing w:after="0"/>
              <w:rPr>
                <w:sz w:val="16"/>
                <w:szCs w:val="16"/>
                <w:color w:val="auto"/>
              </w:rPr>
            </w:pPr>
          </w:p>
        </w:tc>
        <w:tc>
          <w:tcPr>
            <w:tcW w:w="3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5,520,938</w:t>
            </w:r>
          </w:p>
        </w:tc>
        <w:tc>
          <w:tcPr>
            <w:tcW w:w="0" w:type="dxa"/>
            <w:vAlign w:val="bottom"/>
          </w:tcPr>
          <w:p>
            <w:pPr>
              <w:spacing w:after="0"/>
              <w:rPr>
                <w:sz w:val="1"/>
                <w:szCs w:val="1"/>
                <w:color w:val="auto"/>
              </w:rPr>
            </w:pPr>
          </w:p>
        </w:tc>
      </w:tr>
      <w:tr>
        <w:trPr>
          <w:trHeight w:val="45"/>
        </w:trPr>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vMerge w:val="continue"/>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gridSpan w:val="3"/>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3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vMerge w:val="continue"/>
          </w:tcPr>
          <w:p>
            <w:pPr>
              <w:spacing w:after="0"/>
              <w:rPr>
                <w:sz w:val="3"/>
                <w:szCs w:val="3"/>
                <w:color w:val="auto"/>
              </w:rPr>
            </w:pPr>
          </w:p>
        </w:tc>
        <w:tc>
          <w:tcPr>
            <w:tcW w:w="520" w:type="dxa"/>
            <w:vAlign w:val="bottom"/>
            <w:gridSpan w:val="2"/>
            <w:vMerge w:val="continue"/>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Andrew Fisher</w:t>
            </w: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4/1/2024</w:t>
            </w:r>
          </w:p>
        </w:tc>
        <w:tc>
          <w:tcPr>
            <w:tcW w:w="12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2/28/2024</w:t>
            </w:r>
          </w:p>
        </w:tc>
        <w:tc>
          <w:tcPr>
            <w:tcW w:w="10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$16.09</w:t>
            </w:r>
          </w:p>
        </w:tc>
        <w:tc>
          <w:tcPr>
            <w:tcW w:w="120" w:type="dxa"/>
            <w:vAlign w:val="bottom"/>
            <w:shd w:val="clear" w:color="auto" w:fill="CCEEFF"/>
          </w:tcPr>
          <w:p>
            <w:pPr>
              <w:spacing w:after="0"/>
              <w:rPr>
                <w:sz w:val="16"/>
                <w:szCs w:val="16"/>
                <w:color w:val="auto"/>
              </w:rPr>
            </w:pP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3,516,179</w:t>
            </w:r>
          </w:p>
        </w:tc>
        <w:tc>
          <w:tcPr>
            <w:tcW w:w="0" w:type="dxa"/>
            <w:vAlign w:val="bottom"/>
          </w:tcPr>
          <w:p>
            <w:pPr>
              <w:spacing w:after="0"/>
              <w:rPr>
                <w:sz w:val="1"/>
                <w:szCs w:val="1"/>
                <w:color w:val="auto"/>
              </w:rPr>
            </w:pPr>
          </w:p>
        </w:tc>
      </w:tr>
      <w:tr>
        <w:trPr>
          <w:trHeight w:val="48"/>
        </w:trPr>
        <w:tc>
          <w:tcPr>
            <w:tcW w:w="14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400" w:type="dxa"/>
            <w:vAlign w:val="bottom"/>
            <w:tcBorders>
              <w:bottom w:val="single" w:sz="8" w:color="CCEEFF"/>
            </w:tcBorders>
            <w:vMerge w:val="continue"/>
            <w:shd w:val="clear" w:color="auto" w:fill="CCEEFF"/>
          </w:tcPr>
          <w:p>
            <w:pPr>
              <w:spacing w:after="0"/>
              <w:rPr>
                <w:sz w:val="4"/>
                <w:szCs w:val="4"/>
                <w:color w:val="auto"/>
              </w:rPr>
            </w:pPr>
          </w:p>
        </w:tc>
        <w:tc>
          <w:tcPr>
            <w:tcW w:w="720" w:type="dxa"/>
            <w:vAlign w:val="bottom"/>
            <w:tcBorders>
              <w:bottom w:val="single" w:sz="8" w:color="CCEEFF"/>
            </w:tcBorders>
            <w:gridSpan w:val="2"/>
            <w:vMerge w:val="continue"/>
            <w:shd w:val="clear" w:color="auto" w:fill="CCEEFF"/>
          </w:tcPr>
          <w:p>
            <w:pPr>
              <w:spacing w:after="0"/>
              <w:rPr>
                <w:sz w:val="4"/>
                <w:szCs w:val="4"/>
                <w:color w:val="auto"/>
              </w:rPr>
            </w:pPr>
          </w:p>
        </w:tc>
        <w:tc>
          <w:tcPr>
            <w:tcW w:w="160" w:type="dxa"/>
            <w:vAlign w:val="bottom"/>
            <w:tcBorders>
              <w:bottom w:val="single" w:sz="8" w:color="CCEEFF"/>
            </w:tcBorders>
            <w:vMerge w:val="continue"/>
            <w:shd w:val="clear" w:color="auto" w:fill="CCEEFF"/>
          </w:tcPr>
          <w:p>
            <w:pPr>
              <w:spacing w:after="0"/>
              <w:rPr>
                <w:sz w:val="4"/>
                <w:szCs w:val="4"/>
                <w:color w:val="auto"/>
              </w:rPr>
            </w:pPr>
          </w:p>
        </w:tc>
        <w:tc>
          <w:tcPr>
            <w:tcW w:w="42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60" w:type="dxa"/>
            <w:vAlign w:val="bottom"/>
            <w:tcBorders>
              <w:bottom w:val="single" w:sz="8" w:color="CCEEFF"/>
            </w:tcBorders>
            <w:vMerge w:val="continue"/>
            <w:shd w:val="clear" w:color="auto" w:fill="CCEEFF"/>
          </w:tcPr>
          <w:p>
            <w:pPr>
              <w:spacing w:after="0"/>
              <w:rPr>
                <w:sz w:val="4"/>
                <w:szCs w:val="4"/>
                <w:color w:val="auto"/>
              </w:rPr>
            </w:pPr>
          </w:p>
        </w:tc>
        <w:tc>
          <w:tcPr>
            <w:tcW w:w="560" w:type="dxa"/>
            <w:vAlign w:val="bottom"/>
            <w:tcBorders>
              <w:bottom w:val="single" w:sz="8" w:color="CCEEFF"/>
            </w:tcBorders>
            <w:gridSpan w:val="2"/>
            <w:vMerge w:val="continue"/>
            <w:shd w:val="clear" w:color="auto" w:fill="CCEEFF"/>
          </w:tcPr>
          <w:p>
            <w:pPr>
              <w:spacing w:after="0"/>
              <w:rPr>
                <w:sz w:val="4"/>
                <w:szCs w:val="4"/>
                <w:color w:val="auto"/>
              </w:rPr>
            </w:pPr>
          </w:p>
        </w:tc>
        <w:tc>
          <w:tcPr>
            <w:tcW w:w="380" w:type="dxa"/>
            <w:vAlign w:val="bottom"/>
            <w:tcBorders>
              <w:bottom w:val="single" w:sz="8" w:color="CCEEFF"/>
            </w:tcBorders>
            <w:vMerge w:val="continue"/>
            <w:shd w:val="clear" w:color="auto" w:fill="CCEEFF"/>
          </w:tcPr>
          <w:p>
            <w:pPr>
              <w:spacing w:after="0"/>
              <w:rPr>
                <w:sz w:val="4"/>
                <w:szCs w:val="4"/>
                <w:color w:val="auto"/>
              </w:rPr>
            </w:pPr>
          </w:p>
        </w:tc>
        <w:tc>
          <w:tcPr>
            <w:tcW w:w="200" w:type="dxa"/>
            <w:vAlign w:val="bottom"/>
            <w:tcBorders>
              <w:bottom w:val="single" w:sz="8" w:color="CCEEFF"/>
            </w:tcBorders>
            <w:vMerge w:val="continue"/>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vMerge w:val="continue"/>
            <w:shd w:val="clear" w:color="auto" w:fill="CCEEFF"/>
          </w:tcPr>
          <w:p>
            <w:pPr>
              <w:spacing w:after="0"/>
              <w:rPr>
                <w:sz w:val="4"/>
                <w:szCs w:val="4"/>
                <w:color w:val="auto"/>
              </w:rPr>
            </w:pPr>
          </w:p>
        </w:tc>
        <w:tc>
          <w:tcPr>
            <w:tcW w:w="580" w:type="dxa"/>
            <w:vAlign w:val="bottom"/>
            <w:tcBorders>
              <w:bottom w:val="single" w:sz="8" w:color="CCEEFF"/>
            </w:tcBorders>
            <w:gridSpan w:val="2"/>
            <w:vMerge w:val="continue"/>
            <w:shd w:val="clear" w:color="auto" w:fill="CCEEFF"/>
          </w:tcPr>
          <w:p>
            <w:pPr>
              <w:spacing w:after="0"/>
              <w:rPr>
                <w:sz w:val="4"/>
                <w:szCs w:val="4"/>
                <w:color w:val="auto"/>
              </w:rPr>
            </w:pPr>
          </w:p>
        </w:tc>
        <w:tc>
          <w:tcPr>
            <w:tcW w:w="740" w:type="dxa"/>
            <w:vAlign w:val="bottom"/>
            <w:tcBorders>
              <w:bottom w:val="single" w:sz="8" w:color="CCEEFF"/>
            </w:tcBorders>
            <w:gridSpan w:val="2"/>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760" w:type="dxa"/>
            <w:vAlign w:val="bottom"/>
            <w:tcBorders>
              <w:bottom w:val="single" w:sz="8" w:color="CCEEFF"/>
            </w:tcBorders>
            <w:gridSpan w:val="2"/>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680" w:type="dxa"/>
            <w:vAlign w:val="bottom"/>
            <w:tcBorders>
              <w:bottom w:val="single" w:sz="8" w:color="CCEEFF"/>
            </w:tcBorders>
            <w:gridSpan w:val="2"/>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Andrew Fisher</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rPr>
              <w:t>$170,000</w:t>
            </w:r>
          </w:p>
        </w:tc>
        <w:tc>
          <w:tcPr>
            <w:tcW w:w="100" w:type="dxa"/>
            <w:vAlign w:val="bottom"/>
          </w:tcPr>
          <w:p>
            <w:pPr>
              <w:spacing w:after="0"/>
              <w:rPr>
                <w:sz w:val="16"/>
                <w:szCs w:val="16"/>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3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5"/>
        </w:trPr>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4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560" w:type="dxa"/>
            <w:vAlign w:val="bottom"/>
            <w:gridSpan w:val="2"/>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380" w:type="dxa"/>
            <w:vAlign w:val="bottom"/>
            <w:vMerge w:val="continue"/>
          </w:tcPr>
          <w:p>
            <w:pPr>
              <w:spacing w:after="0"/>
              <w:rPr>
                <w:sz w:val="3"/>
                <w:szCs w:val="3"/>
                <w:color w:val="auto"/>
              </w:rPr>
            </w:pPr>
          </w:p>
        </w:tc>
        <w:tc>
          <w:tcPr>
            <w:tcW w:w="3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vMerge w:val="continue"/>
          </w:tcPr>
          <w:p>
            <w:pPr>
              <w:spacing w:after="0"/>
              <w:rPr>
                <w:sz w:val="3"/>
                <w:szCs w:val="3"/>
                <w:color w:val="auto"/>
              </w:rPr>
            </w:pPr>
          </w:p>
        </w:tc>
        <w:tc>
          <w:tcPr>
            <w:tcW w:w="520" w:type="dxa"/>
            <w:vAlign w:val="bottom"/>
            <w:gridSpan w:val="2"/>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Kathleen Rickard</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10/30/2024</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10/30/2024</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37,500</w:t>
            </w:r>
          </w:p>
        </w:tc>
        <w:tc>
          <w:tcPr>
            <w:tcW w:w="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1,262,625</w:t>
            </w:r>
          </w:p>
        </w:tc>
        <w:tc>
          <w:tcPr>
            <w:tcW w:w="0" w:type="dxa"/>
            <w:vAlign w:val="bottom"/>
          </w:tcPr>
          <w:p>
            <w:pPr>
              <w:spacing w:after="0"/>
              <w:rPr>
                <w:sz w:val="1"/>
                <w:szCs w:val="1"/>
                <w:color w:val="auto"/>
              </w:rPr>
            </w:pPr>
          </w:p>
        </w:tc>
      </w:tr>
      <w:tr>
        <w:trPr>
          <w:trHeight w:val="195"/>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Kathleen Rickard</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12/13/2024</w:t>
            </w:r>
          </w:p>
        </w:tc>
        <w:tc>
          <w:tcPr>
            <w:tcW w:w="1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10/30/2024</w:t>
            </w:r>
          </w:p>
        </w:tc>
        <w:tc>
          <w:tcPr>
            <w:tcW w:w="100" w:type="dxa"/>
            <w:vAlign w:val="bottom"/>
          </w:tcPr>
          <w:p>
            <w:pPr>
              <w:spacing w:after="0"/>
              <w:rPr>
                <w:sz w:val="16"/>
                <w:szCs w:val="16"/>
                <w:color w:val="auto"/>
              </w:rPr>
            </w:pPr>
          </w:p>
        </w:tc>
        <w:tc>
          <w:tcPr>
            <w:tcW w:w="4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56,250</w:t>
            </w:r>
          </w:p>
        </w:tc>
        <w:tc>
          <w:tcPr>
            <w:tcW w:w="100" w:type="dxa"/>
            <w:vAlign w:val="bottom"/>
          </w:tcPr>
          <w:p>
            <w:pPr>
              <w:spacing w:after="0"/>
              <w:rPr>
                <w:sz w:val="16"/>
                <w:szCs w:val="16"/>
                <w:color w:val="auto"/>
              </w:rPr>
            </w:pP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​112,500</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​140,625</w:t>
            </w:r>
          </w:p>
        </w:tc>
        <w:tc>
          <w:tcPr>
            <w:tcW w:w="140" w:type="dxa"/>
            <w:vAlign w:val="bottom"/>
          </w:tcPr>
          <w:p>
            <w:pPr>
              <w:spacing w:after="0"/>
              <w:rPr>
                <w:sz w:val="16"/>
                <w:szCs w:val="16"/>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5,520,938</w:t>
            </w:r>
          </w:p>
        </w:tc>
        <w:tc>
          <w:tcPr>
            <w:tcW w:w="0" w:type="dxa"/>
            <w:vAlign w:val="bottom"/>
          </w:tcPr>
          <w:p>
            <w:pPr>
              <w:spacing w:after="0"/>
              <w:rPr>
                <w:sz w:val="1"/>
                <w:szCs w:val="1"/>
                <w:color w:val="auto"/>
              </w:rPr>
            </w:pPr>
          </w:p>
        </w:tc>
      </w:tr>
      <w:tr>
        <w:trPr>
          <w:trHeight w:val="210"/>
        </w:trPr>
        <w:tc>
          <w:tcPr>
            <w:tcW w:w="1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Kathleen Rickard</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$201,667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Claire Poll</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3740150</wp:posOffset>
            </wp:positionH>
            <wp:positionV relativeFrom="paragraph">
              <wp:posOffset>-2176145</wp:posOffset>
            </wp:positionV>
            <wp:extent cx="857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3362960</wp:posOffset>
            </wp:positionH>
            <wp:positionV relativeFrom="paragraph">
              <wp:posOffset>-2176145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2934335</wp:posOffset>
            </wp:positionH>
            <wp:positionV relativeFrom="paragraph">
              <wp:posOffset>-2176145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-2176145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1717040</wp:posOffset>
            </wp:positionH>
            <wp:positionV relativeFrom="paragraph">
              <wp:posOffset>-2176145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1211580</wp:posOffset>
            </wp:positionH>
            <wp:positionV relativeFrom="paragraph">
              <wp:posOffset>-2176145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5977890</wp:posOffset>
            </wp:positionH>
            <wp:positionV relativeFrom="paragraph">
              <wp:posOffset>-2176145</wp:posOffset>
            </wp:positionV>
            <wp:extent cx="857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5412105</wp:posOffset>
            </wp:positionH>
            <wp:positionV relativeFrom="paragraph">
              <wp:posOffset>-2176145</wp:posOffset>
            </wp:positionV>
            <wp:extent cx="857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4777740</wp:posOffset>
            </wp:positionH>
            <wp:positionV relativeFrom="paragraph">
              <wp:posOffset>-2176145</wp:posOffset>
            </wp:positionV>
            <wp:extent cx="857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4194810</wp:posOffset>
            </wp:positionH>
            <wp:positionV relativeFrom="paragraph">
              <wp:posOffset>-2176145</wp:posOffset>
            </wp:positionV>
            <wp:extent cx="857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1" w:lineRule="exact"/>
        <w:rPr>
          <w:sz w:val="20"/>
          <w:szCs w:val="20"/>
          <w:color w:val="auto"/>
        </w:rPr>
      </w:pPr>
    </w:p>
    <w:p>
      <w:pPr>
        <w:ind w:left="1620" w:right="760" w:hanging="360"/>
        <w:spacing w:after="0" w:line="259"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targeted possible payouts under our 2024 annual bonus program, which does not provide for “threshold” or “maximum” levels of payouts. Actual payouts are set forth in the column entitled “Non-Equity Incentive Plan Compensation” in the “2024 Summary Compensation Table” above. Please see the description of the annual bonus program under “</w:t>
      </w:r>
      <w:r>
        <w:rPr>
          <w:rFonts w:ascii="Times New Roman" w:cs="Times New Roman" w:eastAsia="Times New Roman" w:hAnsi="Times New Roman"/>
          <w:sz w:val="18"/>
          <w:szCs w:val="18"/>
          <w:i w:val="1"/>
          <w:iCs w:val="1"/>
          <w:color w:val="auto"/>
        </w:rPr>
        <w:t>Cash Incentive Compensation</w:t>
      </w:r>
      <w:r>
        <w:rPr>
          <w:rFonts w:ascii="Times New Roman" w:cs="Times New Roman" w:eastAsia="Times New Roman" w:hAnsi="Times New Roman"/>
          <w:sz w:val="18"/>
          <w:szCs w:val="18"/>
          <w:color w:val="auto"/>
        </w:rPr>
        <w:t>” in the CD&amp;A above.</w:t>
      </w:r>
    </w:p>
    <w:p>
      <w:pPr>
        <w:spacing w:after="0" w:line="267" w:lineRule="exact"/>
        <w:rPr>
          <w:rFonts w:ascii="Times New Roman" w:cs="Times New Roman" w:eastAsia="Times New Roman" w:hAnsi="Times New Roman"/>
          <w:sz w:val="18"/>
          <w:szCs w:val="18"/>
          <w:color w:val="auto"/>
        </w:rPr>
      </w:pPr>
    </w:p>
    <w:p>
      <w:pPr>
        <w:ind w:left="1620" w:right="780" w:hanging="360"/>
        <w:spacing w:after="0" w:line="266"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PRSU awards are eligible to be earned based on the achievement of quarterly revenue goals, and are eligible to vest based on continued service thereafter. Please see the description of the vesting terms under “</w:t>
      </w:r>
      <w:r>
        <w:rPr>
          <w:rFonts w:ascii="Times New Roman" w:cs="Times New Roman" w:eastAsia="Times New Roman" w:hAnsi="Times New Roman"/>
          <w:sz w:val="18"/>
          <w:szCs w:val="18"/>
          <w:i w:val="1"/>
          <w:iCs w:val="1"/>
          <w:color w:val="auto"/>
        </w:rPr>
        <w:t>Elements of Compensation — Equity-Based Long-Term Incentive Awards</w:t>
      </w:r>
      <w:r>
        <w:rPr>
          <w:rFonts w:ascii="Times New Roman" w:cs="Times New Roman" w:eastAsia="Times New Roman" w:hAnsi="Times New Roman"/>
          <w:sz w:val="18"/>
          <w:szCs w:val="18"/>
          <w:color w:val="auto"/>
        </w:rPr>
        <w:t>” in the CD&amp;A above.</w:t>
      </w:r>
    </w:p>
    <w:p>
      <w:pPr>
        <w:spacing w:after="0" w:line="54" w:lineRule="exact"/>
        <w:rPr>
          <w:rFonts w:ascii="Times New Roman" w:cs="Times New Roman" w:eastAsia="Times New Roman" w:hAnsi="Times New Roman"/>
          <w:sz w:val="18"/>
          <w:szCs w:val="18"/>
          <w:color w:val="auto"/>
        </w:rPr>
      </w:pPr>
    </w:p>
    <w:p>
      <w:pPr>
        <w:jc w:val="both"/>
        <w:ind w:left="1620" w:right="960" w:hanging="360"/>
        <w:spacing w:after="0" w:line="266"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 awards are scheduled to vest (i) as to 25%, upon the first anniversary of a specified vesting commencement date and (ii) as to the remainder, in quarterly installments over the following 3 years, subject generally to continued employment and potential accelerated vesting.</w:t>
      </w:r>
    </w:p>
    <w:p>
      <w:pPr>
        <w:spacing w:after="0" w:line="54" w:lineRule="exact"/>
        <w:rPr>
          <w:rFonts w:ascii="Times New Roman" w:cs="Times New Roman" w:eastAsia="Times New Roman" w:hAnsi="Times New Roman"/>
          <w:sz w:val="18"/>
          <w:szCs w:val="18"/>
          <w:color w:val="auto"/>
        </w:rPr>
      </w:pPr>
    </w:p>
    <w:p>
      <w:pPr>
        <w:ind w:left="1620" w:right="1040" w:hanging="360"/>
        <w:spacing w:after="0" w:line="266"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award is scheduled to vest (i) as to 25%, upon the first anniversary of a specified vesting commencement date and (ii) as to the remainder, in equal monthly installments over the following 3 years, subject generally to continued employment and potential accelerated vesting.</w:t>
      </w:r>
    </w:p>
    <w:p>
      <w:pPr>
        <w:spacing w:after="0" w:line="54" w:lineRule="exact"/>
        <w:rPr>
          <w:rFonts w:ascii="Times New Roman" w:cs="Times New Roman" w:eastAsia="Times New Roman" w:hAnsi="Times New Roman"/>
          <w:sz w:val="18"/>
          <w:szCs w:val="18"/>
          <w:color w:val="auto"/>
        </w:rPr>
      </w:pPr>
    </w:p>
    <w:p>
      <w:pPr>
        <w:ind w:left="1620" w:right="940" w:hanging="360"/>
        <w:spacing w:after="0" w:line="261"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grant-date fair value in accordance with ASC Topic 718. We provide information regarding the assumptions used to calculate these values in Note 7 to the consolidated financial statements included in in our Annual Report on Form 10-K for the year ended December 31, 2024. Each RSU, PRSU and option award was made under the 2017 Incentive Plan.</w:t>
      </w:r>
    </w:p>
    <w:p>
      <w:pPr>
        <w:spacing w:after="0" w:line="36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97" w:right="1099"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Outstanding Equity Awards at 2024 Fiscal Year-End Table</w:t>
      </w:r>
    </w:p>
    <w:p>
      <w:pPr>
        <w:spacing w:after="0" w:line="162" w:lineRule="exact"/>
        <w:rPr>
          <w:sz w:val="20"/>
          <w:szCs w:val="20"/>
          <w:color w:val="auto"/>
        </w:rPr>
      </w:pPr>
    </w:p>
    <w:p>
      <w:pPr>
        <w:ind w:left="1260" w:right="960"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number of shares underlying outstanding equity incentive plan awards for each NEO as of December 31, 2024. Awards cover ordinary shares and/or ADSs; however, amounts shown below are expressed in terms of the number of ADSs that are covered by each such award.</w:t>
      </w:r>
    </w:p>
    <w:p>
      <w:pPr>
        <w:spacing w:after="0" w:line="156" w:lineRule="exact"/>
        <w:rPr>
          <w:sz w:val="20"/>
          <w:szCs w:val="20"/>
          <w:color w:val="auto"/>
        </w:rPr>
      </w:pPr>
    </w:p>
    <w:tbl>
      <w:tblPr>
        <w:tblLayout w:type="fixed"/>
        <w:tblInd w:w="500" w:type="dxa"/>
        <w:tblCellMar>
          <w:top w:w="0" w:type="dxa"/>
          <w:left w:w="0" w:type="dxa"/>
          <w:bottom w:w="0" w:type="dxa"/>
          <w:right w:w="0" w:type="dxa"/>
        </w:tblCellMar>
      </w:tblPr>
      <w:tr>
        <w:trPr>
          <w:trHeight w:val="214"/>
        </w:trPr>
        <w:tc>
          <w:tcPr>
            <w:tcW w:w="2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Option Awards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4"/>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31"/>
        </w:trPr>
        <w:tc>
          <w:tcPr>
            <w:tcW w:w="2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88"/>
              <w:spacing w:after="0" w:line="131"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Plan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Incentive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7"/>
              </w:rPr>
              <w:t>Awards: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Plan</w:t>
            </w:r>
          </w:p>
        </w:tc>
        <w:tc>
          <w:tcPr>
            <w:tcW w:w="10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Market 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Awards: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Payout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7"/>
              </w:rPr>
              <w:t>Market</w:t>
            </w:r>
          </w:p>
        </w:tc>
        <w:tc>
          <w:tcPr>
            <w:tcW w:w="1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120" w:type="dxa"/>
            <w:vAlign w:val="bottom"/>
          </w:tcPr>
          <w:p>
            <w:pPr>
              <w:spacing w:after="0"/>
              <w:rPr>
                <w:sz w:val="14"/>
                <w:szCs w:val="14"/>
                <w:color w:val="auto"/>
              </w:rPr>
            </w:pPr>
          </w:p>
        </w:tc>
        <w:tc>
          <w:tcPr>
            <w:tcW w:w="860" w:type="dxa"/>
            <w:vAlign w:val="bottom"/>
            <w:gridSpan w:val="2"/>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Unearned</w:t>
            </w:r>
          </w:p>
        </w:tc>
        <w:tc>
          <w:tcPr>
            <w:tcW w:w="10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Unearned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Securities</w:t>
            </w:r>
          </w:p>
        </w:tc>
        <w:tc>
          <w:tcPr>
            <w:tcW w:w="1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Securities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Shares or</w:t>
            </w:r>
          </w:p>
        </w:tc>
        <w:tc>
          <w:tcPr>
            <w:tcW w:w="10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or</w:t>
            </w:r>
          </w:p>
        </w:tc>
        <w:tc>
          <w:tcPr>
            <w:tcW w:w="120" w:type="dxa"/>
            <w:vAlign w:val="bottom"/>
          </w:tcPr>
          <w:p>
            <w:pPr>
              <w:spacing w:after="0"/>
              <w:rPr>
                <w:sz w:val="14"/>
                <w:szCs w:val="14"/>
                <w:color w:val="auto"/>
              </w:rPr>
            </w:pP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Units of</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Units of</w:t>
            </w:r>
          </w:p>
        </w:tc>
        <w:tc>
          <w:tcPr>
            <w:tcW w:w="1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Units or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8"/>
              </w:rPr>
              <w:t>Units 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1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120" w:type="dxa"/>
            <w:vAlign w:val="bottom"/>
          </w:tcPr>
          <w:p>
            <w:pPr>
              <w:spacing w:after="0"/>
              <w:rPr>
                <w:sz w:val="14"/>
                <w:szCs w:val="14"/>
                <w:color w:val="auto"/>
              </w:rPr>
            </w:pPr>
          </w:p>
        </w:tc>
        <w:tc>
          <w:tcPr>
            <w:tcW w:w="5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5"/>
              </w:rPr>
              <w:t>Option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2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Stock That</w:t>
            </w:r>
          </w:p>
        </w:tc>
        <w:tc>
          <w:tcPr>
            <w:tcW w:w="10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Stock That</w:t>
            </w:r>
          </w:p>
        </w:tc>
        <w:tc>
          <w:tcPr>
            <w:tcW w:w="1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Other Rights</w:t>
            </w:r>
          </w:p>
        </w:tc>
        <w:tc>
          <w:tcPr>
            <w:tcW w:w="10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Other Rights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Options (#)</w:t>
            </w:r>
          </w:p>
        </w:tc>
        <w:tc>
          <w:tcPr>
            <w:tcW w:w="1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12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86"/>
              </w:rPr>
              <w:t>Exercise</w:t>
            </w:r>
          </w:p>
        </w:tc>
        <w:tc>
          <w:tcPr>
            <w:tcW w:w="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Expiration</w:t>
            </w:r>
          </w:p>
        </w:tc>
        <w:tc>
          <w:tcPr>
            <w:tcW w:w="120" w:type="dxa"/>
            <w:vAlign w:val="bottom"/>
          </w:tcPr>
          <w:p>
            <w:pPr>
              <w:spacing w:after="0"/>
              <w:rPr>
                <w:sz w:val="14"/>
                <w:szCs w:val="14"/>
                <w:color w:val="auto"/>
              </w:rPr>
            </w:pPr>
          </w:p>
        </w:tc>
        <w:tc>
          <w:tcPr>
            <w:tcW w:w="640" w:type="dxa"/>
            <w:vAlign w:val="bottom"/>
            <w:gridSpan w:val="2"/>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Have Not</w:t>
            </w:r>
          </w:p>
        </w:tc>
        <w:tc>
          <w:tcPr>
            <w:tcW w:w="10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Have Not</w:t>
            </w:r>
          </w:p>
        </w:tc>
        <w:tc>
          <w:tcPr>
            <w:tcW w:w="1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That Have</w:t>
            </w:r>
          </w:p>
        </w:tc>
        <w:tc>
          <w:tcPr>
            <w:tcW w:w="10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That Have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5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t>
            </w:r>
          </w:p>
        </w:tc>
        <w:tc>
          <w:tcPr>
            <w:tcW w:w="2560" w:type="dxa"/>
            <w:vAlign w:val="bottom"/>
            <w:gridSpan w:val="11"/>
          </w:tcPr>
          <w:p>
            <w:pPr>
              <w:ind w:left="20"/>
              <w:spacing w:after="0"/>
              <w:rPr>
                <w:sz w:val="20"/>
                <w:szCs w:val="20"/>
                <w:color w:val="auto"/>
              </w:rPr>
            </w:pPr>
            <w:r>
              <w:rPr>
                <w:rFonts w:ascii="Times New Roman" w:cs="Times New Roman" w:eastAsia="Times New Roman" w:hAnsi="Times New Roman"/>
                <w:sz w:val="14"/>
                <w:szCs w:val="14"/>
                <w:b w:val="1"/>
                <w:bCs w:val="1"/>
                <w:color w:val="auto"/>
              </w:rPr>
              <w:t>​ Exercisable ​​Unexercisable ​​Price ($) ​​</w:t>
            </w:r>
          </w:p>
        </w:tc>
        <w:tc>
          <w:tcPr>
            <w:tcW w:w="5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Vested (#)</w:t>
            </w:r>
          </w:p>
        </w:tc>
        <w:tc>
          <w:tcPr>
            <w:tcW w:w="2780" w:type="dxa"/>
            <w:vAlign w:val="bottom"/>
            <w:gridSpan w:val="10"/>
          </w:tcPr>
          <w:p>
            <w:pPr>
              <w:jc w:val="right"/>
              <w:spacing w:after="0"/>
              <w:rPr>
                <w:sz w:val="20"/>
                <w:szCs w:val="20"/>
                <w:color w:val="auto"/>
              </w:rPr>
            </w:pPr>
            <w:r>
              <w:rPr>
                <w:rFonts w:ascii="Times New Roman" w:cs="Times New Roman" w:eastAsia="Times New Roman" w:hAnsi="Times New Roman"/>
                <w:sz w:val="14"/>
                <w:szCs w:val="14"/>
                <w:b w:val="1"/>
                <w:bCs w:val="1"/>
                <w:color w:val="auto"/>
              </w:rPr>
              <w:t>​​Vested ($)</w:t>
            </w:r>
            <w:r>
              <w:rPr>
                <w:rFonts w:ascii="Times New Roman" w:cs="Times New Roman" w:eastAsia="Times New Roman" w:hAnsi="Times New Roman"/>
                <w:sz w:val="17"/>
                <w:szCs w:val="17"/>
                <w:b w:val="1"/>
                <w:bCs w:val="1"/>
                <w:color w:val="auto"/>
                <w:vertAlign w:val="superscript"/>
              </w:rPr>
              <w:t>(1)</w:t>
            </w:r>
            <w:r>
              <w:rPr>
                <w:rFonts w:ascii="Times New Roman" w:cs="Times New Roman" w:eastAsia="Times New Roman" w:hAnsi="Times New Roman"/>
                <w:sz w:val="14"/>
                <w:szCs w:val="14"/>
                <w:b w:val="1"/>
                <w:bCs w:val="1"/>
                <w:color w:val="auto"/>
              </w:rPr>
              <w:t xml:space="preserve"> ​​ Not Vested (#) ​​Not Vested ($) ​</w:t>
            </w:r>
          </w:p>
        </w:tc>
        <w:tc>
          <w:tcPr>
            <w:tcW w:w="0" w:type="dxa"/>
            <w:vAlign w:val="bottom"/>
          </w:tcPr>
          <w:p>
            <w:pPr>
              <w:spacing w:after="0"/>
              <w:rPr>
                <w:sz w:val="1"/>
                <w:szCs w:val="1"/>
                <w:color w:val="auto"/>
              </w:rPr>
            </w:pPr>
          </w:p>
        </w:tc>
      </w:tr>
      <w:tr>
        <w:trPr>
          <w:trHeight w:val="20"/>
        </w:trPr>
        <w:tc>
          <w:tcPr>
            <w:tcW w:w="2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4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David Zaccardelli</w:t>
            </w:r>
          </w:p>
        </w:tc>
        <w:tc>
          <w:tcPr>
            <w:tcW w:w="12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 9/26/2022</w:t>
            </w:r>
            <w:r>
              <w:rPr>
                <w:rFonts w:ascii="Times New Roman" w:cs="Times New Roman" w:eastAsia="Times New Roman" w:hAnsi="Times New Roman"/>
                <w:sz w:val="17"/>
                <w:szCs w:val="17"/>
                <w:color w:val="auto"/>
                <w:vertAlign w:val="superscript"/>
              </w:rPr>
              <w:t>(1)</w:t>
            </w:r>
          </w:p>
        </w:tc>
        <w:tc>
          <w:tcPr>
            <w:tcW w:w="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shd w:val="clear" w:color="auto" w:fill="CCEEFF"/>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ind w:left="1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right w:val="single" w:sz="8" w:color="CCEEFF"/>
            </w:tcBorders>
            <w:shd w:val="clear" w:color="auto" w:fill="CCEEFF"/>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​225,000</w:t>
            </w:r>
          </w:p>
        </w:tc>
        <w:tc>
          <w:tcPr>
            <w:tcW w:w="1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​10,449,000</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
                <w:szCs w:val="1"/>
                <w:color w:val="auto"/>
                <w:w w:val="4294942296"/>
              </w:rPr>
              <w:t>​</w:t>
            </w:r>
          </w:p>
        </w:tc>
        <w:tc>
          <w:tcPr>
            <w:tcW w:w="720" w:type="dxa"/>
            <w:vAlign w:val="bottom"/>
            <w:shd w:val="clear" w:color="auto" w:fill="CCEEFF"/>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8"/>
        </w:trPr>
        <w:tc>
          <w:tcPr>
            <w:tcW w:w="2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580" w:type="dxa"/>
            <w:vAlign w:val="bottom"/>
            <w:shd w:val="clear" w:color="auto" w:fill="CCEEFF"/>
          </w:tcPr>
          <w:p>
            <w:pPr>
              <w:spacing w:after="0"/>
              <w:rPr>
                <w:sz w:val="5"/>
                <w:szCs w:val="5"/>
                <w:color w:val="auto"/>
              </w:rPr>
            </w:pPr>
          </w:p>
        </w:tc>
        <w:tc>
          <w:tcPr>
            <w:tcW w:w="14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60" w:type="dxa"/>
            <w:vAlign w:val="bottom"/>
            <w:vMerge w:val="continue"/>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80" w:type="dxa"/>
            <w:vAlign w:val="bottom"/>
            <w:tcBorders>
              <w:right w:val="single" w:sz="8" w:color="CCEEFF"/>
            </w:tcBorders>
            <w:shd w:val="clear" w:color="auto" w:fill="CCEEFF"/>
          </w:tcPr>
          <w:p>
            <w:pPr>
              <w:spacing w:after="0"/>
              <w:rPr>
                <w:sz w:val="5"/>
                <w:szCs w:val="5"/>
                <w:color w:val="auto"/>
              </w:rPr>
            </w:pPr>
          </w:p>
        </w:tc>
        <w:tc>
          <w:tcPr>
            <w:tcW w:w="18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580" w:type="dxa"/>
            <w:vAlign w:val="bottom"/>
            <w:tcBorders>
              <w:right w:val="single" w:sz="8" w:color="CCEEFF"/>
            </w:tcBorders>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00" w:type="dxa"/>
            <w:vAlign w:val="bottom"/>
            <w:tcBorders>
              <w:right w:val="single" w:sz="8" w:color="CCEEFF"/>
            </w:tcBorders>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00" w:type="dxa"/>
            <w:vAlign w:val="bottom"/>
            <w:tcBorders>
              <w:right w:val="single" w:sz="8" w:color="CCEEFF"/>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(2)</w:t>
            </w:r>
          </w:p>
        </w:tc>
        <w:tc>
          <w:tcPr>
            <w:tcW w:w="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0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75,000</w:t>
            </w:r>
          </w:p>
        </w:tc>
        <w:tc>
          <w:tcPr>
            <w:tcW w:w="940" w:type="dxa"/>
            <w:vAlign w:val="bottom"/>
            <w:tcBorders>
              <w:right w:val="single" w:sz="8" w:color="CCEEFF"/>
            </w:tcBorders>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3,483,000 ​​​</w:t>
            </w:r>
          </w:p>
        </w:tc>
        <w:tc>
          <w:tcPr>
            <w:tcW w:w="2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7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95"/>
        </w:trPr>
        <w:tc>
          <w:tcPr>
            <w:tcW w:w="2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820" w:type="dxa"/>
            <w:vAlign w:val="bottom"/>
            <w:gridSpan w:val="3"/>
            <w:shd w:val="clear" w:color="auto" w:fill="CCEEFF"/>
          </w:tcPr>
          <w:p>
            <w:pPr>
              <w:ind w:left="20"/>
              <w:spacing w:after="0" w:line="95" w:lineRule="exact"/>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10/20/2023​​</w:t>
            </w:r>
          </w:p>
        </w:tc>
        <w:tc>
          <w:tcPr>
            <w:tcW w:w="60" w:type="dxa"/>
            <w:vAlign w:val="bottom"/>
            <w:vMerge w:val="continue"/>
            <w:shd w:val="clear" w:color="auto" w:fill="CCEEFF"/>
          </w:tcPr>
          <w:p>
            <w:pPr>
              <w:spacing w:after="0"/>
              <w:rPr>
                <w:sz w:val="8"/>
                <w:szCs w:val="8"/>
                <w:color w:val="auto"/>
              </w:rPr>
            </w:pPr>
          </w:p>
        </w:tc>
        <w:tc>
          <w:tcPr>
            <w:tcW w:w="340" w:type="dxa"/>
            <w:vAlign w:val="bottom"/>
            <w:vMerge w:val="continue"/>
            <w:shd w:val="clear" w:color="auto" w:fill="CCEEFF"/>
          </w:tcPr>
          <w:p>
            <w:pPr>
              <w:spacing w:after="0"/>
              <w:rPr>
                <w:sz w:val="8"/>
                <w:szCs w:val="8"/>
                <w:color w:val="auto"/>
              </w:rPr>
            </w:pPr>
          </w:p>
        </w:tc>
        <w:tc>
          <w:tcPr>
            <w:tcW w:w="420" w:type="dxa"/>
            <w:vAlign w:val="bottom"/>
            <w:vMerge w:val="continue"/>
            <w:shd w:val="clear" w:color="auto" w:fill="CCEEFF"/>
          </w:tcPr>
          <w:p>
            <w:pPr>
              <w:spacing w:after="0"/>
              <w:rPr>
                <w:sz w:val="8"/>
                <w:szCs w:val="8"/>
                <w:color w:val="auto"/>
              </w:rPr>
            </w:pPr>
          </w:p>
        </w:tc>
        <w:tc>
          <w:tcPr>
            <w:tcW w:w="120" w:type="dxa"/>
            <w:vAlign w:val="bottom"/>
            <w:tcBorders>
              <w:right w:val="single" w:sz="8" w:color="CCEEFF"/>
            </w:tcBorders>
            <w:vMerge w:val="continue"/>
            <w:shd w:val="clear" w:color="auto" w:fill="CCEEFF"/>
          </w:tcPr>
          <w:p>
            <w:pPr>
              <w:spacing w:after="0"/>
              <w:rPr>
                <w:sz w:val="8"/>
                <w:szCs w:val="8"/>
                <w:color w:val="auto"/>
              </w:rPr>
            </w:pPr>
          </w:p>
        </w:tc>
        <w:tc>
          <w:tcPr>
            <w:tcW w:w="200" w:type="dxa"/>
            <w:vAlign w:val="bottom"/>
            <w:vMerge w:val="continue"/>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20" w:type="dxa"/>
            <w:vAlign w:val="bottom"/>
            <w:tcBorders>
              <w:right w:val="single" w:sz="8" w:color="CCEEFF"/>
            </w:tcBorders>
            <w:vMerge w:val="continue"/>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280" w:type="dxa"/>
            <w:vAlign w:val="bottom"/>
            <w:tcBorders>
              <w:right w:val="single" w:sz="8" w:color="CCEEFF"/>
            </w:tcBorders>
            <w:vMerge w:val="continue"/>
            <w:shd w:val="clear" w:color="auto" w:fill="CCEEFF"/>
          </w:tcPr>
          <w:p>
            <w:pPr>
              <w:spacing w:after="0"/>
              <w:rPr>
                <w:sz w:val="8"/>
                <w:szCs w:val="8"/>
                <w:color w:val="auto"/>
              </w:rPr>
            </w:pPr>
          </w:p>
        </w:tc>
        <w:tc>
          <w:tcPr>
            <w:tcW w:w="180" w:type="dxa"/>
            <w:vAlign w:val="bottom"/>
            <w:gridSpan w:val="2"/>
            <w:vMerge w:val="continue"/>
            <w:shd w:val="clear" w:color="auto" w:fill="CCEEFF"/>
          </w:tcPr>
          <w:p>
            <w:pPr>
              <w:spacing w:after="0"/>
              <w:rPr>
                <w:sz w:val="8"/>
                <w:szCs w:val="8"/>
                <w:color w:val="auto"/>
              </w:rPr>
            </w:pPr>
          </w:p>
        </w:tc>
        <w:tc>
          <w:tcPr>
            <w:tcW w:w="700" w:type="dxa"/>
            <w:vAlign w:val="bottom"/>
            <w:tcBorders>
              <w:right w:val="single" w:sz="8" w:color="CCEEFF"/>
            </w:tcBorders>
            <w:gridSpan w:val="2"/>
            <w:vMerge w:val="continue"/>
            <w:shd w:val="clear" w:color="auto" w:fill="CCEEFF"/>
          </w:tcPr>
          <w:p>
            <w:pPr>
              <w:spacing w:after="0"/>
              <w:rPr>
                <w:sz w:val="8"/>
                <w:szCs w:val="8"/>
                <w:color w:val="auto"/>
              </w:rPr>
            </w:pPr>
          </w:p>
        </w:tc>
        <w:tc>
          <w:tcPr>
            <w:tcW w:w="640" w:type="dxa"/>
            <w:vAlign w:val="bottom"/>
            <w:gridSpan w:val="2"/>
            <w:vMerge w:val="continue"/>
            <w:shd w:val="clear" w:color="auto" w:fill="CCEEFF"/>
          </w:tcPr>
          <w:p>
            <w:pPr>
              <w:spacing w:after="0"/>
              <w:rPr>
                <w:sz w:val="8"/>
                <w:szCs w:val="8"/>
                <w:color w:val="auto"/>
              </w:rPr>
            </w:pPr>
          </w:p>
        </w:tc>
        <w:tc>
          <w:tcPr>
            <w:tcW w:w="940" w:type="dxa"/>
            <w:vAlign w:val="bottom"/>
            <w:tcBorders>
              <w:right w:val="single" w:sz="8" w:color="CCEEFF"/>
            </w:tcBorders>
            <w:gridSpan w:val="4"/>
            <w:vMerge w:val="continue"/>
            <w:shd w:val="clear" w:color="auto" w:fill="CCEEFF"/>
          </w:tcPr>
          <w:p>
            <w:pPr>
              <w:spacing w:after="0"/>
              <w:rPr>
                <w:sz w:val="8"/>
                <w:szCs w:val="8"/>
                <w:color w:val="auto"/>
              </w:rPr>
            </w:pPr>
          </w:p>
        </w:tc>
        <w:tc>
          <w:tcPr>
            <w:tcW w:w="240" w:type="dxa"/>
            <w:vAlign w:val="bottom"/>
            <w:vMerge w:val="continue"/>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00" w:type="dxa"/>
            <w:vAlign w:val="bottom"/>
            <w:tcBorders>
              <w:right w:val="single" w:sz="8" w:color="CCEEFF"/>
            </w:tcBorders>
            <w:vMerge w:val="continue"/>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10/20/2023​​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(3)</w:t>
            </w:r>
          </w:p>
        </w:tc>
        <w:tc>
          <w:tcPr>
            <w:tcW w:w="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0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175,000</w:t>
            </w:r>
          </w:p>
        </w:tc>
        <w:tc>
          <w:tcPr>
            <w:tcW w:w="940" w:type="dxa"/>
            <w:vAlign w:val="bottom"/>
            <w:tcBorders>
              <w:right w:val="single" w:sz="8" w:color="CCEEFF"/>
            </w:tcBorders>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8,127,000 ​​​</w:t>
            </w:r>
          </w:p>
        </w:tc>
        <w:tc>
          <w:tcPr>
            <w:tcW w:w="2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7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9"/>
        </w:trPr>
        <w:tc>
          <w:tcPr>
            <w:tcW w:w="2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68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0" w:type="dxa"/>
            <w:vAlign w:val="bottom"/>
            <w:vMerge w:val="continue"/>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420" w:type="dxa"/>
            <w:vAlign w:val="bottom"/>
            <w:vMerge w:val="continue"/>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280" w:type="dxa"/>
            <w:vAlign w:val="bottom"/>
            <w:tcBorders>
              <w:right w:val="single" w:sz="8" w:color="CCEEFF"/>
            </w:tcBorders>
            <w:vMerge w:val="continue"/>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700" w:type="dxa"/>
            <w:vAlign w:val="bottom"/>
            <w:tcBorders>
              <w:right w:val="single" w:sz="8" w:color="CCEEFF"/>
            </w:tcBorders>
            <w:gridSpan w:val="2"/>
            <w:vMerge w:val="continue"/>
            <w:shd w:val="clear" w:color="auto" w:fill="CCEEFF"/>
          </w:tcPr>
          <w:p>
            <w:pPr>
              <w:spacing w:after="0"/>
              <w:rPr>
                <w:sz w:val="5"/>
                <w:szCs w:val="5"/>
                <w:color w:val="auto"/>
              </w:rPr>
            </w:pPr>
          </w:p>
        </w:tc>
        <w:tc>
          <w:tcPr>
            <w:tcW w:w="640" w:type="dxa"/>
            <w:vAlign w:val="bottom"/>
            <w:gridSpan w:val="2"/>
            <w:vMerge w:val="continue"/>
            <w:shd w:val="clear" w:color="auto" w:fill="CCEEFF"/>
          </w:tcPr>
          <w:p>
            <w:pPr>
              <w:spacing w:after="0"/>
              <w:rPr>
                <w:sz w:val="5"/>
                <w:szCs w:val="5"/>
                <w:color w:val="auto"/>
              </w:rPr>
            </w:pPr>
          </w:p>
        </w:tc>
        <w:tc>
          <w:tcPr>
            <w:tcW w:w="940" w:type="dxa"/>
            <w:vAlign w:val="bottom"/>
            <w:tcBorders>
              <w:right w:val="single" w:sz="8" w:color="CCEEFF"/>
            </w:tcBorders>
            <w:gridSpan w:val="4"/>
            <w:vMerge w:val="continue"/>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00" w:type="dxa"/>
            <w:vAlign w:val="bottom"/>
            <w:tcBorders>
              <w:right w:val="single" w:sz="8" w:color="CCEEFF"/>
            </w:tcBorders>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10/30/2024​​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(4)</w:t>
            </w:r>
          </w:p>
        </w:tc>
        <w:tc>
          <w:tcPr>
            <w:tcW w:w="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0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100,000</w:t>
            </w:r>
          </w:p>
        </w:tc>
        <w:tc>
          <w:tcPr>
            <w:tcW w:w="940" w:type="dxa"/>
            <w:vAlign w:val="bottom"/>
            <w:tcBorders>
              <w:right w:val="single" w:sz="8" w:color="CCEEFF"/>
            </w:tcBorders>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4,644,000 ​​​</w:t>
            </w:r>
          </w:p>
        </w:tc>
        <w:tc>
          <w:tcPr>
            <w:tcW w:w="2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7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9"/>
        </w:trPr>
        <w:tc>
          <w:tcPr>
            <w:tcW w:w="2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68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0" w:type="dxa"/>
            <w:vAlign w:val="bottom"/>
            <w:vMerge w:val="continue"/>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420" w:type="dxa"/>
            <w:vAlign w:val="bottom"/>
            <w:vMerge w:val="continue"/>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280" w:type="dxa"/>
            <w:vAlign w:val="bottom"/>
            <w:tcBorders>
              <w:right w:val="single" w:sz="8" w:color="CCEEFF"/>
            </w:tcBorders>
            <w:vMerge w:val="continue"/>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700" w:type="dxa"/>
            <w:vAlign w:val="bottom"/>
            <w:tcBorders>
              <w:right w:val="single" w:sz="8" w:color="CCEEFF"/>
            </w:tcBorders>
            <w:gridSpan w:val="2"/>
            <w:vMerge w:val="continue"/>
            <w:shd w:val="clear" w:color="auto" w:fill="CCEEFF"/>
          </w:tcPr>
          <w:p>
            <w:pPr>
              <w:spacing w:after="0"/>
              <w:rPr>
                <w:sz w:val="5"/>
                <w:szCs w:val="5"/>
                <w:color w:val="auto"/>
              </w:rPr>
            </w:pPr>
          </w:p>
        </w:tc>
        <w:tc>
          <w:tcPr>
            <w:tcW w:w="640" w:type="dxa"/>
            <w:vAlign w:val="bottom"/>
            <w:gridSpan w:val="2"/>
            <w:vMerge w:val="continue"/>
            <w:shd w:val="clear" w:color="auto" w:fill="CCEEFF"/>
          </w:tcPr>
          <w:p>
            <w:pPr>
              <w:spacing w:after="0"/>
              <w:rPr>
                <w:sz w:val="5"/>
                <w:szCs w:val="5"/>
                <w:color w:val="auto"/>
              </w:rPr>
            </w:pPr>
          </w:p>
        </w:tc>
        <w:tc>
          <w:tcPr>
            <w:tcW w:w="940" w:type="dxa"/>
            <w:vAlign w:val="bottom"/>
            <w:tcBorders>
              <w:right w:val="single" w:sz="8" w:color="CCEEFF"/>
            </w:tcBorders>
            <w:gridSpan w:val="4"/>
            <w:vMerge w:val="continue"/>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00" w:type="dxa"/>
            <w:vAlign w:val="bottom"/>
            <w:tcBorders>
              <w:right w:val="single" w:sz="8" w:color="CCEEFF"/>
            </w:tcBorders>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04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12/13/2024​​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(5)</w:t>
            </w:r>
          </w:p>
        </w:tc>
        <w:tc>
          <w:tcPr>
            <w:tcW w:w="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0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6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2"/>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300,000</w:t>
            </w:r>
          </w:p>
        </w:tc>
        <w:tc>
          <w:tcPr>
            <w:tcW w:w="1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13,932,000</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9"/>
        </w:trPr>
        <w:tc>
          <w:tcPr>
            <w:tcW w:w="204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68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0" w:type="dxa"/>
            <w:vAlign w:val="bottom"/>
            <w:vMerge w:val="continue"/>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420" w:type="dxa"/>
            <w:vAlign w:val="bottom"/>
            <w:vMerge w:val="continue"/>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280" w:type="dxa"/>
            <w:vAlign w:val="bottom"/>
            <w:tcBorders>
              <w:right w:val="single" w:sz="8" w:color="CCEEFF"/>
            </w:tcBorders>
            <w:vMerge w:val="continue"/>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700" w:type="dxa"/>
            <w:vAlign w:val="bottom"/>
            <w:tcBorders>
              <w:right w:val="single" w:sz="8" w:color="CCEEFF"/>
            </w:tcBorders>
            <w:gridSpan w:val="2"/>
            <w:vMerge w:val="continue"/>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400" w:type="dxa"/>
            <w:vAlign w:val="bottom"/>
            <w:vMerge w:val="continue"/>
            <w:shd w:val="clear" w:color="auto" w:fill="CCEEFF"/>
          </w:tcPr>
          <w:p>
            <w:pPr>
              <w:spacing w:after="0"/>
              <w:rPr>
                <w:sz w:val="5"/>
                <w:szCs w:val="5"/>
                <w:color w:val="auto"/>
              </w:rPr>
            </w:pPr>
          </w:p>
        </w:tc>
        <w:tc>
          <w:tcPr>
            <w:tcW w:w="180" w:type="dxa"/>
            <w:vAlign w:val="bottom"/>
            <w:gridSpan w:val="2"/>
            <w:vMerge w:val="continue"/>
            <w:shd w:val="clear" w:color="auto" w:fill="CCEEFF"/>
          </w:tcPr>
          <w:p>
            <w:pPr>
              <w:spacing w:after="0"/>
              <w:rPr>
                <w:sz w:val="5"/>
                <w:szCs w:val="5"/>
                <w:color w:val="auto"/>
              </w:rPr>
            </w:pPr>
          </w:p>
        </w:tc>
        <w:tc>
          <w:tcPr>
            <w:tcW w:w="760" w:type="dxa"/>
            <w:vAlign w:val="bottom"/>
            <w:tcBorders>
              <w:right w:val="single" w:sz="8" w:color="CCEEFF"/>
            </w:tcBorders>
            <w:gridSpan w:val="2"/>
            <w:vMerge w:val="continue"/>
            <w:shd w:val="clear" w:color="auto" w:fill="CCEEFF"/>
          </w:tcPr>
          <w:p>
            <w:pPr>
              <w:spacing w:after="0"/>
              <w:rPr>
                <w:sz w:val="5"/>
                <w:szCs w:val="5"/>
                <w:color w:val="auto"/>
              </w:rPr>
            </w:pPr>
          </w:p>
        </w:tc>
        <w:tc>
          <w:tcPr>
            <w:tcW w:w="860" w:type="dxa"/>
            <w:vAlign w:val="bottom"/>
            <w:gridSpan w:val="2"/>
            <w:vMerge w:val="continue"/>
            <w:shd w:val="clear" w:color="auto" w:fill="CCEEFF"/>
          </w:tcPr>
          <w:p>
            <w:pPr>
              <w:spacing w:after="0"/>
              <w:rPr>
                <w:sz w:val="5"/>
                <w:szCs w:val="5"/>
                <w:color w:val="auto"/>
              </w:rPr>
            </w:pPr>
          </w:p>
        </w:tc>
        <w:tc>
          <w:tcPr>
            <w:tcW w:w="100" w:type="dxa"/>
            <w:vAlign w:val="bottom"/>
            <w:tcBorders>
              <w:right w:val="single" w:sz="8" w:color="CCEEFF"/>
            </w:tcBorders>
            <w:vMerge w:val="continue"/>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Mark W. Hahn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4"/>
                <w:szCs w:val="14"/>
                <w:color w:val="auto"/>
              </w:rPr>
              <w:t>​ 9/26/2022</w:t>
            </w:r>
            <w:r>
              <w:rPr>
                <w:rFonts w:ascii="Times New Roman" w:cs="Times New Roman" w:eastAsia="Times New Roman" w:hAnsi="Times New Roman"/>
                <w:sz w:val="17"/>
                <w:szCs w:val="17"/>
                <w:color w:val="auto"/>
                <w:vertAlign w:val="superscript"/>
              </w:rPr>
              <w:t>(1)</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​225,000</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​10,449,000</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100"/>
              <w:spacing w:after="0"/>
              <w:rPr>
                <w:sz w:val="20"/>
                <w:szCs w:val="20"/>
                <w:color w:val="auto"/>
              </w:rPr>
            </w:pPr>
            <w:r>
              <w:rPr>
                <w:rFonts w:ascii="Times New Roman" w:cs="Times New Roman" w:eastAsia="Times New Roman" w:hAnsi="Times New Roman"/>
                <w:sz w:val="1"/>
                <w:szCs w:val="1"/>
                <w:color w:val="auto"/>
                <w:w w:val="4294942296"/>
              </w:rPr>
              <w:t>​</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85"/>
        </w:trPr>
        <w:tc>
          <w:tcPr>
            <w:tcW w:w="2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gridSpan w:val="2"/>
          </w:tcPr>
          <w:p>
            <w:pPr>
              <w:ind w:left="40"/>
              <w:spacing w:after="0" w:line="85" w:lineRule="exact"/>
              <w:rPr>
                <w:sz w:val="20"/>
                <w:szCs w:val="20"/>
                <w:color w:val="auto"/>
              </w:rPr>
            </w:pPr>
            <w:r>
              <w:rPr>
                <w:rFonts w:ascii="Times New Roman" w:cs="Times New Roman" w:eastAsia="Times New Roman" w:hAnsi="Times New Roman"/>
                <w:sz w:val="9"/>
                <w:szCs w:val="9"/>
                <w:color w:val="auto"/>
              </w:rPr>
              <w:t>​ ​</w:t>
            </w:r>
          </w:p>
        </w:tc>
        <w:tc>
          <w:tcPr>
            <w:tcW w:w="580" w:type="dxa"/>
            <w:vAlign w:val="bottom"/>
          </w:tcPr>
          <w:p>
            <w:pPr>
              <w:spacing w:after="0"/>
              <w:rPr>
                <w:sz w:val="7"/>
                <w:szCs w:val="7"/>
                <w:color w:val="auto"/>
              </w:rPr>
            </w:pPr>
          </w:p>
        </w:tc>
        <w:tc>
          <w:tcPr>
            <w:tcW w:w="140" w:type="dxa"/>
            <w:vAlign w:val="bottom"/>
          </w:tcPr>
          <w:p>
            <w:pPr>
              <w:spacing w:after="0" w:line="85"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gridSpan w:val="2"/>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line="91" w:lineRule="exact"/>
              <w:rPr>
                <w:sz w:val="20"/>
                <w:szCs w:val="20"/>
                <w:color w:val="auto"/>
              </w:rPr>
            </w:pPr>
            <w:r>
              <w:rPr>
                <w:rFonts w:ascii="Times New Roman" w:cs="Times New Roman" w:eastAsia="Times New Roman" w:hAnsi="Times New Roman"/>
                <w:sz w:val="9"/>
                <w:szCs w:val="9"/>
                <w:color w:val="auto"/>
              </w:rPr>
              <w:t>(2)</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75,000</w:t>
            </w:r>
          </w:p>
        </w:tc>
        <w:tc>
          <w:tcPr>
            <w:tcW w:w="9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3,483,000 ​​​</w:t>
            </w:r>
          </w:p>
        </w:tc>
        <w:tc>
          <w:tcPr>
            <w:tcW w:w="2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ind w:left="10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12"/>
        </w:trPr>
        <w:tc>
          <w:tcPr>
            <w:tcW w:w="2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4"/>
          </w:tcPr>
          <w:p>
            <w:pPr>
              <w:ind w:left="40"/>
              <w:spacing w:after="0" w:line="113"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10/20/2023​​</w:t>
            </w:r>
          </w:p>
        </w:tc>
        <w:tc>
          <w:tcPr>
            <w:tcW w:w="6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940" w:type="dxa"/>
            <w:vAlign w:val="bottom"/>
            <w:gridSpan w:val="4"/>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line="91" w:lineRule="exact"/>
              <w:rPr>
                <w:sz w:val="20"/>
                <w:szCs w:val="20"/>
                <w:color w:val="auto"/>
              </w:rPr>
            </w:pPr>
            <w:r>
              <w:rPr>
                <w:rFonts w:ascii="Times New Roman" w:cs="Times New Roman" w:eastAsia="Times New Roman" w:hAnsi="Times New Roman"/>
                <w:sz w:val="9"/>
                <w:szCs w:val="9"/>
                <w:color w:val="auto"/>
              </w:rPr>
              <w:t>(3)</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175,000</w:t>
            </w:r>
          </w:p>
        </w:tc>
        <w:tc>
          <w:tcPr>
            <w:tcW w:w="9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8,127,000 ​​​</w:t>
            </w:r>
          </w:p>
        </w:tc>
        <w:tc>
          <w:tcPr>
            <w:tcW w:w="2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ind w:left="10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12"/>
        </w:trPr>
        <w:tc>
          <w:tcPr>
            <w:tcW w:w="2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4"/>
          </w:tcPr>
          <w:p>
            <w:pPr>
              <w:ind w:left="40"/>
              <w:spacing w:after="0" w:line="113"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10/20/2023​​</w:t>
            </w:r>
          </w:p>
        </w:tc>
        <w:tc>
          <w:tcPr>
            <w:tcW w:w="6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940" w:type="dxa"/>
            <w:vAlign w:val="bottom"/>
            <w:gridSpan w:val="4"/>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line="91" w:lineRule="exact"/>
              <w:rPr>
                <w:sz w:val="20"/>
                <w:szCs w:val="20"/>
                <w:color w:val="auto"/>
              </w:rPr>
            </w:pPr>
            <w:r>
              <w:rPr>
                <w:rFonts w:ascii="Times New Roman" w:cs="Times New Roman" w:eastAsia="Times New Roman" w:hAnsi="Times New Roman"/>
                <w:sz w:val="9"/>
                <w:szCs w:val="9"/>
                <w:color w:val="auto"/>
              </w:rPr>
              <w:t>(4)</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100,000</w:t>
            </w:r>
          </w:p>
        </w:tc>
        <w:tc>
          <w:tcPr>
            <w:tcW w:w="9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4,644,000 ​​​</w:t>
            </w:r>
          </w:p>
        </w:tc>
        <w:tc>
          <w:tcPr>
            <w:tcW w:w="2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ind w:left="10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12"/>
        </w:trPr>
        <w:tc>
          <w:tcPr>
            <w:tcW w:w="2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4"/>
          </w:tcPr>
          <w:p>
            <w:pPr>
              <w:ind w:left="40"/>
              <w:spacing w:after="0" w:line="113"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10/30/2024​​</w:t>
            </w:r>
          </w:p>
        </w:tc>
        <w:tc>
          <w:tcPr>
            <w:tcW w:w="6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940" w:type="dxa"/>
            <w:vAlign w:val="bottom"/>
            <w:gridSpan w:val="4"/>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040" w:type="dxa"/>
            <w:vAlign w:val="bottom"/>
          </w:tcPr>
          <w:p>
            <w:pPr>
              <w:spacing w:after="0"/>
              <w:rPr>
                <w:sz w:val="7"/>
                <w:szCs w:val="7"/>
                <w:color w:val="auto"/>
              </w:rPr>
            </w:pP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line="91" w:lineRule="exact"/>
              <w:rPr>
                <w:sz w:val="20"/>
                <w:szCs w:val="20"/>
                <w:color w:val="auto"/>
              </w:rPr>
            </w:pPr>
            <w:r>
              <w:rPr>
                <w:rFonts w:ascii="Times New Roman" w:cs="Times New Roman" w:eastAsia="Times New Roman" w:hAnsi="Times New Roman"/>
                <w:sz w:val="9"/>
                <w:szCs w:val="9"/>
                <w:color w:val="auto"/>
              </w:rPr>
              <w:t>(5)</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300,000</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13,932,000</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95"/>
        </w:trPr>
        <w:tc>
          <w:tcPr>
            <w:tcW w:w="204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920" w:type="dxa"/>
            <w:vAlign w:val="bottom"/>
            <w:gridSpan w:val="4"/>
          </w:tcPr>
          <w:p>
            <w:pPr>
              <w:ind w:left="40"/>
              <w:spacing w:after="0" w:line="95"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12/13/2024​​</w:t>
            </w:r>
          </w:p>
        </w:tc>
        <w:tc>
          <w:tcPr>
            <w:tcW w:w="6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Andrew Fisher</w:t>
            </w:r>
          </w:p>
        </w:tc>
        <w:tc>
          <w:tcPr>
            <w:tcW w:w="1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4"/>
                <w:szCs w:val="14"/>
                <w:color w:val="auto"/>
              </w:rPr>
              <w:t>4/1/2024</w:t>
            </w:r>
            <w:r>
              <w:rPr>
                <w:rFonts w:ascii="Times New Roman" w:cs="Times New Roman" w:eastAsia="Times New Roman" w:hAnsi="Times New Roman"/>
                <w:sz w:val="17"/>
                <w:szCs w:val="17"/>
                <w:color w:val="auto"/>
                <w:vertAlign w:val="superscript"/>
              </w:rPr>
              <w:t>(6)</w:t>
            </w:r>
          </w:p>
        </w:tc>
        <w:tc>
          <w:tcPr>
            <w:tcW w:w="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​300,000</w:t>
            </w: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right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​16.09</w:t>
            </w: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​3/31/2034</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
                <w:szCs w:val="1"/>
                <w:color w:val="auto"/>
                <w:w w:val="4294942296"/>
              </w:rPr>
              <w:t>​</w:t>
            </w: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8"/>
        </w:trPr>
        <w:tc>
          <w:tcPr>
            <w:tcW w:w="2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580" w:type="dxa"/>
            <w:vAlign w:val="bottom"/>
            <w:shd w:val="clear" w:color="auto" w:fill="CCEEFF"/>
          </w:tcPr>
          <w:p>
            <w:pPr>
              <w:spacing w:after="0"/>
              <w:rPr>
                <w:sz w:val="5"/>
                <w:szCs w:val="5"/>
                <w:color w:val="auto"/>
              </w:rPr>
            </w:pPr>
          </w:p>
        </w:tc>
        <w:tc>
          <w:tcPr>
            <w:tcW w:w="14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60" w:type="dxa"/>
            <w:vAlign w:val="bottom"/>
            <w:vMerge w:val="continue"/>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80" w:type="dxa"/>
            <w:vAlign w:val="bottom"/>
            <w:tcBorders>
              <w:right w:val="single" w:sz="8" w:color="CCEEFF"/>
            </w:tcBorders>
            <w:shd w:val="clear" w:color="auto" w:fill="CCEEFF"/>
          </w:tcPr>
          <w:p>
            <w:pPr>
              <w:spacing w:after="0"/>
              <w:rPr>
                <w:sz w:val="5"/>
                <w:szCs w:val="5"/>
                <w:color w:val="auto"/>
              </w:rPr>
            </w:pPr>
          </w:p>
        </w:tc>
        <w:tc>
          <w:tcPr>
            <w:tcW w:w="180" w:type="dxa"/>
            <w:vAlign w:val="bottom"/>
            <w:gridSpan w:val="2"/>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580" w:type="dxa"/>
            <w:vAlign w:val="bottom"/>
            <w:tcBorders>
              <w:right w:val="single" w:sz="8" w:color="CCEEFF"/>
            </w:tcBorders>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00" w:type="dxa"/>
            <w:vAlign w:val="bottom"/>
            <w:tcBorders>
              <w:right w:val="single" w:sz="8" w:color="CCEEFF"/>
            </w:tcBorders>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20" w:type="dxa"/>
            <w:vAlign w:val="bottom"/>
            <w:tcBorders>
              <w:right w:val="single" w:sz="8" w:color="CCEEFF"/>
            </w:tcBorders>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00" w:type="dxa"/>
            <w:vAlign w:val="bottom"/>
            <w:tcBorders>
              <w:right w:val="single" w:sz="8" w:color="CCEEFF"/>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(4)</w:t>
            </w:r>
          </w:p>
        </w:tc>
        <w:tc>
          <w:tcPr>
            <w:tcW w:w="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0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37,500</w:t>
            </w:r>
          </w:p>
        </w:tc>
        <w:tc>
          <w:tcPr>
            <w:tcW w:w="940" w:type="dxa"/>
            <w:vAlign w:val="bottom"/>
            <w:tcBorders>
              <w:right w:val="single" w:sz="8" w:color="CCEEFF"/>
            </w:tcBorders>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1,741,500 ​​​</w:t>
            </w:r>
          </w:p>
        </w:tc>
        <w:tc>
          <w:tcPr>
            <w:tcW w:w="2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7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95"/>
        </w:trPr>
        <w:tc>
          <w:tcPr>
            <w:tcW w:w="2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820" w:type="dxa"/>
            <w:vAlign w:val="bottom"/>
            <w:gridSpan w:val="3"/>
            <w:shd w:val="clear" w:color="auto" w:fill="CCEEFF"/>
          </w:tcPr>
          <w:p>
            <w:pPr>
              <w:ind w:left="20"/>
              <w:spacing w:after="0" w:line="95" w:lineRule="exact"/>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10/30/2024​​</w:t>
            </w:r>
          </w:p>
        </w:tc>
        <w:tc>
          <w:tcPr>
            <w:tcW w:w="60" w:type="dxa"/>
            <w:vAlign w:val="bottom"/>
            <w:vMerge w:val="continue"/>
            <w:shd w:val="clear" w:color="auto" w:fill="CCEEFF"/>
          </w:tcPr>
          <w:p>
            <w:pPr>
              <w:spacing w:after="0"/>
              <w:rPr>
                <w:sz w:val="8"/>
                <w:szCs w:val="8"/>
                <w:color w:val="auto"/>
              </w:rPr>
            </w:pPr>
          </w:p>
        </w:tc>
        <w:tc>
          <w:tcPr>
            <w:tcW w:w="340" w:type="dxa"/>
            <w:vAlign w:val="bottom"/>
            <w:vMerge w:val="continue"/>
            <w:shd w:val="clear" w:color="auto" w:fill="CCEEFF"/>
          </w:tcPr>
          <w:p>
            <w:pPr>
              <w:spacing w:after="0"/>
              <w:rPr>
                <w:sz w:val="8"/>
                <w:szCs w:val="8"/>
                <w:color w:val="auto"/>
              </w:rPr>
            </w:pPr>
          </w:p>
        </w:tc>
        <w:tc>
          <w:tcPr>
            <w:tcW w:w="420" w:type="dxa"/>
            <w:vAlign w:val="bottom"/>
            <w:vMerge w:val="continue"/>
            <w:shd w:val="clear" w:color="auto" w:fill="CCEEFF"/>
          </w:tcPr>
          <w:p>
            <w:pPr>
              <w:spacing w:after="0"/>
              <w:rPr>
                <w:sz w:val="8"/>
                <w:szCs w:val="8"/>
                <w:color w:val="auto"/>
              </w:rPr>
            </w:pPr>
          </w:p>
        </w:tc>
        <w:tc>
          <w:tcPr>
            <w:tcW w:w="120" w:type="dxa"/>
            <w:vAlign w:val="bottom"/>
            <w:tcBorders>
              <w:right w:val="single" w:sz="8" w:color="CCEEFF"/>
            </w:tcBorders>
            <w:vMerge w:val="continue"/>
            <w:shd w:val="clear" w:color="auto" w:fill="CCEEFF"/>
          </w:tcPr>
          <w:p>
            <w:pPr>
              <w:spacing w:after="0"/>
              <w:rPr>
                <w:sz w:val="8"/>
                <w:szCs w:val="8"/>
                <w:color w:val="auto"/>
              </w:rPr>
            </w:pPr>
          </w:p>
        </w:tc>
        <w:tc>
          <w:tcPr>
            <w:tcW w:w="200" w:type="dxa"/>
            <w:vAlign w:val="bottom"/>
            <w:vMerge w:val="continue"/>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20" w:type="dxa"/>
            <w:vAlign w:val="bottom"/>
            <w:tcBorders>
              <w:right w:val="single" w:sz="8" w:color="CCEEFF"/>
            </w:tcBorders>
            <w:vMerge w:val="continue"/>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280" w:type="dxa"/>
            <w:vAlign w:val="bottom"/>
            <w:tcBorders>
              <w:right w:val="single" w:sz="8" w:color="CCEEFF"/>
            </w:tcBorders>
            <w:vMerge w:val="continue"/>
            <w:shd w:val="clear" w:color="auto" w:fill="CCEEFF"/>
          </w:tcPr>
          <w:p>
            <w:pPr>
              <w:spacing w:after="0"/>
              <w:rPr>
                <w:sz w:val="8"/>
                <w:szCs w:val="8"/>
                <w:color w:val="auto"/>
              </w:rPr>
            </w:pPr>
          </w:p>
        </w:tc>
        <w:tc>
          <w:tcPr>
            <w:tcW w:w="180" w:type="dxa"/>
            <w:vAlign w:val="bottom"/>
            <w:gridSpan w:val="2"/>
            <w:vMerge w:val="continue"/>
            <w:shd w:val="clear" w:color="auto" w:fill="CCEEFF"/>
          </w:tcPr>
          <w:p>
            <w:pPr>
              <w:spacing w:after="0"/>
              <w:rPr>
                <w:sz w:val="8"/>
                <w:szCs w:val="8"/>
                <w:color w:val="auto"/>
              </w:rPr>
            </w:pPr>
          </w:p>
        </w:tc>
        <w:tc>
          <w:tcPr>
            <w:tcW w:w="700" w:type="dxa"/>
            <w:vAlign w:val="bottom"/>
            <w:tcBorders>
              <w:right w:val="single" w:sz="8" w:color="CCEEFF"/>
            </w:tcBorders>
            <w:gridSpan w:val="2"/>
            <w:vMerge w:val="continue"/>
            <w:shd w:val="clear" w:color="auto" w:fill="CCEEFF"/>
          </w:tcPr>
          <w:p>
            <w:pPr>
              <w:spacing w:after="0"/>
              <w:rPr>
                <w:sz w:val="8"/>
                <w:szCs w:val="8"/>
                <w:color w:val="auto"/>
              </w:rPr>
            </w:pPr>
          </w:p>
        </w:tc>
        <w:tc>
          <w:tcPr>
            <w:tcW w:w="640" w:type="dxa"/>
            <w:vAlign w:val="bottom"/>
            <w:gridSpan w:val="2"/>
            <w:vMerge w:val="continue"/>
            <w:shd w:val="clear" w:color="auto" w:fill="CCEEFF"/>
          </w:tcPr>
          <w:p>
            <w:pPr>
              <w:spacing w:after="0"/>
              <w:rPr>
                <w:sz w:val="8"/>
                <w:szCs w:val="8"/>
                <w:color w:val="auto"/>
              </w:rPr>
            </w:pPr>
          </w:p>
        </w:tc>
        <w:tc>
          <w:tcPr>
            <w:tcW w:w="940" w:type="dxa"/>
            <w:vAlign w:val="bottom"/>
            <w:tcBorders>
              <w:right w:val="single" w:sz="8" w:color="CCEEFF"/>
            </w:tcBorders>
            <w:gridSpan w:val="4"/>
            <w:vMerge w:val="continue"/>
            <w:shd w:val="clear" w:color="auto" w:fill="CCEEFF"/>
          </w:tcPr>
          <w:p>
            <w:pPr>
              <w:spacing w:after="0"/>
              <w:rPr>
                <w:sz w:val="8"/>
                <w:szCs w:val="8"/>
                <w:color w:val="auto"/>
              </w:rPr>
            </w:pPr>
          </w:p>
        </w:tc>
        <w:tc>
          <w:tcPr>
            <w:tcW w:w="240" w:type="dxa"/>
            <w:vAlign w:val="bottom"/>
            <w:vMerge w:val="continue"/>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00" w:type="dxa"/>
            <w:vAlign w:val="bottom"/>
            <w:tcBorders>
              <w:right w:val="single" w:sz="8" w:color="CCEEFF"/>
            </w:tcBorders>
            <w:vMerge w:val="continue"/>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4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(5)</w:t>
            </w:r>
          </w:p>
        </w:tc>
        <w:tc>
          <w:tcPr>
            <w:tcW w:w="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0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6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2"/>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112,500</w:t>
            </w:r>
          </w:p>
        </w:tc>
        <w:tc>
          <w:tcPr>
            <w:tcW w:w="10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5,224,500</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95"/>
        </w:trPr>
        <w:tc>
          <w:tcPr>
            <w:tcW w:w="204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820" w:type="dxa"/>
            <w:vAlign w:val="bottom"/>
            <w:gridSpan w:val="3"/>
            <w:shd w:val="clear" w:color="auto" w:fill="CCEEFF"/>
          </w:tcPr>
          <w:p>
            <w:pPr>
              <w:ind w:left="20"/>
              <w:spacing w:after="0" w:line="95" w:lineRule="exact"/>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12/13/2024​​</w:t>
            </w:r>
          </w:p>
        </w:tc>
        <w:tc>
          <w:tcPr>
            <w:tcW w:w="60" w:type="dxa"/>
            <w:vAlign w:val="bottom"/>
            <w:vMerge w:val="continue"/>
            <w:shd w:val="clear" w:color="auto" w:fill="CCEEFF"/>
          </w:tcPr>
          <w:p>
            <w:pPr>
              <w:spacing w:after="0"/>
              <w:rPr>
                <w:sz w:val="8"/>
                <w:szCs w:val="8"/>
                <w:color w:val="auto"/>
              </w:rPr>
            </w:pPr>
          </w:p>
        </w:tc>
        <w:tc>
          <w:tcPr>
            <w:tcW w:w="340" w:type="dxa"/>
            <w:vAlign w:val="bottom"/>
            <w:vMerge w:val="continue"/>
            <w:shd w:val="clear" w:color="auto" w:fill="CCEEFF"/>
          </w:tcPr>
          <w:p>
            <w:pPr>
              <w:spacing w:after="0"/>
              <w:rPr>
                <w:sz w:val="8"/>
                <w:szCs w:val="8"/>
                <w:color w:val="auto"/>
              </w:rPr>
            </w:pPr>
          </w:p>
        </w:tc>
        <w:tc>
          <w:tcPr>
            <w:tcW w:w="420" w:type="dxa"/>
            <w:vAlign w:val="bottom"/>
            <w:vMerge w:val="continue"/>
            <w:shd w:val="clear" w:color="auto" w:fill="CCEEFF"/>
          </w:tcPr>
          <w:p>
            <w:pPr>
              <w:spacing w:after="0"/>
              <w:rPr>
                <w:sz w:val="8"/>
                <w:szCs w:val="8"/>
                <w:color w:val="auto"/>
              </w:rPr>
            </w:pPr>
          </w:p>
        </w:tc>
        <w:tc>
          <w:tcPr>
            <w:tcW w:w="120" w:type="dxa"/>
            <w:vAlign w:val="bottom"/>
            <w:tcBorders>
              <w:right w:val="single" w:sz="8" w:color="CCEEFF"/>
            </w:tcBorders>
            <w:vMerge w:val="continue"/>
            <w:shd w:val="clear" w:color="auto" w:fill="CCEEFF"/>
          </w:tcPr>
          <w:p>
            <w:pPr>
              <w:spacing w:after="0"/>
              <w:rPr>
                <w:sz w:val="8"/>
                <w:szCs w:val="8"/>
                <w:color w:val="auto"/>
              </w:rPr>
            </w:pPr>
          </w:p>
        </w:tc>
        <w:tc>
          <w:tcPr>
            <w:tcW w:w="200" w:type="dxa"/>
            <w:vAlign w:val="bottom"/>
            <w:vMerge w:val="continue"/>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120" w:type="dxa"/>
            <w:vAlign w:val="bottom"/>
            <w:tcBorders>
              <w:right w:val="single" w:sz="8" w:color="CCEEFF"/>
            </w:tcBorders>
            <w:vMerge w:val="continue"/>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280" w:type="dxa"/>
            <w:vAlign w:val="bottom"/>
            <w:tcBorders>
              <w:right w:val="single" w:sz="8" w:color="CCEEFF"/>
            </w:tcBorders>
            <w:vMerge w:val="continue"/>
            <w:shd w:val="clear" w:color="auto" w:fill="CCEEFF"/>
          </w:tcPr>
          <w:p>
            <w:pPr>
              <w:spacing w:after="0"/>
              <w:rPr>
                <w:sz w:val="8"/>
                <w:szCs w:val="8"/>
                <w:color w:val="auto"/>
              </w:rPr>
            </w:pPr>
          </w:p>
        </w:tc>
        <w:tc>
          <w:tcPr>
            <w:tcW w:w="180" w:type="dxa"/>
            <w:vAlign w:val="bottom"/>
            <w:gridSpan w:val="2"/>
            <w:vMerge w:val="continue"/>
            <w:shd w:val="clear" w:color="auto" w:fill="CCEEFF"/>
          </w:tcPr>
          <w:p>
            <w:pPr>
              <w:spacing w:after="0"/>
              <w:rPr>
                <w:sz w:val="8"/>
                <w:szCs w:val="8"/>
                <w:color w:val="auto"/>
              </w:rPr>
            </w:pPr>
          </w:p>
        </w:tc>
        <w:tc>
          <w:tcPr>
            <w:tcW w:w="700" w:type="dxa"/>
            <w:vAlign w:val="bottom"/>
            <w:tcBorders>
              <w:right w:val="single" w:sz="8" w:color="CCEEFF"/>
            </w:tcBorders>
            <w:gridSpan w:val="2"/>
            <w:vMerge w:val="continue"/>
            <w:shd w:val="clear" w:color="auto" w:fill="CCEEFF"/>
          </w:tcPr>
          <w:p>
            <w:pPr>
              <w:spacing w:after="0"/>
              <w:rPr>
                <w:sz w:val="8"/>
                <w:szCs w:val="8"/>
                <w:color w:val="auto"/>
              </w:rPr>
            </w:pPr>
          </w:p>
        </w:tc>
        <w:tc>
          <w:tcPr>
            <w:tcW w:w="240" w:type="dxa"/>
            <w:vAlign w:val="bottom"/>
            <w:vMerge w:val="continue"/>
            <w:shd w:val="clear" w:color="auto" w:fill="CCEEFF"/>
          </w:tcPr>
          <w:p>
            <w:pPr>
              <w:spacing w:after="0"/>
              <w:rPr>
                <w:sz w:val="8"/>
                <w:szCs w:val="8"/>
                <w:color w:val="auto"/>
              </w:rPr>
            </w:pPr>
          </w:p>
        </w:tc>
        <w:tc>
          <w:tcPr>
            <w:tcW w:w="400" w:type="dxa"/>
            <w:vAlign w:val="bottom"/>
            <w:vMerge w:val="continue"/>
            <w:shd w:val="clear" w:color="auto" w:fill="CCEEFF"/>
          </w:tcPr>
          <w:p>
            <w:pPr>
              <w:spacing w:after="0"/>
              <w:rPr>
                <w:sz w:val="8"/>
                <w:szCs w:val="8"/>
                <w:color w:val="auto"/>
              </w:rPr>
            </w:pPr>
          </w:p>
        </w:tc>
        <w:tc>
          <w:tcPr>
            <w:tcW w:w="180" w:type="dxa"/>
            <w:vAlign w:val="bottom"/>
            <w:gridSpan w:val="2"/>
            <w:vMerge w:val="continue"/>
            <w:shd w:val="clear" w:color="auto" w:fill="CCEEFF"/>
          </w:tcPr>
          <w:p>
            <w:pPr>
              <w:spacing w:after="0"/>
              <w:rPr>
                <w:sz w:val="8"/>
                <w:szCs w:val="8"/>
                <w:color w:val="auto"/>
              </w:rPr>
            </w:pPr>
          </w:p>
        </w:tc>
        <w:tc>
          <w:tcPr>
            <w:tcW w:w="760" w:type="dxa"/>
            <w:vAlign w:val="bottom"/>
            <w:tcBorders>
              <w:right w:val="single" w:sz="8" w:color="CCEEFF"/>
            </w:tcBorders>
            <w:gridSpan w:val="2"/>
            <w:vMerge w:val="continue"/>
            <w:shd w:val="clear" w:color="auto" w:fill="CCEEFF"/>
          </w:tcPr>
          <w:p>
            <w:pPr>
              <w:spacing w:after="0"/>
              <w:rPr>
                <w:sz w:val="8"/>
                <w:szCs w:val="8"/>
                <w:color w:val="auto"/>
              </w:rPr>
            </w:pPr>
          </w:p>
        </w:tc>
        <w:tc>
          <w:tcPr>
            <w:tcW w:w="860" w:type="dxa"/>
            <w:vAlign w:val="bottom"/>
            <w:gridSpan w:val="2"/>
            <w:vMerge w:val="continue"/>
            <w:shd w:val="clear" w:color="auto" w:fill="CCEEFF"/>
          </w:tcPr>
          <w:p>
            <w:pPr>
              <w:spacing w:after="0"/>
              <w:rPr>
                <w:sz w:val="8"/>
                <w:szCs w:val="8"/>
                <w:color w:val="auto"/>
              </w:rPr>
            </w:pPr>
          </w:p>
        </w:tc>
        <w:tc>
          <w:tcPr>
            <w:tcW w:w="100" w:type="dxa"/>
            <w:vAlign w:val="bottom"/>
            <w:tcBorders>
              <w:right w:val="single" w:sz="8" w:color="CCEEFF"/>
            </w:tcBorders>
            <w:vMerge w:val="continue"/>
            <w:shd w:val="clear" w:color="auto" w:fill="CCEEFF"/>
          </w:tcPr>
          <w:p>
            <w:pPr>
              <w:spacing w:after="0"/>
              <w:rPr>
                <w:sz w:val="8"/>
                <w:szCs w:val="8"/>
                <w:color w:val="auto"/>
              </w:rPr>
            </w:pPr>
          </w:p>
        </w:tc>
        <w:tc>
          <w:tcPr>
            <w:tcW w:w="840" w:type="dxa"/>
            <w:vAlign w:val="bottom"/>
            <w:gridSpan w:val="2"/>
            <w:vMerge w:val="continue"/>
            <w:shd w:val="clear" w:color="auto" w:fill="CCEEFF"/>
          </w:tcPr>
          <w:p>
            <w:pPr>
              <w:spacing w:after="0"/>
              <w:rPr>
                <w:sz w:val="8"/>
                <w:szCs w:val="8"/>
                <w:color w:val="auto"/>
              </w:rPr>
            </w:pP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Kathleen Rickard</w:t>
            </w:r>
          </w:p>
        </w:tc>
        <w:tc>
          <w:tcPr>
            <w:tcW w:w="120" w:type="dxa"/>
            <w:vAlign w:val="bottom"/>
          </w:tcPr>
          <w:p>
            <w:pPr>
              <w:spacing w:after="0"/>
              <w:rPr>
                <w:sz w:val="21"/>
                <w:szCs w:val="21"/>
                <w:color w:val="auto"/>
              </w:rPr>
            </w:pPr>
          </w:p>
        </w:tc>
        <w:tc>
          <w:tcPr>
            <w:tcW w:w="200" w:type="dxa"/>
            <w:vAlign w:val="bottom"/>
            <w:gridSpan w:val="2"/>
          </w:tcPr>
          <w:p>
            <w:pPr>
              <w:ind w:left="40"/>
              <w:spacing w:after="0" w:line="247"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8"/>
                <w:szCs w:val="28"/>
                <w:color w:val="auto"/>
                <w:vertAlign w:val="superscript"/>
              </w:rPr>
              <w:t>​</w:t>
            </w:r>
          </w:p>
        </w:tc>
        <w:tc>
          <w:tcPr>
            <w:tcW w:w="720" w:type="dxa"/>
            <w:vAlign w:val="bottom"/>
            <w:gridSpan w:val="2"/>
          </w:tcPr>
          <w:p>
            <w:pPr>
              <w:jc w:val="right"/>
              <w:ind w:right="13"/>
              <w:spacing w:after="0" w:line="247" w:lineRule="exact"/>
              <w:rPr>
                <w:sz w:val="20"/>
                <w:szCs w:val="20"/>
                <w:color w:val="auto"/>
              </w:rPr>
            </w:pPr>
            <w:r>
              <w:rPr>
                <w:rFonts w:ascii="Times New Roman" w:cs="Times New Roman" w:eastAsia="Times New Roman" w:hAnsi="Times New Roman"/>
                <w:sz w:val="14"/>
                <w:szCs w:val="14"/>
                <w:color w:val="auto"/>
              </w:rPr>
              <w:t>4/1/2019</w:t>
            </w:r>
            <w:r>
              <w:rPr>
                <w:rFonts w:ascii="Times New Roman" w:cs="Times New Roman" w:eastAsia="Times New Roman" w:hAnsi="Times New Roman"/>
                <w:sz w:val="28"/>
                <w:szCs w:val="28"/>
                <w:color w:val="auto"/>
                <w:vertAlign w:val="subscript"/>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70,000</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 5.99</w:t>
            </w:r>
          </w:p>
        </w:tc>
        <w:tc>
          <w:tcPr>
            <w:tcW w:w="880" w:type="dxa"/>
            <w:vAlign w:val="bottom"/>
            <w:gridSpan w:val="4"/>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​3/29/2029 </w:t>
            </w:r>
            <w:r>
              <w:rPr>
                <w:rFonts w:ascii="Times New Roman" w:cs="Times New Roman" w:eastAsia="Times New Roman" w:hAnsi="Times New Roman"/>
                <w:sz w:val="28"/>
                <w:szCs w:val="28"/>
                <w:color w:val="auto"/>
                <w:vertAlign w:val="subscript"/>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xml:space="preserve"> ​​​</w:t>
            </w:r>
          </w:p>
        </w:tc>
        <w:tc>
          <w:tcPr>
            <w:tcW w:w="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100"/>
              <w:spacing w:after="0"/>
              <w:rPr>
                <w:sz w:val="20"/>
                <w:szCs w:val="20"/>
                <w:color w:val="auto"/>
              </w:rPr>
            </w:pPr>
            <w:r>
              <w:rPr>
                <w:rFonts w:ascii="Times New Roman" w:cs="Times New Roman" w:eastAsia="Times New Roman" w:hAnsi="Times New Roman"/>
                <w:sz w:val="1"/>
                <w:szCs w:val="1"/>
                <w:color w:val="auto"/>
                <w:w w:val="4294942296"/>
              </w:rPr>
              <w:t>​</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8"/>
        </w:trPr>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2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color w:val="auto"/>
              </w:rPr>
              <w:t>3/3/2020​​</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​12,500</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5.64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3/3/2030 ​​​</w:t>
            </w:r>
          </w:p>
        </w:tc>
        <w:tc>
          <w:tcPr>
            <w:tcW w:w="2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10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05"/>
        </w:trPr>
        <w:tc>
          <w:tcPr>
            <w:tcW w:w="2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9"/>
                <w:szCs w:val="9"/>
                <w:color w:val="auto"/>
              </w:rPr>
              <w:t>(1)</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50,000</w:t>
            </w:r>
          </w:p>
        </w:tc>
        <w:tc>
          <w:tcPr>
            <w:tcW w:w="9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2,322,000 ​​​</w:t>
            </w:r>
          </w:p>
        </w:tc>
        <w:tc>
          <w:tcPr>
            <w:tcW w:w="2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ind w:left="10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12"/>
        </w:trPr>
        <w:tc>
          <w:tcPr>
            <w:tcW w:w="2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4"/>
          </w:tcPr>
          <w:p>
            <w:pPr>
              <w:ind w:left="40"/>
              <w:spacing w:after="0" w:line="113"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9/26/2022​​</w:t>
            </w:r>
          </w:p>
        </w:tc>
        <w:tc>
          <w:tcPr>
            <w:tcW w:w="6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940" w:type="dxa"/>
            <w:vAlign w:val="bottom"/>
            <w:gridSpan w:val="4"/>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line="91" w:lineRule="exact"/>
              <w:rPr>
                <w:sz w:val="20"/>
                <w:szCs w:val="20"/>
                <w:color w:val="auto"/>
              </w:rPr>
            </w:pPr>
            <w:r>
              <w:rPr>
                <w:rFonts w:ascii="Times New Roman" w:cs="Times New Roman" w:eastAsia="Times New Roman" w:hAnsi="Times New Roman"/>
                <w:sz w:val="9"/>
                <w:szCs w:val="9"/>
                <w:color w:val="auto"/>
              </w:rPr>
              <w:t>(2)</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18,749</w:t>
            </w: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870,704 ​​​</w:t>
            </w:r>
          </w:p>
        </w:tc>
        <w:tc>
          <w:tcPr>
            <w:tcW w:w="2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ind w:left="10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12"/>
        </w:trPr>
        <w:tc>
          <w:tcPr>
            <w:tcW w:w="2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4"/>
          </w:tcPr>
          <w:p>
            <w:pPr>
              <w:ind w:left="40"/>
              <w:spacing w:after="0" w:line="113"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10/20/2023​​</w:t>
            </w:r>
          </w:p>
        </w:tc>
        <w:tc>
          <w:tcPr>
            <w:tcW w:w="6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line="91" w:lineRule="exact"/>
              <w:rPr>
                <w:sz w:val="20"/>
                <w:szCs w:val="20"/>
                <w:color w:val="auto"/>
              </w:rPr>
            </w:pPr>
            <w:r>
              <w:rPr>
                <w:rFonts w:ascii="Times New Roman" w:cs="Times New Roman" w:eastAsia="Times New Roman" w:hAnsi="Times New Roman"/>
                <w:sz w:val="9"/>
                <w:szCs w:val="9"/>
                <w:color w:val="auto"/>
              </w:rPr>
              <w:t>(3)</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43,750</w:t>
            </w:r>
          </w:p>
        </w:tc>
        <w:tc>
          <w:tcPr>
            <w:tcW w:w="9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2,031,750 ​​​</w:t>
            </w:r>
          </w:p>
        </w:tc>
        <w:tc>
          <w:tcPr>
            <w:tcW w:w="2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ind w:left="10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12"/>
        </w:trPr>
        <w:tc>
          <w:tcPr>
            <w:tcW w:w="2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4"/>
          </w:tcPr>
          <w:p>
            <w:pPr>
              <w:ind w:left="40"/>
              <w:spacing w:after="0" w:line="113"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10/20/2023​​</w:t>
            </w:r>
          </w:p>
        </w:tc>
        <w:tc>
          <w:tcPr>
            <w:tcW w:w="6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940" w:type="dxa"/>
            <w:vAlign w:val="bottom"/>
            <w:gridSpan w:val="4"/>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line="91" w:lineRule="exact"/>
              <w:rPr>
                <w:sz w:val="20"/>
                <w:szCs w:val="20"/>
                <w:color w:val="auto"/>
              </w:rPr>
            </w:pPr>
            <w:r>
              <w:rPr>
                <w:rFonts w:ascii="Times New Roman" w:cs="Times New Roman" w:eastAsia="Times New Roman" w:hAnsi="Times New Roman"/>
                <w:sz w:val="9"/>
                <w:szCs w:val="9"/>
                <w:color w:val="auto"/>
              </w:rPr>
              <w:t>(4)</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37,500</w:t>
            </w:r>
          </w:p>
        </w:tc>
        <w:tc>
          <w:tcPr>
            <w:tcW w:w="9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1,741,500 ​​​</w:t>
            </w:r>
          </w:p>
        </w:tc>
        <w:tc>
          <w:tcPr>
            <w:tcW w:w="2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ind w:left="10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12"/>
        </w:trPr>
        <w:tc>
          <w:tcPr>
            <w:tcW w:w="2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4"/>
          </w:tcPr>
          <w:p>
            <w:pPr>
              <w:ind w:left="40"/>
              <w:spacing w:after="0" w:line="113"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10/30/2024​​</w:t>
            </w:r>
          </w:p>
        </w:tc>
        <w:tc>
          <w:tcPr>
            <w:tcW w:w="6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940" w:type="dxa"/>
            <w:vAlign w:val="bottom"/>
            <w:gridSpan w:val="4"/>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040" w:type="dxa"/>
            <w:vAlign w:val="bottom"/>
          </w:tcPr>
          <w:p>
            <w:pPr>
              <w:spacing w:after="0"/>
              <w:rPr>
                <w:sz w:val="7"/>
                <w:szCs w:val="7"/>
                <w:color w:val="auto"/>
              </w:rPr>
            </w:pP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line="91" w:lineRule="exact"/>
              <w:rPr>
                <w:sz w:val="20"/>
                <w:szCs w:val="20"/>
                <w:color w:val="auto"/>
              </w:rPr>
            </w:pPr>
            <w:r>
              <w:rPr>
                <w:rFonts w:ascii="Times New Roman" w:cs="Times New Roman" w:eastAsia="Times New Roman" w:hAnsi="Times New Roman"/>
                <w:sz w:val="9"/>
                <w:szCs w:val="9"/>
                <w:color w:val="auto"/>
              </w:rPr>
              <w:t>(5)</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6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112,500</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5,224,500</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95"/>
        </w:trPr>
        <w:tc>
          <w:tcPr>
            <w:tcW w:w="204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920" w:type="dxa"/>
            <w:vAlign w:val="bottom"/>
            <w:gridSpan w:val="4"/>
          </w:tcPr>
          <w:p>
            <w:pPr>
              <w:ind w:left="40"/>
              <w:spacing w:after="0" w:line="95" w:lineRule="exact"/>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0"/>
                <w:szCs w:val="10"/>
                <w:color w:val="auto"/>
              </w:rPr>
              <w:t>12/13/2024​​</w:t>
            </w:r>
          </w:p>
        </w:tc>
        <w:tc>
          <w:tcPr>
            <w:tcW w:w="6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Claire Poll</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shd w:val="clear" w:color="auto" w:fill="CCEEFF"/>
          </w:tcPr>
          <w:p>
            <w:pPr>
              <w:jc w:val="right"/>
              <w:ind w:right="13"/>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9/13/2016</w:t>
            </w:r>
            <w:r>
              <w:rPr>
                <w:rFonts w:ascii="Times New Roman" w:cs="Times New Roman" w:eastAsia="Times New Roman" w:hAnsi="Times New Roman"/>
                <w:sz w:val="26"/>
                <w:szCs w:val="26"/>
                <w:color w:val="auto"/>
                <w:vertAlign w:val="subscript"/>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25,000</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right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​19.93</w:t>
            </w:r>
          </w:p>
        </w:tc>
        <w:tc>
          <w:tcPr>
            <w:tcW w:w="880" w:type="dxa"/>
            <w:vAlign w:val="bottom"/>
            <w:tcBorders>
              <w:right w:val="single" w:sz="8" w:color="CCEEFF"/>
            </w:tcBorders>
            <w:gridSpan w:val="4"/>
            <w:shd w:val="clear" w:color="auto" w:fill="CCEEFF"/>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​9/13/2026 </w:t>
            </w:r>
            <w:r>
              <w:rPr>
                <w:rFonts w:ascii="Times New Roman" w:cs="Times New Roman" w:eastAsia="Times New Roman" w:hAnsi="Times New Roman"/>
                <w:sz w:val="26"/>
                <w:szCs w:val="26"/>
                <w:color w:val="auto"/>
                <w:vertAlign w:val="subscript"/>
              </w:rPr>
              <w:t>​​​</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tcBorders>
              <w:right w:val="single" w:sz="8" w:color="CCEEFF"/>
            </w:tcBorders>
            <w:gridSpan w:val="2"/>
            <w:shd w:val="clear" w:color="auto" w:fill="CCEEFF"/>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 ​​​</w:t>
            </w:r>
          </w:p>
        </w:tc>
        <w:tc>
          <w:tcPr>
            <w:tcW w:w="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
                <w:szCs w:val="1"/>
                <w:color w:val="auto"/>
                <w:w w:val="4294942296"/>
              </w:rPr>
              <w:t>​</w:t>
            </w: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97"/>
        </w:trPr>
        <w:tc>
          <w:tcPr>
            <w:tcW w:w="2040" w:type="dxa"/>
            <w:vAlign w:val="bottom"/>
            <w:shd w:val="clear" w:color="auto" w:fill="CCEEFF"/>
          </w:tcPr>
          <w:p>
            <w:pPr>
              <w:spacing w:after="0"/>
              <w:rPr>
                <w:sz w:val="24"/>
                <w:szCs w:val="24"/>
                <w:color w:val="auto"/>
              </w:rPr>
            </w:pP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3/8/2018​​</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​27,149</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right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16.15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3/8/2028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5892165</wp:posOffset>
            </wp:positionH>
            <wp:positionV relativeFrom="paragraph">
              <wp:posOffset>-2982595</wp:posOffset>
            </wp:positionV>
            <wp:extent cx="514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5266055</wp:posOffset>
            </wp:positionH>
            <wp:positionV relativeFrom="paragraph">
              <wp:posOffset>-2982595</wp:posOffset>
            </wp:positionV>
            <wp:extent cx="514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-2982595</wp:posOffset>
            </wp:positionV>
            <wp:extent cx="514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-2982595</wp:posOffset>
            </wp:positionV>
            <wp:extent cx="514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3783330</wp:posOffset>
            </wp:positionH>
            <wp:positionV relativeFrom="paragraph">
              <wp:posOffset>-2982595</wp:posOffset>
            </wp:positionV>
            <wp:extent cx="514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3388995</wp:posOffset>
            </wp:positionH>
            <wp:positionV relativeFrom="paragraph">
              <wp:posOffset>-2982595</wp:posOffset>
            </wp:positionV>
            <wp:extent cx="514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2797175</wp:posOffset>
            </wp:positionH>
            <wp:positionV relativeFrom="paragraph">
              <wp:posOffset>-2982595</wp:posOffset>
            </wp:positionV>
            <wp:extent cx="514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2179955</wp:posOffset>
            </wp:positionH>
            <wp:positionV relativeFrom="paragraph">
              <wp:posOffset>-2982595</wp:posOffset>
            </wp:positionV>
            <wp:extent cx="137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1614170</wp:posOffset>
            </wp:positionH>
            <wp:positionV relativeFrom="paragraph">
              <wp:posOffset>-2982595</wp:posOffset>
            </wp:positionV>
            <wp:extent cx="137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620" w:right="920" w:hanging="360"/>
        <w:spacing w:after="0" w:line="258"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outstanding restricted stock units cover ADSs and vest in eight equal quarterly installments (with the first such installment occurring on February 1, 2025), provided that the restricted stock units will immediately vest prior to a change in control, subject, in each case, to the holder’s continued employment with us through the applicable vesting date and potential accelerated vesting as described in the section below titled “— </w:t>
      </w:r>
      <w:r>
        <w:rPr>
          <w:rFonts w:ascii="Times New Roman" w:cs="Times New Roman" w:eastAsia="Times New Roman" w:hAnsi="Times New Roman"/>
          <w:sz w:val="18"/>
          <w:szCs w:val="18"/>
          <w:i w:val="1"/>
          <w:iCs w:val="1"/>
          <w:color w:val="auto"/>
        </w:rPr>
        <w:t>Potential Payments Upon Termination or Change in Control</w:t>
      </w:r>
      <w:r>
        <w:rPr>
          <w:rFonts w:ascii="Times New Roman" w:cs="Times New Roman" w:eastAsia="Times New Roman" w:hAnsi="Times New Roman"/>
          <w:sz w:val="18"/>
          <w:szCs w:val="18"/>
          <w:color w:val="auto"/>
        </w:rPr>
        <w:t>.”</w:t>
      </w:r>
    </w:p>
    <w:p>
      <w:pPr>
        <w:spacing w:after="0" w:line="34" w:lineRule="exact"/>
        <w:rPr>
          <w:rFonts w:ascii="Times New Roman" w:cs="Times New Roman" w:eastAsia="Times New Roman" w:hAnsi="Times New Roman"/>
          <w:sz w:val="18"/>
          <w:szCs w:val="18"/>
          <w:color w:val="auto"/>
        </w:rPr>
      </w:pPr>
    </w:p>
    <w:p>
      <w:pPr>
        <w:ind w:left="1620" w:right="840" w:hanging="360"/>
        <w:spacing w:after="0" w:line="258"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outstanding restricted stock units cover ADSs and vest in twelve equal quarterly installments (with the first such installment occurring on February 1, 2025), provided that the restricted stock units will immediately vest prior to a change in control, subject, in each case, to the holder’s continued employment with us through the applicable vesting date and potential accelerated vesting as described in the section below titled “— </w:t>
      </w:r>
      <w:r>
        <w:rPr>
          <w:rFonts w:ascii="Times New Roman" w:cs="Times New Roman" w:eastAsia="Times New Roman" w:hAnsi="Times New Roman"/>
          <w:sz w:val="18"/>
          <w:szCs w:val="18"/>
          <w:i w:val="1"/>
          <w:iCs w:val="1"/>
          <w:color w:val="auto"/>
        </w:rPr>
        <w:t>Potential Payments Upon Termination or Change in Control</w:t>
      </w:r>
      <w:r>
        <w:rPr>
          <w:rFonts w:ascii="Times New Roman" w:cs="Times New Roman" w:eastAsia="Times New Roman" w:hAnsi="Times New Roman"/>
          <w:sz w:val="18"/>
          <w:szCs w:val="18"/>
          <w:color w:val="auto"/>
        </w:rPr>
        <w:t>.”</w:t>
      </w:r>
    </w:p>
    <w:p>
      <w:pPr>
        <w:spacing w:after="0" w:line="34" w:lineRule="exact"/>
        <w:rPr>
          <w:rFonts w:ascii="Times New Roman" w:cs="Times New Roman" w:eastAsia="Times New Roman" w:hAnsi="Times New Roman"/>
          <w:sz w:val="18"/>
          <w:szCs w:val="18"/>
          <w:color w:val="auto"/>
        </w:rPr>
      </w:pPr>
    </w:p>
    <w:p>
      <w:pPr>
        <w:ind w:left="1620" w:right="920" w:hanging="360"/>
        <w:spacing w:after="0" w:line="258"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outstanding restricted stock units cover ADSs and vest in seven equal quarterly installments (with the first such installment occurring on February 1, 2025), provided that the restricted stock units will immediately vest prior to a change in control, subject, in each case, to the holder’s continued employment with us through the applicable vesting date and potential accelerated vesting as described in the section below titled “— </w:t>
      </w:r>
      <w:r>
        <w:rPr>
          <w:rFonts w:ascii="Times New Roman" w:cs="Times New Roman" w:eastAsia="Times New Roman" w:hAnsi="Times New Roman"/>
          <w:sz w:val="18"/>
          <w:szCs w:val="18"/>
          <w:i w:val="1"/>
          <w:iCs w:val="1"/>
          <w:color w:val="auto"/>
        </w:rPr>
        <w:t>Potential Payments Upon Termination or Change in Control</w:t>
      </w:r>
      <w:r>
        <w:rPr>
          <w:rFonts w:ascii="Times New Roman" w:cs="Times New Roman" w:eastAsia="Times New Roman" w:hAnsi="Times New Roman"/>
          <w:sz w:val="18"/>
          <w:szCs w:val="18"/>
          <w:color w:val="auto"/>
        </w:rPr>
        <w:t>.”</w:t>
      </w:r>
    </w:p>
    <w:p>
      <w:pPr>
        <w:sectPr>
          <w:pgSz w:w="11900" w:h="16838" w:orient="portrait"/>
          <w:cols w:equalWidth="0" w:num="1">
            <w:col w:w="10260"/>
          </w:cols>
          <w:pgMar w:left="580" w:top="97" w:right="1059" w:bottom="1440" w:gutter="0" w:footer="0" w:header="0"/>
        </w:sectPr>
      </w:pPr>
    </w:p>
    <w:p>
      <w:pPr>
        <w:spacing w:after="0" w:line="35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19" w:hanging="360"/>
        <w:spacing w:after="0" w:line="256"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outstanding restricted stock units cover ADSs and vest (i) as to 25% of the restricted stock units, on November 1, 2025, and (ii) as to the remainder, in twelve equal quarterly installments thereafter, provided that the restricted stock units will immediately vest prior to a change in control, subject, in each case, to the holder’s continued employment with us through the applicable vesting date and potential accelerated vesting as described in the section below titled “— </w:t>
      </w:r>
      <w:r>
        <w:rPr>
          <w:rFonts w:ascii="Times New Roman" w:cs="Times New Roman" w:eastAsia="Times New Roman" w:hAnsi="Times New Roman"/>
          <w:sz w:val="18"/>
          <w:szCs w:val="18"/>
          <w:i w:val="1"/>
          <w:iCs w:val="1"/>
          <w:color w:val="auto"/>
        </w:rPr>
        <w:t>Potential Payments Upon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or Change in Control</w:t>
      </w:r>
      <w:r>
        <w:rPr>
          <w:rFonts w:ascii="Times New Roman" w:cs="Times New Roman" w:eastAsia="Times New Roman" w:hAnsi="Times New Roman"/>
          <w:sz w:val="18"/>
          <w:szCs w:val="18"/>
          <w:color w:val="auto"/>
        </w:rPr>
        <w:t>.”</w:t>
      </w:r>
    </w:p>
    <w:p>
      <w:pPr>
        <w:spacing w:after="0" w:line="38" w:lineRule="exact"/>
        <w:rPr>
          <w:rFonts w:ascii="Times New Roman" w:cs="Times New Roman" w:eastAsia="Times New Roman" w:hAnsi="Times New Roman"/>
          <w:sz w:val="18"/>
          <w:szCs w:val="18"/>
          <w:color w:val="auto"/>
        </w:rPr>
      </w:pPr>
    </w:p>
    <w:p>
      <w:pPr>
        <w:ind w:left="1620" w:right="499" w:hanging="360"/>
        <w:spacing w:after="0" w:line="255"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PRSUs are eligible to be earned in quarterly installments based on achievement of quarterly revenue targets in 2025, calculated as follows: 90% of target revenue results in 50% of target PRSUs being earned, 95% of target revenue results in 75% of target PRSUs being earned, 100% of target revenue results in 100% of target PRSUs being earned, 110% of target revenue results in</w:t>
      </w:r>
    </w:p>
    <w:p>
      <w:pPr>
        <w:spacing w:after="0" w:line="2" w:lineRule="exact"/>
        <w:rPr>
          <w:rFonts w:ascii="Times New Roman" w:cs="Times New Roman" w:eastAsia="Times New Roman" w:hAnsi="Times New Roman"/>
          <w:sz w:val="18"/>
          <w:szCs w:val="18"/>
          <w:color w:val="auto"/>
        </w:rPr>
      </w:pPr>
    </w:p>
    <w:p>
      <w:pPr>
        <w:ind w:left="1620" w:right="47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106.25% of target PRSUs being earned, and 120% of target revenue results in 112.5% of target PRSUs being earned. An additional 12.5% of the total number of PRSUs will be awarded if all quarterly revenue targets are met in 2025. Amounts will be linearly interpolated in between performance levels set forth above. The quarterly revenue targets for 2025 have been set in order to incentivize superior performance. PRSUs that are earned are eligible to vest as follows: (i) 34% of PRSUs earned each quarter will vest immediately, and (ii) as to the remainder, in eight quarterly installments over the following eight quarters, subject generally to continued employment and potential accelerated vesting. The PRSUs will immediately vest prior to a change in control, subject, in each case, to the holder’s continued employment with us through the applicable vesting date and potential accelerated vesting as described in the section below titled “— </w:t>
      </w:r>
      <w:r>
        <w:rPr>
          <w:rFonts w:ascii="Times New Roman" w:cs="Times New Roman" w:eastAsia="Times New Roman" w:hAnsi="Times New Roman"/>
          <w:sz w:val="18"/>
          <w:szCs w:val="18"/>
          <w:i w:val="1"/>
          <w:iCs w:val="1"/>
          <w:color w:val="auto"/>
        </w:rPr>
        <w:t>Potential Payments Upon Termination or Change in Control</w:t>
      </w:r>
      <w:r>
        <w:rPr>
          <w:rFonts w:ascii="Times New Roman" w:cs="Times New Roman" w:eastAsia="Times New Roman" w:hAnsi="Times New Roman"/>
          <w:sz w:val="18"/>
          <w:szCs w:val="18"/>
          <w:color w:val="auto"/>
        </w:rPr>
        <w:t>.”</w:t>
      </w:r>
    </w:p>
    <w:p>
      <w:pPr>
        <w:spacing w:after="0" w:line="44" w:lineRule="exact"/>
        <w:rPr>
          <w:rFonts w:ascii="Times New Roman" w:cs="Times New Roman" w:eastAsia="Times New Roman" w:hAnsi="Times New Roman"/>
          <w:sz w:val="18"/>
          <w:szCs w:val="18"/>
          <w:color w:val="auto"/>
        </w:rPr>
      </w:pPr>
    </w:p>
    <w:p>
      <w:pPr>
        <w:ind w:left="1620" w:right="519" w:hanging="360"/>
        <w:spacing w:after="0" w:line="261"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option covers ADSs and vest (i) as to 25% of the options on April 1, 2025 and (ii) as to the remainder, in 36 equal monthly installments thereafter, subject, in each case, to Mr. Fisher’s continued employment with us through the applicable vesting date and potential accelerated vesting as described in the section below titled “— </w:t>
      </w:r>
      <w:r>
        <w:rPr>
          <w:rFonts w:ascii="Times New Roman" w:cs="Times New Roman" w:eastAsia="Times New Roman" w:hAnsi="Times New Roman"/>
          <w:sz w:val="18"/>
          <w:szCs w:val="18"/>
          <w:i w:val="1"/>
          <w:iCs w:val="1"/>
          <w:color w:val="auto"/>
        </w:rPr>
        <w:t>Executive Compensation Arrangements.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Option Exercises and Stock Vested in Fiscal Year 2024</w:t>
      </w:r>
    </w:p>
    <w:p>
      <w:pPr>
        <w:spacing w:after="0" w:line="169"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0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2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7"/>
        </w:trPr>
        <w:tc>
          <w:tcPr>
            <w:tcW w:w="2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60" w:type="dxa"/>
            <w:vAlign w:val="bottom"/>
          </w:tcPr>
          <w:p>
            <w:pPr>
              <w:spacing w:after="0"/>
              <w:rPr>
                <w:sz w:val="3"/>
                <w:szCs w:val="3"/>
                <w:color w:val="auto"/>
              </w:rPr>
            </w:pPr>
          </w:p>
        </w:tc>
      </w:tr>
      <w:tr>
        <w:trPr>
          <w:trHeight w:val="171"/>
        </w:trPr>
        <w:tc>
          <w:tcPr>
            <w:tcW w:w="2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Value Realized 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7"/>
              </w:rPr>
              <w:t>Value Realized</w:t>
            </w:r>
          </w:p>
        </w:tc>
        <w:tc>
          <w:tcPr>
            <w:tcW w:w="60" w:type="dxa"/>
            <w:vAlign w:val="bottom"/>
          </w:tcPr>
          <w:p>
            <w:pPr>
              <w:spacing w:after="0"/>
              <w:rPr>
                <w:sz w:val="14"/>
                <w:szCs w:val="14"/>
                <w:color w:val="auto"/>
              </w:rPr>
            </w:pPr>
          </w:p>
        </w:tc>
      </w:tr>
      <w:tr>
        <w:trPr>
          <w:trHeight w:val="214"/>
        </w:trPr>
        <w:tc>
          <w:tcPr>
            <w:tcW w:w="2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Acquired on Exercise (#)</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Exercise</w:t>
            </w:r>
            <w:r>
              <w:rPr>
                <w:rFonts w:ascii="Times New Roman" w:cs="Times New Roman" w:eastAsia="Times New Roman" w:hAnsi="Times New Roman"/>
                <w:sz w:val="17"/>
                <w:szCs w:val="17"/>
                <w:b w:val="1"/>
                <w:bCs w:val="1"/>
                <w:color w:val="auto"/>
                <w:vertAlign w:val="superscript"/>
              </w:rPr>
              <w:t>(1)</w:t>
            </w:r>
            <w:r>
              <w:rPr>
                <w:rFonts w:ascii="Times New Roman" w:cs="Times New Roman" w:eastAsia="Times New Roman" w:hAnsi="Times New Roman"/>
                <w:sz w:val="14"/>
                <w:szCs w:val="14"/>
                <w:b w:val="1"/>
                <w:bCs w:val="1"/>
                <w:color w:val="auto"/>
              </w:rPr>
              <w:t xml:space="preserve"> ($)</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Acquired on Vesting (#)</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1"/>
              </w:rPr>
              <w:t>on Vesting</w:t>
            </w:r>
            <w:r>
              <w:rPr>
                <w:rFonts w:ascii="Times New Roman" w:cs="Times New Roman" w:eastAsia="Times New Roman" w:hAnsi="Times New Roman"/>
                <w:sz w:val="17"/>
                <w:szCs w:val="17"/>
                <w:b w:val="1"/>
                <w:bCs w:val="1"/>
                <w:color w:val="auto"/>
                <w:w w:val="91"/>
                <w:vertAlign w:val="superscript"/>
              </w:rPr>
              <w:t>(2)</w:t>
            </w:r>
            <w:r>
              <w:rPr>
                <w:rFonts w:ascii="Times New Roman" w:cs="Times New Roman" w:eastAsia="Times New Roman" w:hAnsi="Times New Roman"/>
                <w:sz w:val="14"/>
                <w:szCs w:val="14"/>
                <w:b w:val="1"/>
                <w:bCs w:val="1"/>
                <w:color w:val="auto"/>
                <w:w w:val="91"/>
              </w:rPr>
              <w:t xml:space="preserve"> ($)</w:t>
            </w:r>
          </w:p>
        </w:tc>
        <w:tc>
          <w:tcPr>
            <w:tcW w:w="60" w:type="dxa"/>
            <w:vAlign w:val="bottom"/>
          </w:tcPr>
          <w:p>
            <w:pPr>
              <w:spacing w:after="0"/>
              <w:rPr>
                <w:sz w:val="18"/>
                <w:szCs w:val="18"/>
                <w:color w:val="auto"/>
              </w:rPr>
            </w:pPr>
          </w:p>
        </w:tc>
      </w:tr>
      <w:tr>
        <w:trPr>
          <w:trHeight w:val="250"/>
        </w:trPr>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Zaccardelli</w:t>
            </w:r>
          </w:p>
        </w:tc>
        <w:tc>
          <w:tcPr>
            <w:tcW w:w="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8"/>
                <w:szCs w:val="18"/>
                <w:color w:val="auto"/>
              </w:rPr>
              <w:t>​406,991</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​$8,986,129</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W. Hahn</w:t>
            </w:r>
          </w:p>
        </w:tc>
        <w:tc>
          <w:tcPr>
            <w:tcW w:w="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19"/>
              <w:spacing w:after="0"/>
              <w:rPr>
                <w:sz w:val="20"/>
                <w:szCs w:val="20"/>
                <w:color w:val="auto"/>
              </w:rPr>
            </w:pPr>
            <w:r>
              <w:rPr>
                <w:rFonts w:ascii="Times New Roman" w:cs="Times New Roman" w:eastAsia="Times New Roman" w:hAnsi="Times New Roman"/>
                <w:sz w:val="18"/>
                <w:szCs w:val="18"/>
                <w:color w:val="auto"/>
              </w:rPr>
              <w:t>​406,987</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​$8,986,055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Fisher</w:t>
            </w:r>
          </w:p>
        </w:tc>
        <w:tc>
          <w:tcPr>
            <w:tcW w:w="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Kathleen Rickard</w:t>
            </w:r>
          </w:p>
        </w:tc>
        <w:tc>
          <w:tcPr>
            <w:tcW w:w="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19"/>
              <w:spacing w:after="0"/>
              <w:rPr>
                <w:sz w:val="20"/>
                <w:szCs w:val="20"/>
                <w:color w:val="auto"/>
              </w:rPr>
            </w:pPr>
            <w:r>
              <w:rPr>
                <w:rFonts w:ascii="Times New Roman" w:cs="Times New Roman" w:eastAsia="Times New Roman" w:hAnsi="Times New Roman"/>
                <w:sz w:val="18"/>
                <w:szCs w:val="18"/>
                <w:color w:val="auto"/>
              </w:rPr>
              <w:t>​134,388</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​$2,866,014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Claire Poll</w:t>
            </w:r>
          </w:p>
        </w:tc>
        <w:tc>
          <w:tcPr>
            <w:tcW w:w="1480" w:type="dxa"/>
            <w:vAlign w:val="bottom"/>
            <w:gridSpan w:val="2"/>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​105,511</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​$1,503,462</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8"/>
                <w:szCs w:val="18"/>
                <w:color w:val="auto"/>
              </w:rPr>
              <w:t>​126,261</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​$2,712,871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5266055</wp:posOffset>
            </wp:positionH>
            <wp:positionV relativeFrom="paragraph">
              <wp:posOffset>-831215</wp:posOffset>
            </wp:positionV>
            <wp:extent cx="13716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4220210</wp:posOffset>
            </wp:positionH>
            <wp:positionV relativeFrom="paragraph">
              <wp:posOffset>-831215</wp:posOffset>
            </wp:positionV>
            <wp:extent cx="1371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3388995</wp:posOffset>
            </wp:positionH>
            <wp:positionV relativeFrom="paragraph">
              <wp:posOffset>-831215</wp:posOffset>
            </wp:positionV>
            <wp:extent cx="1371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2299970</wp:posOffset>
            </wp:positionH>
            <wp:positionV relativeFrom="paragraph">
              <wp:posOffset>-831215</wp:posOffset>
            </wp:positionV>
            <wp:extent cx="13716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620" w:right="639" w:hanging="360"/>
        <w:spacing w:after="0" w:line="282"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calculated by multiplying the number of shares as to which the option was exercised by the market price of the shares on the exercise date, net of the exercise price.</w:t>
      </w:r>
    </w:p>
    <w:p>
      <w:pPr>
        <w:spacing w:after="0" w:line="13" w:lineRule="exact"/>
        <w:rPr>
          <w:rFonts w:ascii="Times New Roman" w:cs="Times New Roman" w:eastAsia="Times New Roman" w:hAnsi="Times New Roman"/>
          <w:sz w:val="18"/>
          <w:szCs w:val="18"/>
          <w:color w:val="auto"/>
        </w:rPr>
      </w:pPr>
    </w:p>
    <w:p>
      <w:pPr>
        <w:ind w:left="1620" w:right="659" w:hanging="360"/>
        <w:spacing w:after="0" w:line="282"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calculated by multiplying the number of shares vested by our closing share price on the vesting date.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48"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Each of our current named executive officers has entered into an offer letter or employment agreement, the material terms of which are described below.</w:t>
      </w:r>
    </w:p>
    <w:p>
      <w:pPr>
        <w:spacing w:after="0" w:line="1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David S. Zaccardelli, Pharm.D.</w:t>
      </w:r>
    </w:p>
    <w:p>
      <w:pPr>
        <w:spacing w:after="0" w:line="160"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We entered into an employment agreement with Dr. Zaccardelli pursuant to which he commenced employment with us on February 1, 2020. This agreement entitles Dr. Zaccardelli to receive an annual base salary initially equal to $750,000 (which has been subsequently increased, as described above) and a target annual bonus opportunity of 50% of his annual base salary.</w:t>
      </w:r>
    </w:p>
    <w:p>
      <w:pPr>
        <w:spacing w:after="0" w:line="110"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If Dr. Zaccardelli’s employment is terminated by us without “Cause” or by Dr. Zaccardelli for “Good Reason” (as​ each such term is defined in his employment agreement), then, subject to his signing and not</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47" w:lineRule="auto"/>
        <w:rPr>
          <w:sz w:val="20"/>
          <w:szCs w:val="20"/>
          <w:color w:val="auto"/>
        </w:rPr>
      </w:pPr>
      <w:r>
        <w:rPr>
          <w:rFonts w:ascii="Times New Roman" w:cs="Times New Roman" w:eastAsia="Times New Roman" w:hAnsi="Times New Roman"/>
          <w:sz w:val="18"/>
          <w:szCs w:val="18"/>
          <w:color w:val="auto"/>
        </w:rPr>
        <w:t>revoking a general release of claims, he is entitled to receive (i) 12 months of base salary continuation and continued payment of premiums for continued medical coverage under COBRA, (ii) an amount equal to 100% of Dr. Zaccardelli’s full annual discretionary bonus, calculated as though all applicable objectives have been achieved for the year of termination, (iii) payment of all accrued and unused paid time-off, and</w:t>
      </w:r>
    </w:p>
    <w:p>
      <w:pPr>
        <w:spacing w:after="0" w:line="3" w:lineRule="exact"/>
        <w:rPr>
          <w:sz w:val="20"/>
          <w:szCs w:val="20"/>
          <w:color w:val="auto"/>
        </w:rPr>
      </w:pPr>
    </w:p>
    <w:p>
      <w:pPr>
        <w:ind w:left="1260" w:right="719"/>
        <w:spacing w:after="0" w:line="245" w:lineRule="auto"/>
        <w:tabs>
          <w:tab w:leader="none" w:pos="158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accelerated vesting of any outstanding, unvested equity awards under our share and share option schemes (with any performance-vesting awards become vested based on target level attainment).</w:t>
      </w:r>
    </w:p>
    <w:p>
      <w:pPr>
        <w:spacing w:after="0" w:line="113" w:lineRule="exact"/>
        <w:rPr>
          <w:sz w:val="20"/>
          <w:szCs w:val="20"/>
          <w:color w:val="auto"/>
        </w:rPr>
      </w:pPr>
    </w:p>
    <w:p>
      <w:pPr>
        <w:ind w:left="1260" w:right="1059" w:firstLine="360"/>
        <w:spacing w:after="0" w:line="266" w:lineRule="auto"/>
        <w:rPr>
          <w:sz w:val="20"/>
          <w:szCs w:val="20"/>
          <w:color w:val="auto"/>
        </w:rPr>
      </w:pPr>
      <w:r>
        <w:rPr>
          <w:rFonts w:ascii="Times New Roman" w:cs="Times New Roman" w:eastAsia="Times New Roman" w:hAnsi="Times New Roman"/>
          <w:sz w:val="18"/>
          <w:szCs w:val="18"/>
          <w:color w:val="auto"/>
        </w:rPr>
        <w:t>Dr. Zaccardelli has also agreed to refrain from competing with us or soliciting our customers or prospective customers for a period of one year following his termination of employment.</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Mark W. Hahn</w:t>
      </w:r>
    </w:p>
    <w:p>
      <w:pPr>
        <w:spacing w:after="0" w:line="146" w:lineRule="exact"/>
        <w:rPr>
          <w:sz w:val="20"/>
          <w:szCs w:val="20"/>
          <w:color w:val="auto"/>
        </w:rPr>
      </w:pPr>
    </w:p>
    <w:p>
      <w:pPr>
        <w:ind w:left="1260" w:right="879" w:firstLine="360"/>
        <w:spacing w:after="0" w:line="254" w:lineRule="auto"/>
        <w:rPr>
          <w:sz w:val="20"/>
          <w:szCs w:val="20"/>
          <w:color w:val="auto"/>
        </w:rPr>
      </w:pPr>
      <w:r>
        <w:rPr>
          <w:rFonts w:ascii="Times New Roman" w:cs="Times New Roman" w:eastAsia="Times New Roman" w:hAnsi="Times New Roman"/>
          <w:sz w:val="18"/>
          <w:szCs w:val="18"/>
          <w:color w:val="auto"/>
        </w:rPr>
        <w:t>We entered into an employment agreement with Mr. Hahn pursuant to which he commenced employment with us on February 1, 2020 and has served as our Chief Financial Officer since March 1,</w:t>
      </w:r>
    </w:p>
    <w:p>
      <w:pPr>
        <w:ind w:left="1260" w:right="459"/>
        <w:spacing w:after="0"/>
        <w:rPr>
          <w:sz w:val="20"/>
          <w:szCs w:val="20"/>
          <w:color w:val="auto"/>
        </w:rPr>
      </w:pPr>
      <w:r>
        <w:rPr>
          <w:rFonts w:ascii="Times New Roman" w:cs="Times New Roman" w:eastAsia="Times New Roman" w:hAnsi="Times New Roman"/>
          <w:sz w:val="18"/>
          <w:szCs w:val="18"/>
          <w:color w:val="auto"/>
        </w:rPr>
        <w:t>2020. This agreement entitles Mr. Hahn to receive an initial annual base salary of $500,000 (which has been subsequently increased, as described above) and a target annual bonus opportunity of 50% of his annual base salary. If Mr. Hahn’s employment is terminated by us without “Cause” or by Mr. Hahn for “Good Reason” (as​ each such term is defined in his employment agreement), then, subject to his signing and not revoking a general release of claims, he is entitled to receive the same severance payments and benefits that Dr. Zaccardelli is entitled to receive, as described above. Mr. Hahn has also agreed to refrain from competing with us or soliciting our customers or prospective customers for a period of one year following his termination of employment.</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Andrew Fisher</w:t>
      </w:r>
    </w:p>
    <w:p>
      <w:pPr>
        <w:spacing w:after="0" w:line="146"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entered into an offer letter with Mr. Fisher on March 1, 2024, pursuant to which he agreed to serve as our General Counsel, effective March 4, 2024. This agreement entitles Mr. Fisher to receive an annual base salary (initially equal to $425,000, which has been subsequently increased, as described above) and a target annual bonus opportunity of 40% of his annual base salary, with the amount of any such bonus based on performance criteria for our company and his individual performance, as determined by the Board of Directors in its sole discretion. Mr. Fisher’s annual bonus for 2024 was pro-rated based on his partial year of employment. Mr. Fisher was also entitled to receive an option award, as described above under “</w:t>
      </w:r>
      <w:r>
        <w:rPr>
          <w:rFonts w:ascii="Times New Roman" w:cs="Times New Roman" w:eastAsia="Times New Roman" w:hAnsi="Times New Roman"/>
          <w:sz w:val="18"/>
          <w:szCs w:val="18"/>
          <w:i w:val="1"/>
          <w:iCs w:val="1"/>
          <w:color w:val="auto"/>
        </w:rPr>
        <w:t>Elements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 Equity-Based Long-Term Incentive Awards</w:t>
      </w:r>
      <w:r>
        <w:rPr>
          <w:rFonts w:ascii="Times New Roman" w:cs="Times New Roman" w:eastAsia="Times New Roman" w:hAnsi="Times New Roman"/>
          <w:sz w:val="18"/>
          <w:szCs w:val="18"/>
          <w:color w:val="auto"/>
        </w:rPr>
        <w:t>” in the CD&amp;A above.</w:t>
      </w:r>
    </w:p>
    <w:p>
      <w:pPr>
        <w:spacing w:after="0" w:line="119"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If Mr. Fisher’s employment is terminated by us without “Cause” or by Mr. Fisher for “Good Reason” (as each such term is defined in his offer letter), then, subject to his signing and not revoking a general release of claims, he is entitled to receive (i) twelve months of base salary continuation, (ii) twelve months of continued payment of premiums for continued medical coverage under COBRA, and (iii) a pro-rated portion of the annual bonus that he otherwise would have earned in the year of termination based on actual performance in such year.</w:t>
      </w:r>
    </w:p>
    <w:p>
      <w:pPr>
        <w:spacing w:after="0" w:line="112"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Mr. Fisher is also entitled to participate in the Verona Pharma plc Employee Change in Control Severance Benefit Plan (the “Severance Plan”). Under the Severance Plan, if, upon or within 12 months following a change in control, we terminate the employment of Mr. Fisher without Cause (as defined in the Severance Plan) or if Mr. Fisher resigns voluntarily under the terms of a voluntary reduction in force program established by the administrator of the Severance Plan pursuant to which the participant is eligible to resign and receive benefits under the Severance Plan, then Mr. Fisher will be entitled to receive (i) base salary and medical benefit continuation for a period (the “Severance Period”) of twelve months, (ii) a pro-rated target cash bonus for the year of termination, (iii) relocation benefits paid to Mr. Fisher in connection with any relocation that occurred within 12 months prior to the change in control and (iv) outplacement services until the end of the Severance Period (or, if earlier, until the acceptance of an offer of full-time employment from a subsequent employer).</w:t>
      </w:r>
    </w:p>
    <w:p>
      <w:pPr>
        <w:spacing w:after="0" w:line="200" w:lineRule="exact"/>
        <w:rPr>
          <w:sz w:val="20"/>
          <w:szCs w:val="20"/>
          <w:color w:val="auto"/>
        </w:rPr>
      </w:pP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Kathleen Rickard, M.D.</w:t>
      </w:r>
    </w:p>
    <w:p>
      <w:pPr>
        <w:spacing w:after="0" w:line="146"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We entered into an offer letter with Dr. Rickard on December 13, 2018, pursuant to which she agreed to serve as our Chief Medical Officer, effective February 1, 2019. This agreement entitles Dr. Rickard to receive an annual base salary (as described above) and a target annual bonus opportunity of 40% of her</w:t>
      </w: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82" w:lineRule="auto"/>
        <w:rPr>
          <w:sz w:val="20"/>
          <w:szCs w:val="20"/>
          <w:color w:val="auto"/>
        </w:rPr>
      </w:pPr>
      <w:r>
        <w:rPr>
          <w:rFonts w:ascii="Times New Roman" w:cs="Times New Roman" w:eastAsia="Times New Roman" w:hAnsi="Times New Roman"/>
          <w:sz w:val="18"/>
          <w:szCs w:val="18"/>
          <w:color w:val="auto"/>
        </w:rPr>
        <w:t>annual base salary, with the amount of any such bonus based on performance criteria for our company and her individual performance, as determined by the Board of Directors in its sole discretion.</w:t>
      </w:r>
    </w:p>
    <w:p>
      <w:pPr>
        <w:spacing w:after="0" w:line="94"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If Dr. Rickard’s employment is terminated by us without “Cause” or by Dr. Rickard for “Good Reason” (as​ each such term is defined in her offer agreement), then, subject to her signing and not revoking a general release of claims, she is entitled to receive (i) four weeks of base salary continuation, (ii) four weeks of continued payment of premiums for continued medical coverage under COBRA, and (iii) a pro-rated portion of the annual bonus that she otherwise would have earned in the year of termination based on actual performance in such year.</w:t>
      </w:r>
    </w:p>
    <w:p>
      <w:pPr>
        <w:spacing w:after="0" w:line="336"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Dr. Rickard is also entitled to participate in the Severance Plan. Under the Severance Plan, if, upon or within 12 months following a change in control, we terminate the employment of Dr. Rickard without Cause (as defined in the Severance Plan) or if Dr. Rickard resigns voluntarily under the terms of a voluntary reduction in force program established by the administrator of the Severance Plan pursuant to which the participant is eligible to resign and receive benefits under the Severance Plan, then Dr. Rickard will be entitled to receive (i) base salary and medical benefit continuation for the Severance Period, (ii) a pro-rated target cash bonus for the year of termination, (iii) relocation benefits paid to Dr. Rickard in connection with any relocation that occurred within 12 months prior to the change in control and (iv) outplacement services until the end of the Severance Period (or, if earlier, until the acceptance of an offer of full-time employment from a subsequent employer).</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Claire Poll</w:t>
      </w:r>
    </w:p>
    <w:p>
      <w:pPr>
        <w:spacing w:after="0" w:line="146"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Ms. Poll’s employment with us ended effective November 2, 2024. Upon her retirement, Ms. Poll received her accrued base salary and accrued, vested benefits, but did not receive any severance payments or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Estimated Potential Payments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summarizes the payments that would be made to our NEOs upon the occurrence of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certain qualifying terminations of employment or a change in control, in any case, occurring 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2024. Ms. Poll’s employment with us ended effective November 2, 2024 and is consequently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not included in the table below. Amounts shown do not include (i) accrued but unpaid base salary through</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date of termination or (ii) other benefits earned or accrued by the NEO during their employment that are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available to all salaried employees, such as accrued vacation. Amounts shown are the maximum potential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the NEO would have received as of December 31, 2024. Amounts of any reduction pursuant to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280G best pay provision, if any, would be calculated upon actual termination of employment.</w:t>
      </w:r>
    </w:p>
    <w:p>
      <w:pPr>
        <w:sectPr>
          <w:pgSz w:w="11900" w:h="16838" w:orient="portrait"/>
          <w:cols w:equalWidth="0" w:num="1">
            <w:col w:w="9879"/>
          </w:cols>
          <w:pgMar w:left="580" w:top="97" w:right="1440" w:bottom="1440" w:gutter="0" w:footer="0" w:header="0"/>
        </w:sectPr>
      </w:pPr>
    </w:p>
    <w:p>
      <w:pPr>
        <w:spacing w:after="0" w:line="322" w:lineRule="exact"/>
        <w:rPr>
          <w:sz w:val="20"/>
          <w:szCs w:val="20"/>
          <w:color w:val="auto"/>
        </w:rPr>
      </w:pPr>
    </w:p>
    <w:p>
      <w:pPr>
        <w:jc w:val="center"/>
        <w:ind w:left="4420"/>
        <w:spacing w:after="0"/>
        <w:rPr>
          <w:sz w:val="20"/>
          <w:szCs w:val="20"/>
          <w:color w:val="auto"/>
        </w:rPr>
      </w:pPr>
      <w:r>
        <w:rPr>
          <w:rFonts w:ascii="Times New Roman" w:cs="Times New Roman" w:eastAsia="Times New Roman" w:hAnsi="Times New Roman"/>
          <w:sz w:val="13"/>
          <w:szCs w:val="13"/>
          <w:b w:val="1"/>
          <w:bCs w:val="1"/>
          <w:color w:val="auto"/>
        </w:rPr>
        <w:t>Termination Without Cause or</w:t>
      </w:r>
    </w:p>
    <w:p>
      <w:pPr>
        <w:spacing w:after="0" w:line="31" w:lineRule="exact"/>
        <w:rPr>
          <w:sz w:val="20"/>
          <w:szCs w:val="20"/>
          <w:color w:val="auto"/>
        </w:rPr>
      </w:pPr>
    </w:p>
    <w:p>
      <w:pPr>
        <w:jc w:val="center"/>
        <w:ind w:left="4420"/>
        <w:spacing w:after="0"/>
        <w:rPr>
          <w:sz w:val="20"/>
          <w:szCs w:val="20"/>
          <w:color w:val="auto"/>
        </w:rPr>
      </w:pPr>
      <w:r>
        <w:rPr>
          <w:rFonts w:ascii="Times New Roman" w:cs="Times New Roman" w:eastAsia="Times New Roman" w:hAnsi="Times New Roman"/>
          <w:sz w:val="14"/>
          <w:szCs w:val="14"/>
          <w:b w:val="1"/>
          <w:bCs w:val="1"/>
          <w:color w:val="auto"/>
        </w:rPr>
        <w:t>for Good Reason/Cause (no</w:t>
      </w:r>
    </w:p>
    <w:p>
      <w:pPr>
        <w:ind w:left="1260"/>
        <w:spacing w:after="0"/>
        <w:tabs>
          <w:tab w:leader="none" w:pos="2580" w:val="left"/>
          <w:tab w:leader="none" w:pos="3280" w:val="left"/>
          <w:tab w:leader="none" w:pos="4340" w:val="left"/>
          <w:tab w:leader="none" w:pos="4760" w:val="left"/>
        </w:tabs>
        <w:rPr>
          <w:sz w:val="20"/>
          <w:szCs w:val="20"/>
          <w:color w:val="auto"/>
        </w:rPr>
      </w:pPr>
      <w:r>
        <w:rPr>
          <w:rFonts w:ascii="Times New Roman" w:cs="Times New Roman" w:eastAsia="Times New Roman" w:hAnsi="Times New Roman"/>
          <w:sz w:val="12"/>
          <w:szCs w:val="12"/>
          <w:b w:val="1"/>
          <w:bCs w:val="1"/>
          <w:color w:val="auto"/>
        </w:rPr>
        <w:t>Name</w:t>
      </w:r>
      <w:r>
        <w:rPr>
          <w:sz w:val="20"/>
          <w:szCs w:val="20"/>
          <w:color w:val="auto"/>
        </w:rPr>
        <w:tab/>
      </w:r>
      <w:r>
        <w:rPr>
          <w:rFonts w:ascii="Times New Roman" w:cs="Times New Roman" w:eastAsia="Times New Roman" w:hAnsi="Times New Roman"/>
          <w:sz w:val="22"/>
          <w:szCs w:val="22"/>
          <w:b w:val="1"/>
          <w:bCs w:val="1"/>
          <w:color w:val="auto"/>
          <w:vertAlign w:val="subscript"/>
        </w:rPr>
        <w:t>​​</w:t>
      </w:r>
      <w:r>
        <w:rPr>
          <w:sz w:val="20"/>
          <w:szCs w:val="20"/>
          <w:color w:val="auto"/>
        </w:rPr>
        <w:tab/>
      </w:r>
      <w:r>
        <w:rPr>
          <w:rFonts w:ascii="Times New Roman" w:cs="Times New Roman" w:eastAsia="Times New Roman" w:hAnsi="Times New Roman"/>
          <w:sz w:val="14"/>
          <w:szCs w:val="14"/>
          <w:b w:val="1"/>
          <w:bCs w:val="1"/>
          <w:color w:val="auto"/>
        </w:rPr>
        <w:t>Benefit</w:t>
      </w:r>
      <w:r>
        <w:rPr>
          <w:sz w:val="20"/>
          <w:szCs w:val="20"/>
          <w:color w:val="auto"/>
        </w:rPr>
        <w:tab/>
      </w:r>
      <w:r>
        <w:rPr>
          <w:rFonts w:ascii="Times New Roman" w:cs="Times New Roman" w:eastAsia="Times New Roman" w:hAnsi="Times New Roman"/>
          <w:sz w:val="22"/>
          <w:szCs w:val="22"/>
          <w:b w:val="1"/>
          <w:bCs w:val="1"/>
          <w:color w:val="auto"/>
          <w:vertAlign w:val="subscript"/>
        </w:rPr>
        <w:t>​​</w:t>
      </w:r>
      <w:r>
        <w:rPr>
          <w:sz w:val="20"/>
          <w:szCs w:val="20"/>
          <w:color w:val="auto"/>
        </w:rPr>
        <w:tab/>
      </w:r>
      <w:r>
        <w:rPr>
          <w:rFonts w:ascii="Times New Roman" w:cs="Times New Roman" w:eastAsia="Times New Roman" w:hAnsi="Times New Roman"/>
          <w:sz w:val="13"/>
          <w:szCs w:val="13"/>
          <w:b w:val="1"/>
          <w:bCs w:val="1"/>
          <w:color w:val="auto"/>
        </w:rPr>
        <w:t>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wp:posOffset>
            </wp:positionV>
            <wp:extent cx="5212080" cy="7200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212080" cy="7200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190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8"/>
              </w:rPr>
              <w:t>Termination Without Cause or</w:t>
            </w:r>
          </w:p>
        </w:tc>
      </w:tr>
      <w:tr>
        <w:trPr>
          <w:trHeight w:val="162"/>
        </w:trPr>
        <w:tc>
          <w:tcPr>
            <w:tcW w:w="116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Good Reason/Cause</w:t>
            </w:r>
          </w:p>
        </w:tc>
      </w:tr>
      <w:tr>
        <w:trPr>
          <w:trHeight w:val="162"/>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Change in Control</w:t>
            </w:r>
          </w:p>
        </w:tc>
        <w:tc>
          <w:tcPr>
            <w:tcW w:w="190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8"/>
              </w:rPr>
              <w:t>in Connection with a</w:t>
            </w:r>
          </w:p>
        </w:tc>
      </w:tr>
      <w:tr>
        <w:trPr>
          <w:trHeight w:val="190"/>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 Termination)</w:t>
            </w:r>
          </w:p>
        </w:tc>
        <w:tc>
          <w:tcPr>
            <w:tcW w:w="190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8"/>
              </w:rPr>
              <w:t>Change in Control</w:t>
            </w:r>
          </w:p>
        </w:tc>
      </w:tr>
    </w:tbl>
    <w:p>
      <w:pPr>
        <w:spacing w:after="0" w:line="23" w:lineRule="exact"/>
        <w:rPr>
          <w:sz w:val="20"/>
          <w:szCs w:val="20"/>
          <w:color w:val="auto"/>
        </w:rPr>
      </w:pPr>
    </w:p>
    <w:p>
      <w:pPr>
        <w:sectPr>
          <w:pgSz w:w="11900" w:h="16838" w:orient="portrait"/>
          <w:cols w:equalWidth="0" w:num="2">
            <w:col w:w="6240" w:space="140"/>
            <w:col w:w="3499"/>
          </w:cols>
          <w:pgMar w:left="580" w:top="97" w:right="1440" w:bottom="1440" w:gutter="0" w:footer="0" w:header="0"/>
          <w:type w:val="continuous"/>
        </w:sectPr>
      </w:pPr>
    </w:p>
    <w:p>
      <w:pPr>
        <w:spacing w:after="0" w:line="20" w:lineRule="exact"/>
        <w:rPr>
          <w:sz w:val="20"/>
          <w:szCs w:val="20"/>
          <w:color w:val="auto"/>
        </w:rPr>
      </w:pPr>
    </w:p>
    <w:tbl>
      <w:tblPr>
        <w:tblLayout w:type="fixed"/>
        <w:tblInd w:w="1260" w:type="dxa"/>
        <w:tblCellMar>
          <w:top w:w="0" w:type="dxa"/>
          <w:left w:w="0" w:type="dxa"/>
          <w:bottom w:w="0" w:type="dxa"/>
          <w:right w:w="0" w:type="dxa"/>
        </w:tblCellMar>
      </w:tblPr>
      <w:tr>
        <w:trPr>
          <w:trHeight w:val="20"/>
        </w:trPr>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080" w:type="dxa"/>
            <w:vAlign w:val="bottom"/>
            <w:gridSpan w:val="3"/>
          </w:tcPr>
          <w:p>
            <w:pPr>
              <w:spacing w:after="0" w:line="239" w:lineRule="exact"/>
              <w:rPr>
                <w:sz w:val="20"/>
                <w:szCs w:val="20"/>
                <w:color w:val="auto"/>
              </w:rPr>
            </w:pPr>
            <w:r>
              <w:rPr>
                <w:rFonts w:ascii="Times New Roman" w:cs="Times New Roman" w:eastAsia="Times New Roman" w:hAnsi="Times New Roman"/>
                <w:sz w:val="15"/>
                <w:szCs w:val="15"/>
                <w:b w:val="1"/>
                <w:bCs w:val="1"/>
                <w:color w:val="auto"/>
              </w:rPr>
              <w:t xml:space="preserve">David Zaccardelli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Cash</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1320" w:type="dxa"/>
            <w:vAlign w:val="bottom"/>
          </w:tcPr>
          <w:p>
            <w:pPr>
              <w:spacing w:after="0"/>
              <w:rPr>
                <w:sz w:val="24"/>
                <w:szCs w:val="24"/>
                <w:color w:val="auto"/>
              </w:rPr>
            </w:pPr>
          </w:p>
        </w:tc>
        <w:tc>
          <w:tcPr>
            <w:tcW w:w="1760" w:type="dxa"/>
            <w:vAlign w:val="bottom"/>
            <w:gridSpan w:val="2"/>
          </w:tcPr>
          <w:p>
            <w:pPr>
              <w:ind w:left="60"/>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Equity Acceleration</w:t>
            </w:r>
            <w:r>
              <w:rPr>
                <w:rFonts w:ascii="Times New Roman" w:cs="Times New Roman" w:eastAsia="Times New Roman" w:hAnsi="Times New Roman"/>
                <w:sz w:val="21"/>
                <w:szCs w:val="21"/>
                <w:color w:val="auto"/>
                <w:vertAlign w:val="superscript"/>
              </w:rPr>
              <w:t>(1)</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
        </w:trPr>
        <w:tc>
          <w:tcPr>
            <w:tcW w:w="1320" w:type="dxa"/>
            <w:vAlign w:val="bottom"/>
          </w:tcPr>
          <w:p>
            <w:pPr>
              <w:spacing w:after="0"/>
              <w:rPr>
                <w:sz w:val="2"/>
                <w:szCs w:val="2"/>
                <w:color w:val="auto"/>
              </w:rPr>
            </w:pPr>
          </w:p>
        </w:tc>
        <w:tc>
          <w:tcPr>
            <w:tcW w:w="1760" w:type="dxa"/>
            <w:vAlign w:val="bottom"/>
            <w:gridSpan w:val="2"/>
            <w:vMerge w:val="restart"/>
          </w:tcPr>
          <w:p>
            <w:pPr>
              <w:ind w:left="6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Continued Healthcare</w:t>
            </w:r>
          </w:p>
        </w:tc>
        <w:tc>
          <w:tcPr>
            <w:tcW w:w="40" w:type="dxa"/>
            <w:vAlign w:val="bottom"/>
          </w:tcPr>
          <w:p>
            <w:pPr>
              <w:spacing w:after="0"/>
              <w:rPr>
                <w:sz w:val="2"/>
                <w:szCs w:val="2"/>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38"/>
        </w:trPr>
        <w:tc>
          <w:tcPr>
            <w:tcW w:w="1320" w:type="dxa"/>
            <w:vAlign w:val="bottom"/>
          </w:tcPr>
          <w:p>
            <w:pPr>
              <w:spacing w:after="0"/>
              <w:rPr>
                <w:sz w:val="20"/>
                <w:szCs w:val="20"/>
                <w:color w:val="auto"/>
              </w:rPr>
            </w:pPr>
          </w:p>
        </w:tc>
        <w:tc>
          <w:tcPr>
            <w:tcW w:w="1760" w:type="dxa"/>
            <w:vAlign w:val="bottom"/>
            <w:gridSpan w:val="2"/>
            <w:vMerge w:val="continue"/>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1320" w:type="dxa"/>
            <w:vAlign w:val="bottom"/>
          </w:tcPr>
          <w:p>
            <w:pPr>
              <w:spacing w:after="0"/>
              <w:rPr>
                <w:sz w:val="24"/>
                <w:szCs w:val="24"/>
                <w:color w:val="auto"/>
              </w:rPr>
            </w:pPr>
          </w:p>
        </w:tc>
        <w:tc>
          <w:tcPr>
            <w:tcW w:w="1760" w:type="dxa"/>
            <w:vAlign w:val="bottom"/>
            <w:gridSpan w:val="2"/>
          </w:tcPr>
          <w:p>
            <w:pPr>
              <w:ind w:left="6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b w:val="1"/>
                <w:bCs w:val="1"/>
                <w:color w:val="auto"/>
              </w:rPr>
              <w:t>Total</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1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Mark W. Hahn</w:t>
            </w:r>
          </w:p>
        </w:tc>
        <w:tc>
          <w:tcPr>
            <w:tcW w:w="1760" w:type="dxa"/>
            <w:vAlign w:val="bottom"/>
            <w:gridSpan w:val="2"/>
          </w:tcPr>
          <w:p>
            <w:pPr>
              <w:ind w:left="20"/>
              <w:spacing w:after="0" w:line="265"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Cash</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1320" w:type="dxa"/>
            <w:vAlign w:val="bottom"/>
          </w:tcPr>
          <w:p>
            <w:pPr>
              <w:spacing w:after="0"/>
              <w:rPr>
                <w:sz w:val="24"/>
                <w:szCs w:val="24"/>
                <w:color w:val="auto"/>
              </w:rPr>
            </w:pPr>
          </w:p>
        </w:tc>
        <w:tc>
          <w:tcPr>
            <w:tcW w:w="1860" w:type="dxa"/>
            <w:vAlign w:val="bottom"/>
            <w:gridSpan w:val="4"/>
          </w:tcPr>
          <w:p>
            <w:pPr>
              <w:ind w:left="60"/>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Equity Acceleration</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0" w:type="dxa"/>
            <w:vAlign w:val="bottom"/>
          </w:tcPr>
          <w:p>
            <w:pPr>
              <w:spacing w:after="0"/>
              <w:rPr>
                <w:sz w:val="1"/>
                <w:szCs w:val="1"/>
                <w:color w:val="auto"/>
              </w:rPr>
            </w:pPr>
          </w:p>
        </w:tc>
      </w:tr>
      <w:tr>
        <w:trPr>
          <w:trHeight w:val="270"/>
        </w:trPr>
        <w:tc>
          <w:tcPr>
            <w:tcW w:w="1320" w:type="dxa"/>
            <w:vAlign w:val="bottom"/>
          </w:tcPr>
          <w:p>
            <w:pPr>
              <w:spacing w:after="0"/>
              <w:rPr>
                <w:sz w:val="23"/>
                <w:szCs w:val="23"/>
                <w:color w:val="auto"/>
              </w:rPr>
            </w:pPr>
          </w:p>
        </w:tc>
        <w:tc>
          <w:tcPr>
            <w:tcW w:w="1860" w:type="dxa"/>
            <w:vAlign w:val="bottom"/>
            <w:gridSpan w:val="4"/>
          </w:tcPr>
          <w:p>
            <w:pPr>
              <w:ind w:left="6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Continued Healthcare </w:t>
            </w:r>
            <w:r>
              <w:rPr>
                <w:rFonts w:ascii="Times New Roman" w:cs="Times New Roman" w:eastAsia="Times New Roman" w:hAnsi="Times New Roman"/>
                <w:sz w:val="31"/>
                <w:szCs w:val="31"/>
                <w:color w:val="auto"/>
                <w:vertAlign w:val="superscript"/>
              </w:rPr>
              <w:t>​​</w:t>
            </w:r>
          </w:p>
        </w:tc>
        <w:tc>
          <w:tcPr>
            <w:tcW w:w="0" w:type="dxa"/>
            <w:vAlign w:val="bottom"/>
          </w:tcPr>
          <w:p>
            <w:pPr>
              <w:spacing w:after="0"/>
              <w:rPr>
                <w:sz w:val="1"/>
                <w:szCs w:val="1"/>
                <w:color w:val="auto"/>
              </w:rPr>
            </w:pPr>
          </w:p>
        </w:tc>
      </w:tr>
      <w:tr>
        <w:trPr>
          <w:trHeight w:val="270"/>
        </w:trPr>
        <w:tc>
          <w:tcPr>
            <w:tcW w:w="1320" w:type="dxa"/>
            <w:vAlign w:val="bottom"/>
          </w:tcPr>
          <w:p>
            <w:pPr>
              <w:spacing w:after="0"/>
              <w:rPr>
                <w:sz w:val="23"/>
                <w:szCs w:val="23"/>
                <w:color w:val="auto"/>
              </w:rPr>
            </w:pPr>
          </w:p>
        </w:tc>
        <w:tc>
          <w:tcPr>
            <w:tcW w:w="1760" w:type="dxa"/>
            <w:vAlign w:val="bottom"/>
            <w:gridSpan w:val="2"/>
          </w:tcPr>
          <w:p>
            <w:pPr>
              <w:ind w:left="6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b w:val="1"/>
                <w:bCs w:val="1"/>
                <w:color w:val="auto"/>
              </w:rPr>
              <w:t>Total</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7"/>
        </w:trPr>
        <w:tc>
          <w:tcPr>
            <w:tcW w:w="1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Andrew Fisher</w:t>
            </w:r>
          </w:p>
        </w:tc>
        <w:tc>
          <w:tcPr>
            <w:tcW w:w="1760" w:type="dxa"/>
            <w:vAlign w:val="bottom"/>
            <w:gridSpan w:val="2"/>
          </w:tcPr>
          <w:p>
            <w:pPr>
              <w:ind w:left="20"/>
              <w:spacing w:after="0" w:line="317"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Cash</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ind w:left="2640"/>
        <w:spacing w:after="0" w:line="201" w:lineRule="auto"/>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Equity Acceleration</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color w:val="auto"/>
          <w:vertAlign w:val="superscript"/>
        </w:rPr>
        <w:t>​​</w:t>
      </w:r>
    </w:p>
    <w:p>
      <w:pPr>
        <w:ind w:left="2640"/>
        <w:spacing w:after="0" w:line="180" w:lineRule="auto"/>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 xml:space="preserve">Continued Healthcare </w:t>
      </w:r>
      <w:r>
        <w:rPr>
          <w:rFonts w:ascii="Times New Roman" w:cs="Times New Roman" w:eastAsia="Times New Roman" w:hAnsi="Times New Roman"/>
          <w:sz w:val="25"/>
          <w:szCs w:val="25"/>
          <w:color w:val="auto"/>
          <w:vertAlign w:val="superscript"/>
        </w:rPr>
        <w:t>​​</w:t>
      </w:r>
    </w:p>
    <w:p>
      <w:pPr>
        <w:jc w:val="right"/>
        <w:spacing w:after="0" w:line="182" w:lineRule="auto"/>
        <w:tabs>
          <w:tab w:leader="none" w:pos="60" w:val="left"/>
        </w:tabs>
        <w:rPr>
          <w:sz w:val="20"/>
          <w:szCs w:val="20"/>
          <w:color w:val="auto"/>
        </w:rPr>
      </w:pPr>
      <w:r>
        <w:rPr>
          <w:rFonts w:ascii="Times New Roman" w:cs="Times New Roman" w:eastAsia="Times New Roman" w:hAnsi="Times New Roman"/>
          <w:sz w:val="31"/>
          <w:szCs w:val="31"/>
          <w:b w:val="1"/>
          <w:bCs w:val="1"/>
          <w:color w:val="auto"/>
          <w:vertAlign w:val="superscript"/>
        </w:rPr>
        <w:t>​</w:t>
      </w:r>
      <w:r>
        <w:rPr>
          <w:rFonts w:ascii="Times New Roman" w:cs="Times New Roman" w:eastAsia="Times New Roman" w:hAnsi="Times New Roman"/>
          <w:sz w:val="17"/>
          <w:szCs w:val="17"/>
          <w:b w:val="1"/>
          <w:bCs w:val="1"/>
          <w:color w:val="auto"/>
        </w:rPr>
        <w:t>Total</w:t>
      </w:r>
      <w:r>
        <w:rPr>
          <w:sz w:val="20"/>
          <w:szCs w:val="20"/>
          <w:color w:val="auto"/>
        </w:rPr>
        <w:tab/>
      </w:r>
      <w:r>
        <w:rPr>
          <w:rFonts w:ascii="Times New Roman" w:cs="Times New Roman" w:eastAsia="Times New Roman" w:hAnsi="Times New Roman"/>
          <w:sz w:val="31"/>
          <w:szCs w:val="31"/>
          <w:b w:val="1"/>
          <w:bCs w:val="1"/>
          <w:color w:val="auto"/>
          <w:vertAlign w:val="superscript"/>
        </w:rPr>
        <w:t>​​</w:t>
      </w:r>
    </w:p>
    <w:p>
      <w:pPr>
        <w:jc w:val="right"/>
        <w:ind w:left="1260"/>
        <w:spacing w:after="0" w:line="183" w:lineRule="auto"/>
        <w:rPr>
          <w:sz w:val="20"/>
          <w:szCs w:val="20"/>
          <w:color w:val="auto"/>
        </w:rPr>
      </w:pPr>
      <w:r>
        <w:rPr>
          <w:rFonts w:ascii="Times New Roman" w:cs="Times New Roman" w:eastAsia="Times New Roman" w:hAnsi="Times New Roman"/>
          <w:sz w:val="17"/>
          <w:szCs w:val="17"/>
          <w:b w:val="1"/>
          <w:bCs w:val="1"/>
          <w:color w:val="auto"/>
        </w:rPr>
        <w:t xml:space="preserve">Kathleen Rickard </w:t>
      </w:r>
      <w:r>
        <w:rPr>
          <w:rFonts w:ascii="Times New Roman" w:cs="Times New Roman" w:eastAsia="Times New Roman" w:hAnsi="Times New Roman"/>
          <w:sz w:val="33"/>
          <w:szCs w:val="33"/>
          <w:color w:val="auto"/>
          <w:vertAlign w:val="superscript"/>
        </w:rPr>
        <w:t>​​</w:t>
      </w:r>
      <w:r>
        <w:rPr>
          <w:rFonts w:ascii="Times New Roman" w:cs="Times New Roman" w:eastAsia="Times New Roman" w:hAnsi="Times New Roman"/>
          <w:sz w:val="17"/>
          <w:szCs w:val="17"/>
          <w:color w:val="auto"/>
        </w:rPr>
        <w:t>Cash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33"/>
          <w:szCs w:val="33"/>
          <w:color w:val="auto"/>
          <w:vertAlign w:val="superscript"/>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33"/>
          <w:szCs w:val="33"/>
          <w:color w:val="auto"/>
          <w:vertAlign w:val="superscript"/>
        </w:rPr>
        <w:t>​</w:t>
      </w:r>
      <w:r>
        <w:rPr>
          <w:rFonts w:ascii="Times New Roman" w:cs="Times New Roman" w:eastAsia="Times New Roman" w:hAnsi="Times New Roman"/>
          <w:sz w:val="17"/>
          <w:szCs w:val="17"/>
          <w:color w:val="auto"/>
        </w:rPr>
        <w:t>Equity Acceleration</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3"/>
          <w:szCs w:val="33"/>
          <w:color w:val="auto"/>
          <w:vertAlign w:val="superscript"/>
        </w:rPr>
        <w:t>​​</w:t>
      </w:r>
    </w:p>
    <w:p>
      <w:pPr>
        <w:spacing w:after="0" w:line="2" w:lineRule="exact"/>
        <w:rPr>
          <w:sz w:val="20"/>
          <w:szCs w:val="20"/>
          <w:color w:val="auto"/>
        </w:rPr>
      </w:pPr>
    </w:p>
    <w:p>
      <w:pPr>
        <w:jc w:val="right"/>
        <w:spacing w:after="0"/>
        <w:tabs>
          <w:tab w:leader="none" w:pos="60" w:val="left"/>
        </w:tabs>
        <w:rPr>
          <w:sz w:val="20"/>
          <w:szCs w:val="20"/>
          <w:color w:val="auto"/>
        </w:rPr>
      </w:pP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18"/>
          <w:szCs w:val="18"/>
          <w:b w:val="1"/>
          <w:bCs w:val="1"/>
          <w:color w:val="auto"/>
        </w:rPr>
        <w:t>Total</w:t>
      </w:r>
      <w:r>
        <w:rPr>
          <w:sz w:val="20"/>
          <w:szCs w:val="20"/>
          <w:color w:val="auto"/>
        </w:rPr>
        <w:tab/>
      </w:r>
      <w:r>
        <w:rPr>
          <w:rFonts w:ascii="Times New Roman" w:cs="Times New Roman" w:eastAsia="Times New Roman" w:hAnsi="Times New Roman"/>
          <w:sz w:val="36"/>
          <w:szCs w:val="36"/>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104775</wp:posOffset>
            </wp:positionV>
            <wp:extent cx="123444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9"/>
        </w:trPr>
        <w:tc>
          <w:tcPr>
            <w:tcW w:w="160" w:type="dxa"/>
            <w:vAlign w:val="bottom"/>
          </w:tcPr>
          <w:p>
            <w:pPr>
              <w:spacing w:after="0" w:line="280"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bscript"/>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1,309,522</w:t>
            </w:r>
          </w:p>
        </w:tc>
        <w:tc>
          <w:tcPr>
            <w:tcW w:w="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1140" w:type="dxa"/>
            <w:vAlign w:val="bottom"/>
            <w:gridSpan w:val="2"/>
          </w:tcPr>
          <w:p>
            <w:pPr>
              <w:jc w:val="right"/>
              <w:ind w:right="130"/>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$40,635,000</w:t>
            </w:r>
          </w:p>
        </w:tc>
        <w:tc>
          <w:tcPr>
            <w:tcW w:w="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60" w:type="dxa"/>
            <w:vAlign w:val="bottom"/>
          </w:tcPr>
          <w:p>
            <w:pPr>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8,891</w:t>
            </w:r>
          </w:p>
        </w:tc>
        <w:tc>
          <w:tcPr>
            <w:tcW w:w="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140" w:type="dxa"/>
            <w:vAlign w:val="bottom"/>
            <w:gridSpan w:val="2"/>
          </w:tcPr>
          <w:p>
            <w:pPr>
              <w:jc w:val="right"/>
              <w:ind w:right="13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b w:val="1"/>
                <w:bCs w:val="1"/>
                <w:color w:val="auto"/>
              </w:rPr>
              <w:t>$41,953,413</w:t>
            </w:r>
          </w:p>
        </w:tc>
        <w:tc>
          <w:tcPr>
            <w:tcW w:w="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160" w:type="dxa"/>
            <w:vAlign w:val="bottom"/>
          </w:tcPr>
          <w:p>
            <w:pPr>
              <w:spacing w:after="0" w:line="297"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4"/>
                <w:szCs w:val="34"/>
                <w:color w:val="auto"/>
                <w:vertAlign w:val="subscript"/>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873,015</w:t>
            </w:r>
          </w:p>
        </w:tc>
        <w:tc>
          <w:tcPr>
            <w:tcW w:w="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1140" w:type="dxa"/>
            <w:vAlign w:val="bottom"/>
            <w:gridSpan w:val="2"/>
          </w:tcPr>
          <w:p>
            <w:pPr>
              <w:jc w:val="right"/>
              <w:ind w:right="130"/>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$40,635,000</w:t>
            </w:r>
          </w:p>
        </w:tc>
        <w:tc>
          <w:tcPr>
            <w:tcW w:w="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60" w:type="dxa"/>
            <w:vAlign w:val="bottom"/>
          </w:tcPr>
          <w:p>
            <w:pPr>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17,389</w:t>
            </w:r>
          </w:p>
        </w:tc>
        <w:tc>
          <w:tcPr>
            <w:tcW w:w="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140" w:type="dxa"/>
            <w:vAlign w:val="bottom"/>
            <w:gridSpan w:val="2"/>
          </w:tcPr>
          <w:p>
            <w:pPr>
              <w:jc w:val="right"/>
              <w:ind w:right="13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b w:val="1"/>
                <w:bCs w:val="1"/>
                <w:color w:val="auto"/>
              </w:rPr>
              <w:t>$41,525,404</w:t>
            </w:r>
          </w:p>
        </w:tc>
        <w:tc>
          <w:tcPr>
            <w:tcW w:w="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160" w:type="dxa"/>
            <w:vAlign w:val="bottom"/>
          </w:tcPr>
          <w:p>
            <w:pPr>
              <w:spacing w:after="0" w:line="297"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4"/>
                <w:szCs w:val="34"/>
                <w:color w:val="auto"/>
                <w:vertAlign w:val="subscript"/>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618,000</w:t>
            </w:r>
          </w:p>
        </w:tc>
        <w:tc>
          <w:tcPr>
            <w:tcW w:w="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160" w:type="dxa"/>
            <w:vAlign w:val="bottom"/>
          </w:tcPr>
          <w:p>
            <w:pPr>
              <w:spacing w:after="0" w:line="283"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bscript"/>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66"/>
        </w:trPr>
        <w:tc>
          <w:tcPr>
            <w:tcW w:w="160" w:type="dxa"/>
            <w:vAlign w:val="bottom"/>
          </w:tcPr>
          <w:p>
            <w:pPr>
              <w:spacing w:after="0" w:line="266"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30,138</w:t>
            </w:r>
          </w:p>
        </w:tc>
        <w:tc>
          <w:tcPr>
            <w:tcW w:w="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74"/>
        </w:trPr>
        <w:tc>
          <w:tcPr>
            <w:tcW w:w="160" w:type="dxa"/>
            <w:vAlign w:val="bottom"/>
          </w:tcPr>
          <w:p>
            <w:pPr>
              <w:spacing w:after="0" w:line="274" w:lineRule="exact"/>
              <w:rPr>
                <w:sz w:val="20"/>
                <w:szCs w:val="20"/>
                <w:color w:val="auto"/>
              </w:rPr>
            </w:pPr>
            <w:r>
              <w:rPr>
                <w:rFonts w:ascii="Times New Roman" w:cs="Times New Roman" w:eastAsia="Times New Roman" w:hAnsi="Times New Roman"/>
                <w:sz w:val="31"/>
                <w:szCs w:val="31"/>
                <w:b w:val="1"/>
                <w:bCs w:val="1"/>
                <w:color w:val="auto"/>
                <w:vertAlign w:val="superscript"/>
              </w:rPr>
              <w:t>​</w:t>
            </w:r>
            <w:r>
              <w:rPr>
                <w:rFonts w:ascii="Times New Roman" w:cs="Times New Roman" w:eastAsia="Times New Roman" w:hAnsi="Times New Roman"/>
                <w:sz w:val="17"/>
                <w:szCs w:val="17"/>
                <w:b w:val="1"/>
                <w:bCs w:val="1"/>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648,138</w:t>
            </w:r>
          </w:p>
        </w:tc>
        <w:tc>
          <w:tcPr>
            <w:tcW w:w="2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97"/>
        </w:trPr>
        <w:tc>
          <w:tcPr>
            <w:tcW w:w="160" w:type="dxa"/>
            <w:vAlign w:val="bottom"/>
          </w:tcPr>
          <w:p>
            <w:pPr>
              <w:spacing w:after="0" w:line="297"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4"/>
                <w:szCs w:val="34"/>
                <w:color w:val="auto"/>
                <w:vertAlign w:val="subscript"/>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728,833</w:t>
            </w:r>
          </w:p>
        </w:tc>
        <w:tc>
          <w:tcPr>
            <w:tcW w:w="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80"/>
        </w:trPr>
        <w:tc>
          <w:tcPr>
            <w:tcW w:w="160" w:type="dxa"/>
            <w:vAlign w:val="bottom"/>
          </w:tcPr>
          <w:p>
            <w:pPr>
              <w:spacing w:after="0" w:line="280"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bscript"/>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479"/>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35"/>
                <w:szCs w:val="35"/>
                <w:b w:val="1"/>
                <w:bCs w:val="1"/>
                <w:color w:val="auto"/>
                <w:vertAlign w:val="subscript"/>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728,833</w:t>
            </w:r>
          </w:p>
        </w:tc>
        <w:tc>
          <w:tcPr>
            <w:tcW w:w="2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-2298065</wp:posOffset>
            </wp:positionH>
            <wp:positionV relativeFrom="paragraph">
              <wp:posOffset>-1360805</wp:posOffset>
            </wp:positionV>
            <wp:extent cx="5212080" cy="7112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212080" cy="7112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240" w:type="dxa"/>
            <w:vAlign w:val="bottom"/>
            <w:tcBorders>
              <w:top w:val="single" w:sz="8" w:color="auto"/>
            </w:tcBorders>
          </w:tcPr>
          <w:p>
            <w:pPr>
              <w:ind w:left="100"/>
              <w:spacing w:after="0" w:line="259"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29"/>
                <w:szCs w:val="29"/>
                <w:color w:val="auto"/>
                <w:vertAlign w:val="subscript"/>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1,309,522</w:t>
            </w:r>
          </w:p>
        </w:tc>
        <w:tc>
          <w:tcPr>
            <w:tcW w:w="60" w:type="dxa"/>
            <w:vAlign w:val="bottom"/>
            <w:tcBorders>
              <w:top w:val="single" w:sz="8" w:color="auto"/>
            </w:tcBorders>
          </w:tcPr>
          <w:p>
            <w:pPr>
              <w:spacing w:after="0"/>
              <w:rPr>
                <w:sz w:val="22"/>
                <w:szCs w:val="22"/>
                <w:color w:val="auto"/>
              </w:rPr>
            </w:pPr>
          </w:p>
        </w:tc>
        <w:tc>
          <w:tcPr>
            <w:tcW w:w="100" w:type="dxa"/>
            <w:vAlign w:val="bottom"/>
          </w:tcPr>
          <w:p>
            <w:pPr>
              <w:jc w:val="right"/>
              <w:ind w:right="74"/>
              <w:spacing w:after="0"/>
              <w:rPr>
                <w:sz w:val="20"/>
                <w:szCs w:val="20"/>
                <w:color w:val="auto"/>
              </w:rPr>
            </w:pPr>
            <w:r>
              <w:rPr>
                <w:rFonts w:ascii="Times New Roman" w:cs="Times New Roman" w:eastAsia="Times New Roman" w:hAnsi="Times New Roman"/>
                <w:sz w:val="1"/>
                <w:szCs w:val="1"/>
                <w:color w:val="auto"/>
                <w:w w:val="4294942296"/>
              </w:rPr>
              <w:t>​</w:t>
            </w:r>
          </w:p>
        </w:tc>
        <w:tc>
          <w:tcPr>
            <w:tcW w:w="620" w:type="dxa"/>
            <w:vAlign w:val="bottom"/>
            <w:tcBorders>
              <w:top w:val="single" w:sz="8" w:color="auto"/>
            </w:tcBorders>
          </w:tcPr>
          <w:p>
            <w:pPr>
              <w:ind w:left="460"/>
              <w:spacing w:after="0" w:line="259"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29"/>
                <w:szCs w:val="29"/>
                <w:color w:val="auto"/>
                <w:vertAlign w:val="subscript"/>
              </w:rPr>
              <w:t>$</w:t>
            </w:r>
          </w:p>
        </w:tc>
        <w:tc>
          <w:tcPr>
            <w:tcW w:w="122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1,309,522</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1080" w:type="dxa"/>
            <w:vAlign w:val="bottom"/>
            <w:gridSpan w:val="2"/>
          </w:tcPr>
          <w:p>
            <w:pPr>
              <w:jc w:val="right"/>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$ 40,635,000</w:t>
            </w:r>
          </w:p>
        </w:tc>
        <w:tc>
          <w:tcPr>
            <w:tcW w:w="16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370"/>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$40,635,000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40" w:type="dxa"/>
            <w:vAlign w:val="bottom"/>
          </w:tcPr>
          <w:p>
            <w:pPr>
              <w:ind w:left="10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8,891</w:t>
            </w:r>
          </w:p>
        </w:tc>
        <w:tc>
          <w:tcPr>
            <w:tcW w:w="16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46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w:t>
            </w:r>
          </w:p>
        </w:tc>
        <w:tc>
          <w:tcPr>
            <w:tcW w:w="12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8,891</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b w:val="1"/>
                <w:bCs w:val="1"/>
                <w:color w:val="auto"/>
              </w:rPr>
              <w:t>$ 41,953,413</w:t>
            </w:r>
          </w:p>
        </w:tc>
        <w:tc>
          <w:tcPr>
            <w:tcW w:w="16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37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b w:val="1"/>
                <w:bCs w:val="1"/>
                <w:color w:val="auto"/>
              </w:rPr>
              <w:t>$41,953,413</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240" w:type="dxa"/>
            <w:vAlign w:val="bottom"/>
          </w:tcPr>
          <w:p>
            <w:pPr>
              <w:ind w:left="100"/>
              <w:spacing w:after="0" w:line="297"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4"/>
                <w:szCs w:val="34"/>
                <w:color w:val="auto"/>
                <w:vertAlign w:val="subscript"/>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873,015</w:t>
            </w:r>
          </w:p>
        </w:tc>
        <w:tc>
          <w:tcPr>
            <w:tcW w:w="16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460"/>
              <w:spacing w:after="0" w:line="297"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4"/>
                <w:szCs w:val="34"/>
                <w:color w:val="auto"/>
                <w:vertAlign w:val="subscript"/>
              </w:rPr>
              <w:t>$</w:t>
            </w:r>
          </w:p>
        </w:tc>
        <w:tc>
          <w:tcPr>
            <w:tcW w:w="12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873,015</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1080" w:type="dxa"/>
            <w:vAlign w:val="bottom"/>
            <w:gridSpan w:val="2"/>
          </w:tcPr>
          <w:p>
            <w:pPr>
              <w:jc w:val="right"/>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$ 40,635,000</w:t>
            </w:r>
          </w:p>
        </w:tc>
        <w:tc>
          <w:tcPr>
            <w:tcW w:w="16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370"/>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$40,635,000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40" w:type="dxa"/>
            <w:vAlign w:val="bottom"/>
          </w:tcPr>
          <w:p>
            <w:pPr>
              <w:ind w:left="10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17,389</w:t>
            </w:r>
          </w:p>
        </w:tc>
        <w:tc>
          <w:tcPr>
            <w:tcW w:w="16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46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w:t>
            </w:r>
          </w:p>
        </w:tc>
        <w:tc>
          <w:tcPr>
            <w:tcW w:w="12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17,389</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0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b w:val="1"/>
                <w:bCs w:val="1"/>
                <w:color w:val="auto"/>
              </w:rPr>
              <w:t>$ 41,525,404</w:t>
            </w:r>
          </w:p>
        </w:tc>
        <w:tc>
          <w:tcPr>
            <w:tcW w:w="16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37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b w:val="1"/>
                <w:bCs w:val="1"/>
                <w:color w:val="auto"/>
              </w:rPr>
              <w:t>$41,525,404</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240" w:type="dxa"/>
            <w:vAlign w:val="bottom"/>
          </w:tcPr>
          <w:p>
            <w:pPr>
              <w:ind w:left="100"/>
              <w:spacing w:after="0" w:line="297"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4"/>
                <w:szCs w:val="34"/>
                <w:color w:val="auto"/>
                <w:vertAlign w:val="subscript"/>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618,000</w:t>
            </w:r>
          </w:p>
        </w:tc>
        <w:tc>
          <w:tcPr>
            <w:tcW w:w="16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460"/>
              <w:spacing w:after="0" w:line="297"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4"/>
                <w:szCs w:val="34"/>
                <w:color w:val="auto"/>
                <w:vertAlign w:val="subscript"/>
              </w:rPr>
              <w:t>$</w:t>
            </w:r>
          </w:p>
        </w:tc>
        <w:tc>
          <w:tcPr>
            <w:tcW w:w="12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618,000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1080" w:type="dxa"/>
            <w:vAlign w:val="bottom"/>
            <w:gridSpan w:val="2"/>
          </w:tcPr>
          <w:p>
            <w:pPr>
              <w:jc w:val="right"/>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$ 16,071,000</w:t>
            </w:r>
          </w:p>
        </w:tc>
        <w:tc>
          <w:tcPr>
            <w:tcW w:w="16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370"/>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$16,071,000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66"/>
        </w:trPr>
        <w:tc>
          <w:tcPr>
            <w:tcW w:w="240" w:type="dxa"/>
            <w:vAlign w:val="bottom"/>
          </w:tcPr>
          <w:p>
            <w:pPr>
              <w:ind w:left="100"/>
              <w:spacing w:after="0" w:line="266"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30,138</w:t>
            </w:r>
          </w:p>
        </w:tc>
        <w:tc>
          <w:tcPr>
            <w:tcW w:w="16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460"/>
              <w:spacing w:after="0" w:line="266"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w:t>
            </w:r>
          </w:p>
        </w:tc>
        <w:tc>
          <w:tcPr>
            <w:tcW w:w="12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30,138</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4"/>
        </w:trPr>
        <w:tc>
          <w:tcPr>
            <w:tcW w:w="1080" w:type="dxa"/>
            <w:vAlign w:val="bottom"/>
            <w:gridSpan w:val="2"/>
          </w:tcPr>
          <w:p>
            <w:pPr>
              <w:jc w:val="right"/>
              <w:spacing w:after="0" w:line="274" w:lineRule="exact"/>
              <w:rPr>
                <w:sz w:val="20"/>
                <w:szCs w:val="20"/>
                <w:color w:val="auto"/>
              </w:rPr>
            </w:pPr>
            <w:r>
              <w:rPr>
                <w:rFonts w:ascii="Times New Roman" w:cs="Times New Roman" w:eastAsia="Times New Roman" w:hAnsi="Times New Roman"/>
                <w:sz w:val="31"/>
                <w:szCs w:val="31"/>
                <w:b w:val="1"/>
                <w:bCs w:val="1"/>
                <w:color w:val="auto"/>
                <w:vertAlign w:val="superscript"/>
              </w:rPr>
              <w:t>​</w:t>
            </w:r>
            <w:r>
              <w:rPr>
                <w:rFonts w:ascii="Times New Roman" w:cs="Times New Roman" w:eastAsia="Times New Roman" w:hAnsi="Times New Roman"/>
                <w:sz w:val="17"/>
                <w:szCs w:val="17"/>
                <w:b w:val="1"/>
                <w:bCs w:val="1"/>
                <w:color w:val="auto"/>
              </w:rPr>
              <w:t>$ 16,719,138</w:t>
            </w:r>
          </w:p>
        </w:tc>
        <w:tc>
          <w:tcPr>
            <w:tcW w:w="16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gridSpan w:val="2"/>
          </w:tcPr>
          <w:p>
            <w:pPr>
              <w:jc w:val="right"/>
              <w:ind w:right="370"/>
              <w:spacing w:after="0" w:line="274" w:lineRule="exact"/>
              <w:rPr>
                <w:sz w:val="20"/>
                <w:szCs w:val="20"/>
                <w:color w:val="auto"/>
              </w:rPr>
            </w:pPr>
            <w:r>
              <w:rPr>
                <w:rFonts w:ascii="Times New Roman" w:cs="Times New Roman" w:eastAsia="Times New Roman" w:hAnsi="Times New Roman"/>
                <w:sz w:val="31"/>
                <w:szCs w:val="31"/>
                <w:b w:val="1"/>
                <w:bCs w:val="1"/>
                <w:color w:val="auto"/>
                <w:vertAlign w:val="superscript"/>
              </w:rPr>
              <w:t>​</w:t>
            </w:r>
            <w:r>
              <w:rPr>
                <w:rFonts w:ascii="Times New Roman" w:cs="Times New Roman" w:eastAsia="Times New Roman" w:hAnsi="Times New Roman"/>
                <w:sz w:val="17"/>
                <w:szCs w:val="17"/>
                <w:b w:val="1"/>
                <w:bCs w:val="1"/>
                <w:color w:val="auto"/>
              </w:rPr>
              <w:t>$16,719,138</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97"/>
        </w:trPr>
        <w:tc>
          <w:tcPr>
            <w:tcW w:w="240" w:type="dxa"/>
            <w:vAlign w:val="bottom"/>
          </w:tcPr>
          <w:p>
            <w:pPr>
              <w:ind w:left="100"/>
              <w:spacing w:after="0" w:line="297"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4"/>
                <w:szCs w:val="34"/>
                <w:color w:val="auto"/>
                <w:vertAlign w:val="subscript"/>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728,833</w:t>
            </w:r>
          </w:p>
        </w:tc>
        <w:tc>
          <w:tcPr>
            <w:tcW w:w="16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460"/>
              <w:spacing w:after="0" w:line="297"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4"/>
                <w:szCs w:val="34"/>
                <w:color w:val="auto"/>
                <w:vertAlign w:val="subscript"/>
              </w:rPr>
              <w:t>$</w:t>
            </w:r>
          </w:p>
        </w:tc>
        <w:tc>
          <w:tcPr>
            <w:tcW w:w="12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728,833</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0"/>
        </w:trPr>
        <w:tc>
          <w:tcPr>
            <w:tcW w:w="1080" w:type="dxa"/>
            <w:vAlign w:val="bottom"/>
            <w:gridSpan w:val="2"/>
          </w:tcPr>
          <w:p>
            <w:pPr>
              <w:jc w:val="right"/>
              <w:spacing w:after="0" w:line="280"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$ 12,190,454</w:t>
            </w:r>
          </w:p>
        </w:tc>
        <w:tc>
          <w:tcPr>
            <w:tcW w:w="16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370"/>
              <w:spacing w:after="0" w:line="280"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$12,190,454</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79"/>
        </w:trPr>
        <w:tc>
          <w:tcPr>
            <w:tcW w:w="1080" w:type="dxa"/>
            <w:vAlign w:val="bottom"/>
            <w:gridSpan w:val="2"/>
          </w:tcPr>
          <w:p>
            <w:pPr>
              <w:jc w:val="right"/>
              <w:spacing w:after="0"/>
              <w:rPr>
                <w:sz w:val="20"/>
                <w:szCs w:val="20"/>
                <w:color w:val="auto"/>
              </w:rPr>
            </w:pP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18"/>
                <w:szCs w:val="18"/>
                <w:b w:val="1"/>
                <w:bCs w:val="1"/>
                <w:color w:val="auto"/>
              </w:rPr>
              <w:t>$ 12,919,287</w:t>
            </w:r>
          </w:p>
        </w:tc>
        <w:tc>
          <w:tcPr>
            <w:tcW w:w="16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gridSpan w:val="2"/>
          </w:tcPr>
          <w:p>
            <w:pPr>
              <w:jc w:val="right"/>
              <w:ind w:right="370"/>
              <w:spacing w:after="0"/>
              <w:rPr>
                <w:sz w:val="20"/>
                <w:szCs w:val="20"/>
                <w:color w:val="auto"/>
              </w:rPr>
            </w:pP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18"/>
                <w:szCs w:val="18"/>
                <w:b w:val="1"/>
                <w:bCs w:val="1"/>
                <w:color w:val="auto"/>
              </w:rPr>
              <w:t>$12,919,287</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0" w:lineRule="exact"/>
        <w:rPr>
          <w:sz w:val="20"/>
          <w:szCs w:val="20"/>
          <w:color w:val="auto"/>
        </w:rPr>
      </w:pPr>
    </w:p>
    <w:p>
      <w:pPr>
        <w:sectPr>
          <w:pgSz w:w="11900" w:h="16838" w:orient="portrait"/>
          <w:cols w:equalWidth="0" w:num="3">
            <w:col w:w="4440" w:space="440"/>
            <w:col w:w="1420" w:space="80"/>
            <w:col w:w="3499"/>
          </w:cols>
          <w:pgMar w:left="580" w:top="97" w:right="1440" w:bottom="1440" w:gutter="0" w:footer="0" w:header="0"/>
          <w:type w:val="continuous"/>
        </w:sectPr>
      </w:pPr>
    </w:p>
    <w:p>
      <w:pPr>
        <w:spacing w:after="0" w:line="68" w:lineRule="exact"/>
        <w:rPr>
          <w:sz w:val="20"/>
          <w:szCs w:val="20"/>
          <w:color w:val="auto"/>
        </w:rPr>
      </w:pPr>
    </w:p>
    <w:p>
      <w:pPr>
        <w:ind w:left="1620" w:right="939" w:hanging="360"/>
        <w:spacing w:after="0" w:line="257" w:lineRule="auto"/>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Equity awards are subject to accelerated vesting pursuant to their terms and/or the offer letters or employment agreements described above in the section titled “—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Arrangements.</w:t>
      </w:r>
      <w:r>
        <w:rPr>
          <w:rFonts w:ascii="Times New Roman" w:cs="Times New Roman" w:eastAsia="Times New Roman" w:hAnsi="Times New Roman"/>
          <w:sz w:val="18"/>
          <w:szCs w:val="18"/>
          <w:color w:val="auto"/>
        </w:rPr>
        <w:t>” With respect to options, the value of equity acceleration was calculated by</w:t>
      </w:r>
    </w:p>
    <w:p>
      <w:pPr>
        <w:spacing w:after="0" w:line="1" w:lineRule="exact"/>
        <w:rPr>
          <w:rFonts w:ascii="Times New Roman" w:cs="Times New Roman" w:eastAsia="Times New Roman" w:hAnsi="Times New Roman"/>
          <w:sz w:val="18"/>
          <w:szCs w:val="18"/>
          <w:color w:val="auto"/>
        </w:rPr>
      </w:pPr>
    </w:p>
    <w:p>
      <w:pPr>
        <w:ind w:left="1620" w:right="4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multiplying the number of accelerated shares underlying the options by $46.44, the closing trading price of our shares on December 31, 2024 and (ii) subtracting the exercise price for the options. With respect to RSUs and PRSUs, the value of equity acceleration was calculated by multiplying the number of accelerated RSUs and PRSUs (at target) by $46.44, the closing trading price of our shares on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 Versus Performance Table</w:t>
      </w:r>
    </w:p>
    <w:p>
      <w:pPr>
        <w:spacing w:after="0" w:line="162" w:lineRule="exact"/>
        <w:rPr>
          <w:sz w:val="20"/>
          <w:szCs w:val="20"/>
          <w:color w:val="auto"/>
        </w:rPr>
      </w:pPr>
    </w:p>
    <w:p>
      <w:pPr>
        <w:jc w:val="both"/>
        <w:ind w:left="1260" w:right="1480" w:firstLine="360"/>
        <w:spacing w:after="0" w:line="274"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our NEOs for each of the fiscal years ended December 31, 2021, 2022, 2023 and 2024, and our financial performance for each such fiscal year:</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9"/>
                <w:szCs w:val="19"/>
                <w:color w:val="auto"/>
              </w:rPr>
            </w:pPr>
          </w:p>
        </w:tc>
        <w:tc>
          <w:tcPr>
            <w:tcW w:w="74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89"/>
              </w:rPr>
              <w:t>(c)</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89"/>
              </w:rPr>
              <w:t>(e)</w:t>
            </w:r>
          </w:p>
        </w:tc>
        <w:tc>
          <w:tcPr>
            <w:tcW w:w="12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12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(g)</w:t>
            </w:r>
          </w:p>
        </w:tc>
        <w:tc>
          <w:tcPr>
            <w:tcW w:w="120" w:type="dxa"/>
            <w:vAlign w:val="bottom"/>
          </w:tcPr>
          <w:p>
            <w:pPr>
              <w:spacing w:after="0"/>
              <w:rPr>
                <w:sz w:val="19"/>
                <w:szCs w:val="19"/>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w:t>
            </w:r>
          </w:p>
        </w:tc>
        <w:tc>
          <w:tcPr>
            <w:tcW w:w="6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0"/>
              </w:rPr>
              <w:t>(i)</w:t>
            </w:r>
          </w:p>
        </w:tc>
        <w:tc>
          <w:tcPr>
            <w:tcW w:w="0" w:type="dxa"/>
            <w:vAlign w:val="bottom"/>
          </w:tcPr>
          <w:p>
            <w:pPr>
              <w:spacing w:after="0"/>
              <w:rPr>
                <w:sz w:val="1"/>
                <w:szCs w:val="1"/>
                <w:color w:val="auto"/>
              </w:rPr>
            </w:pPr>
          </w:p>
        </w:tc>
      </w:tr>
      <w:tr>
        <w:trPr>
          <w:trHeight w:val="171"/>
        </w:trPr>
        <w:tc>
          <w:tcPr>
            <w:tcW w:w="8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Borders>
              <w:top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 of Initial Fixed $100</w:t>
            </w:r>
          </w:p>
        </w:tc>
        <w:tc>
          <w:tcPr>
            <w:tcW w:w="1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Summary</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8"/>
              </w:rPr>
              <w:t>Summary</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20" w:type="dxa"/>
            <w:vAlign w:val="bottom"/>
          </w:tcPr>
          <w:p>
            <w:pPr>
              <w:spacing w:after="0"/>
              <w:rPr>
                <w:sz w:val="15"/>
                <w:szCs w:val="15"/>
                <w:color w:val="auto"/>
              </w:rPr>
            </w:pPr>
          </w:p>
        </w:tc>
        <w:tc>
          <w:tcPr>
            <w:tcW w:w="16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Investment Based on:</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840" w:type="dxa"/>
            <w:vAlign w:val="bottom"/>
          </w:tcPr>
          <w:p>
            <w:pPr>
              <w:spacing w:after="0"/>
              <w:rPr>
                <w:sz w:val="3"/>
                <w:szCs w:val="3"/>
                <w:color w:val="auto"/>
              </w:rPr>
            </w:pPr>
          </w:p>
        </w:tc>
        <w:tc>
          <w:tcPr>
            <w:tcW w:w="140" w:type="dxa"/>
            <w:vAlign w:val="bottom"/>
            <w:vMerge w:val="restart"/>
          </w:tcPr>
          <w:p>
            <w:pPr>
              <w:spacing w:after="0"/>
              <w:rPr>
                <w:sz w:val="3"/>
                <w:szCs w:val="3"/>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Compensation</w:t>
            </w: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Table</w:t>
            </w:r>
          </w:p>
        </w:tc>
        <w:tc>
          <w:tcPr>
            <w:tcW w:w="100" w:type="dxa"/>
            <w:vAlign w:val="bottom"/>
          </w:tcPr>
          <w:p>
            <w:pPr>
              <w:spacing w:after="0"/>
              <w:rPr>
                <w:sz w:val="3"/>
                <w:szCs w:val="3"/>
                <w:color w:val="auto"/>
              </w:rPr>
            </w:pP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2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84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9"/>
              </w:rPr>
              <w:t>Table</w:t>
            </w:r>
          </w:p>
        </w:tc>
        <w:tc>
          <w:tcPr>
            <w:tcW w:w="10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 for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8"/>
              </w:rPr>
              <w:t>Actually</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Peer Group</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3"/>
              </w:rPr>
              <w:t>Total for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8"/>
              </w:rPr>
              <w:t>Actually</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Non-PEO</w:t>
            </w:r>
          </w:p>
        </w:tc>
        <w:tc>
          <w:tcPr>
            <w:tcW w:w="10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Paid to Non-</w:t>
            </w: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Net</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PEO</w:t>
            </w:r>
          </w:p>
        </w:tc>
        <w:tc>
          <w:tcPr>
            <w:tcW w:w="10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Paid to PEO</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NEOs</w:t>
            </w:r>
          </w:p>
        </w:tc>
        <w:tc>
          <w:tcPr>
            <w:tcW w:w="10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PEO NEOs</w:t>
            </w: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Shareholder</w:t>
            </w: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Shareholder</w:t>
            </w:r>
          </w:p>
        </w:tc>
        <w:tc>
          <w:tcPr>
            <w:tcW w:w="12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60" w:type="dxa"/>
            <w:vAlign w:val="bottom"/>
          </w:tcPr>
          <w:p>
            <w:pPr>
              <w:spacing w:after="0"/>
              <w:rPr>
                <w:sz w:val="14"/>
                <w:szCs w:val="14"/>
                <w:color w:val="auto"/>
              </w:rPr>
            </w:pPr>
          </w:p>
        </w:tc>
        <w:tc>
          <w:tcPr>
            <w:tcW w:w="6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14"/>
        </w:trPr>
        <w:tc>
          <w:tcPr>
            <w:tcW w:w="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740" w:type="dxa"/>
            <w:vAlign w:val="bottom"/>
          </w:tcPr>
          <w:p>
            <w:pPr>
              <w:jc w:val="center"/>
              <w:ind w:right="94"/>
              <w:spacing w:after="0" w:line="213" w:lineRule="exact"/>
              <w:rPr>
                <w:sz w:val="20"/>
                <w:szCs w:val="20"/>
                <w:color w:val="auto"/>
              </w:rPr>
            </w:pPr>
            <w:r>
              <w:rPr>
                <w:rFonts w:ascii="Times New Roman" w:cs="Times New Roman" w:eastAsia="Times New Roman" w:hAnsi="Times New Roman"/>
                <w:sz w:val="24"/>
                <w:szCs w:val="24"/>
                <w:b w:val="1"/>
                <w:bCs w:val="1"/>
                <w:color w:val="auto"/>
                <w:w w:val="90"/>
                <w:vertAlign w:val="subscript"/>
              </w:rPr>
              <w:t>($)</w:t>
            </w:r>
            <w:r>
              <w:rPr>
                <w:rFonts w:ascii="Times New Roman" w:cs="Times New Roman" w:eastAsia="Times New Roman" w:hAnsi="Times New Roman"/>
                <w:sz w:val="8"/>
                <w:szCs w:val="8"/>
                <w:b w:val="1"/>
                <w:bCs w:val="1"/>
                <w:color w:val="auto"/>
                <w:w w:val="90"/>
              </w:rPr>
              <w:t>(1)(2)</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center"/>
              <w:ind w:right="93"/>
              <w:spacing w:after="0" w:line="213" w:lineRule="exact"/>
              <w:rPr>
                <w:sz w:val="20"/>
                <w:szCs w:val="20"/>
                <w:color w:val="auto"/>
              </w:rPr>
            </w:pPr>
            <w:r>
              <w:rPr>
                <w:rFonts w:ascii="Times New Roman" w:cs="Times New Roman" w:eastAsia="Times New Roman" w:hAnsi="Times New Roman"/>
                <w:sz w:val="24"/>
                <w:szCs w:val="24"/>
                <w:b w:val="1"/>
                <w:bCs w:val="1"/>
                <w:color w:val="auto"/>
                <w:w w:val="96"/>
                <w:vertAlign w:val="subscript"/>
              </w:rPr>
              <w:t>($)</w:t>
            </w:r>
            <w:r>
              <w:rPr>
                <w:rFonts w:ascii="Times New Roman" w:cs="Times New Roman" w:eastAsia="Times New Roman" w:hAnsi="Times New Roman"/>
                <w:sz w:val="8"/>
                <w:szCs w:val="8"/>
                <w:b w:val="1"/>
                <w:bCs w:val="1"/>
                <w:color w:val="auto"/>
                <w:w w:val="96"/>
              </w:rPr>
              <w:t>(1)(2)</w:t>
            </w:r>
          </w:p>
        </w:tc>
        <w:tc>
          <w:tcPr>
            <w:tcW w:w="1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Return</w:t>
            </w:r>
          </w:p>
        </w:tc>
        <w:tc>
          <w:tcPr>
            <w:tcW w:w="1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Return</w:t>
            </w:r>
          </w:p>
        </w:tc>
        <w:tc>
          <w:tcPr>
            <w:tcW w:w="1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2024</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CEEFF"/>
            </w:tcBorders>
            <w:shd w:val="clear" w:color="auto" w:fill="CCEEFF"/>
          </w:tcPr>
          <w:p>
            <w:pPr>
              <w:jc w:val="center"/>
              <w:ind w:right="9"/>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19,456,473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CCEEFF"/>
            </w:tcBorders>
            <w:gridSpan w:val="2"/>
            <w:shd w:val="clear" w:color="auto" w:fill="CCEEFF"/>
          </w:tcPr>
          <w:p>
            <w:pPr>
              <w:jc w:val="right"/>
              <w:ind w:right="54"/>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19,456,473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CCEEFF"/>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9,415,733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33"/>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 xml:space="preserve"> 9,415,733</w:t>
            </w: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CCEEFF"/>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663.43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CCEEFF"/>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89.97</w:t>
            </w:r>
          </w:p>
        </w:tc>
        <w:tc>
          <w:tcPr>
            <w:tcW w:w="1660" w:type="dxa"/>
            <w:vAlign w:val="bottom"/>
            <w:gridSpan w:val="5"/>
            <w:shd w:val="clear" w:color="auto" w:fill="CCEEFF"/>
          </w:tcPr>
          <w:p>
            <w:pPr>
              <w:jc w:val="right"/>
              <w:spacing w:after="0" w:line="223"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3"/>
                <w:szCs w:val="13"/>
                <w:color w:val="auto"/>
              </w:rPr>
              <w:t xml:space="preserve">(173,418,000) </w:t>
            </w: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3"/>
                <w:szCs w:val="13"/>
                <w:color w:val="auto"/>
              </w:rPr>
              <w:t>42,279,000</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2023</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center"/>
              <w:ind w:right="9"/>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6,559,277</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558,317</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4,082,064</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207,291</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cente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284.00</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cente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91.22</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6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(54,369,000)</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2022</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CEEFF"/>
            </w:tcBorders>
            <w:shd w:val="clear" w:color="auto" w:fill="CCEEFF"/>
          </w:tcPr>
          <w:p>
            <w:pPr>
              <w:jc w:val="center"/>
              <w:ind w:right="9"/>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5,183,140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CCEEFF"/>
            </w:tcBorders>
            <w:gridSpan w:val="2"/>
            <w:shd w:val="clear" w:color="auto" w:fill="CCEEFF"/>
          </w:tcPr>
          <w:p>
            <w:pPr>
              <w:jc w:val="right"/>
              <w:ind w:right="54"/>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27,578,945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CCEEFF"/>
            </w:tcBorders>
            <w:shd w:val="clear" w:color="auto" w:fill="CCEEFF"/>
          </w:tcPr>
          <w:p>
            <w:pPr>
              <w:jc w:val="cente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3,142,940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33"/>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17,462,808</w:t>
            </w: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CCEEFF"/>
            </w:tcBorders>
            <w:shd w:val="clear" w:color="auto" w:fill="CCEEFF"/>
          </w:tcPr>
          <w:p>
            <w:pPr>
              <w:jc w:val="cente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373.29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right w:val="single" w:sz="8" w:color="CCEEFF"/>
            </w:tcBorders>
            <w:shd w:val="clear" w:color="auto" w:fill="CCEEFF"/>
          </w:tcPr>
          <w:p>
            <w:pPr>
              <w:jc w:val="center"/>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87.93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6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(68,701,000)</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458,000</w:t>
            </w:r>
          </w:p>
        </w:tc>
        <w:tc>
          <w:tcPr>
            <w:tcW w:w="0" w:type="dxa"/>
            <w:vAlign w:val="bottom"/>
          </w:tcPr>
          <w:p>
            <w:pPr>
              <w:spacing w:after="0"/>
              <w:rPr>
                <w:sz w:val="1"/>
                <w:szCs w:val="1"/>
                <w:color w:val="auto"/>
              </w:rPr>
            </w:pPr>
          </w:p>
        </w:tc>
      </w:tr>
      <w:tr>
        <w:trPr>
          <w:trHeight w:val="381"/>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2021</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center"/>
              <w:ind w:right="9"/>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1,123,304</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823,718</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650,336</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425,254</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96.00</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99.56</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(55,569,000)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40,000,000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4400550</wp:posOffset>
            </wp:positionH>
            <wp:positionV relativeFrom="paragraph">
              <wp:posOffset>-687070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5523230</wp:posOffset>
            </wp:positionH>
            <wp:positionV relativeFrom="paragraph">
              <wp:posOffset>-687070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4957445</wp:posOffset>
            </wp:positionH>
            <wp:positionV relativeFrom="paragraph">
              <wp:posOffset>-687070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3843020</wp:posOffset>
            </wp:positionH>
            <wp:positionV relativeFrom="paragraph">
              <wp:posOffset>-687070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3208655</wp:posOffset>
            </wp:positionH>
            <wp:positionV relativeFrom="paragraph">
              <wp:posOffset>-687070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2574290</wp:posOffset>
            </wp:positionH>
            <wp:positionV relativeFrom="paragraph">
              <wp:posOffset>-687070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1948815</wp:posOffset>
            </wp:positionH>
            <wp:positionV relativeFrom="paragraph">
              <wp:posOffset>-687070</wp:posOffset>
            </wp:positionV>
            <wp:extent cx="596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1331595</wp:posOffset>
            </wp:positionH>
            <wp:positionV relativeFrom="paragraph">
              <wp:posOffset>-687070</wp:posOffset>
            </wp:positionV>
            <wp:extent cx="514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-1561465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75565</wp:posOffset>
            </wp:positionV>
            <wp:extent cx="123444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56" w:lineRule="exact"/>
        <w:rPr>
          <w:sz w:val="20"/>
          <w:szCs w:val="20"/>
          <w:color w:val="auto"/>
        </w:rPr>
      </w:pPr>
    </w:p>
    <w:p>
      <w:pPr>
        <w:ind w:left="1620" w:right="1340" w:hanging="360"/>
        <w:spacing w:after="0" w:line="266" w:lineRule="auto"/>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compensation actually paid to our PEO and the average compensation actually paid to our remaining NEOs for the relevant fiscal year, as determined under SEC rules (and described below), which includes the individuals indicated in the table below for each fiscal year:</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6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PEO</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00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2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6860" w:type="dxa"/>
            <w:vAlign w:val="bottom"/>
            <w:tcBorders>
              <w:right w:val="single" w:sz="8" w:color="CCEEFF"/>
            </w:tcBorders>
            <w:gridSpan w:val="7"/>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​​David Zaccardelli​​Mark W. Hahn, Kathleen Rickard, Andrew Fisher and Claire Poll</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686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​​David Zaccardelli​​Mark W. Hahn and Kathleen Rickard</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6860" w:type="dxa"/>
            <w:vAlign w:val="bottom"/>
            <w:tcBorders>
              <w:right w:val="single" w:sz="8" w:color="CCEEFF"/>
            </w:tcBorders>
            <w:gridSpan w:val="7"/>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​​David Zaccardelli​​Mark W. Hahn and Kathleen Rickard</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686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​​David Zaccardelli​​Mark W. Hahn and Kathleen Rickard</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2522855</wp:posOffset>
            </wp:positionH>
            <wp:positionV relativeFrom="paragraph">
              <wp:posOffset>-676910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1588770</wp:posOffset>
            </wp:positionH>
            <wp:positionV relativeFrom="paragraph">
              <wp:posOffset>-676910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97" w:lineRule="exact"/>
        <w:rPr>
          <w:sz w:val="20"/>
          <w:szCs w:val="20"/>
          <w:color w:val="auto"/>
        </w:rPr>
      </w:pPr>
    </w:p>
    <w:p>
      <w:pPr>
        <w:ind w:left="1620" w:right="1300"/>
        <w:spacing w:after="0" w:line="297" w:lineRule="auto"/>
        <w:rPr>
          <w:sz w:val="20"/>
          <w:szCs w:val="20"/>
          <w:color w:val="auto"/>
        </w:rPr>
      </w:pPr>
      <w:r>
        <w:rPr>
          <w:rFonts w:ascii="Times New Roman" w:cs="Times New Roman" w:eastAsia="Times New Roman" w:hAnsi="Times New Roman"/>
          <w:sz w:val="18"/>
          <w:szCs w:val="18"/>
          <w:color w:val="auto"/>
        </w:rPr>
        <w:t>Compensation actually paid to our NEOs represents the “Total” compensation reported in the Summary Compensation Table for the applicable fiscal year, as adjusted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6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7"/>
        </w:trPr>
        <w:tc>
          <w:tcPr>
            <w:tcW w:w="1260" w:type="dxa"/>
            <w:vAlign w:val="bottom"/>
          </w:tcPr>
          <w:p>
            <w:pPr>
              <w:spacing w:after="0"/>
              <w:rPr>
                <w:sz w:val="3"/>
                <w:szCs w:val="3"/>
                <w:color w:val="auto"/>
              </w:rPr>
            </w:pPr>
          </w:p>
        </w:tc>
        <w:tc>
          <w:tcPr>
            <w:tcW w:w="6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60" w:type="dxa"/>
            <w:vAlign w:val="bottom"/>
          </w:tcPr>
          <w:p>
            <w:pPr>
              <w:spacing w:after="0"/>
              <w:rPr>
                <w:sz w:val="3"/>
                <w:szCs w:val="3"/>
                <w:color w:val="auto"/>
              </w:rPr>
            </w:pPr>
          </w:p>
        </w:tc>
      </w:tr>
      <w:tr>
        <w:trPr>
          <w:trHeight w:val="185"/>
        </w:trPr>
        <w:tc>
          <w:tcPr>
            <w:tcW w:w="126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gridSpan w:val="2"/>
          </w:tcPr>
          <w:p>
            <w:pPr>
              <w:jc w:val="center"/>
              <w:ind w:right="1360"/>
              <w:spacing w:after="0"/>
              <w:rPr>
                <w:sz w:val="20"/>
                <w:szCs w:val="20"/>
                <w:color w:val="auto"/>
              </w:rPr>
            </w:pPr>
            <w:r>
              <w:rPr>
                <w:rFonts w:ascii="Times New Roman" w:cs="Times New Roman" w:eastAsia="Times New Roman" w:hAnsi="Times New Roman"/>
                <w:sz w:val="14"/>
                <w:szCs w:val="14"/>
                <w:b w:val="1"/>
                <w:bCs w:val="1"/>
                <w:color w:val="auto"/>
                <w:w w:val="96"/>
              </w:rPr>
              <w:t>Average</w:t>
            </w:r>
          </w:p>
        </w:tc>
      </w:tr>
      <w:tr>
        <w:trPr>
          <w:trHeight w:val="162"/>
        </w:trPr>
        <w:tc>
          <w:tcPr>
            <w:tcW w:w="126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2"/>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w w:val="99"/>
              </w:rPr>
              <w:t>Non-PEO</w:t>
            </w:r>
          </w:p>
        </w:tc>
      </w:tr>
      <w:tr>
        <w:trPr>
          <w:trHeight w:val="190"/>
        </w:trPr>
        <w:tc>
          <w:tcPr>
            <w:tcW w:w="1260" w:type="dxa"/>
            <w:vAlign w:val="bottom"/>
          </w:tcPr>
          <w:p>
            <w:pPr>
              <w:spacing w:after="0"/>
              <w:rPr>
                <w:sz w:val="16"/>
                <w:szCs w:val="16"/>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6"/>
                <w:szCs w:val="16"/>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PEO</w:t>
            </w:r>
          </w:p>
        </w:tc>
        <w:tc>
          <w:tcPr>
            <w:tcW w:w="80" w:type="dxa"/>
            <w:vAlign w:val="bottom"/>
          </w:tcPr>
          <w:p>
            <w:pPr>
              <w:spacing w:after="0"/>
              <w:rPr>
                <w:sz w:val="16"/>
                <w:szCs w:val="16"/>
                <w:color w:val="auto"/>
              </w:rPr>
            </w:pPr>
          </w:p>
        </w:tc>
        <w:tc>
          <w:tcPr>
            <w:tcW w:w="2000" w:type="dxa"/>
            <w:vAlign w:val="bottom"/>
            <w:gridSpan w:val="2"/>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NEOs</w:t>
            </w:r>
          </w:p>
        </w:tc>
      </w:tr>
      <w:tr>
        <w:trPr>
          <w:trHeight w:val="23"/>
        </w:trPr>
        <w:tc>
          <w:tcPr>
            <w:tcW w:w="1260" w:type="dxa"/>
            <w:vAlign w:val="bottom"/>
          </w:tcPr>
          <w:p>
            <w:pPr>
              <w:spacing w:after="0"/>
              <w:rPr>
                <w:sz w:val="2"/>
                <w:szCs w:val="2"/>
                <w:color w:val="auto"/>
              </w:rPr>
            </w:pPr>
          </w:p>
        </w:tc>
        <w:tc>
          <w:tcPr>
            <w:tcW w:w="6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32"/>
        </w:trPr>
        <w:tc>
          <w:tcPr>
            <w:tcW w:w="1260" w:type="dxa"/>
            <w:vAlign w:val="bottom"/>
          </w:tcPr>
          <w:p>
            <w:pPr>
              <w:spacing w:after="0"/>
              <w:rPr>
                <w:sz w:val="20"/>
                <w:szCs w:val="20"/>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Deduction for Amounts Reported under the “Stock Awards” and “Option Awards”</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60" w:type="dxa"/>
            <w:vAlign w:val="bottom"/>
          </w:tcPr>
          <w:p>
            <w:pPr>
              <w:spacing w:after="0"/>
              <w:rPr>
                <w:sz w:val="20"/>
                <w:szCs w:val="20"/>
                <w:color w:val="auto"/>
              </w:rPr>
            </w:pPr>
          </w:p>
        </w:tc>
      </w:tr>
      <w:tr>
        <w:trPr>
          <w:trHeight w:val="234"/>
        </w:trPr>
        <w:tc>
          <w:tcPr>
            <w:tcW w:w="1260" w:type="dxa"/>
            <w:vAlign w:val="bottom"/>
          </w:tcPr>
          <w:p>
            <w:pPr>
              <w:spacing w:after="0"/>
              <w:rPr>
                <w:sz w:val="20"/>
                <w:szCs w:val="20"/>
                <w:color w:val="auto"/>
              </w:rPr>
            </w:pPr>
          </w:p>
        </w:tc>
        <w:tc>
          <w:tcPr>
            <w:tcW w:w="6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Columns in the Summary Compensation Table for Applicable FY</w:t>
            </w:r>
          </w:p>
        </w:tc>
        <w:tc>
          <w:tcPr>
            <w:tcW w:w="18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​(18,089,500) ​(8,793,201)</w:t>
            </w:r>
          </w:p>
        </w:tc>
        <w:tc>
          <w:tcPr>
            <w:tcW w:w="1260" w:type="dxa"/>
            <w:vAlign w:val="bottom"/>
          </w:tcPr>
          <w:p>
            <w:pPr>
              <w:spacing w:after="0"/>
              <w:rPr>
                <w:sz w:val="20"/>
                <w:szCs w:val="20"/>
                <w:color w:val="auto"/>
              </w:rPr>
            </w:pPr>
          </w:p>
        </w:tc>
      </w:tr>
      <w:tr>
        <w:trPr>
          <w:trHeight w:val="238"/>
        </w:trPr>
        <w:tc>
          <w:tcPr>
            <w:tcW w:w="1260" w:type="dxa"/>
            <w:vAlign w:val="bottom"/>
          </w:tcPr>
          <w:p>
            <w:pPr>
              <w:spacing w:after="0"/>
              <w:rPr>
                <w:sz w:val="20"/>
                <w:szCs w:val="20"/>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based on ASC 718 Fair Value of Awards Granted during Applicable FY</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6"/>
        </w:trPr>
        <w:tc>
          <w:tcPr>
            <w:tcW w:w="1260" w:type="dxa"/>
            <w:vAlign w:val="bottom"/>
          </w:tcPr>
          <w:p>
            <w:pPr>
              <w:spacing w:after="0"/>
              <w:rPr>
                <w:sz w:val="18"/>
                <w:szCs w:val="18"/>
                <w:color w:val="auto"/>
              </w:rPr>
            </w:pPr>
          </w:p>
        </w:tc>
        <w:tc>
          <w:tcPr>
            <w:tcW w:w="6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that Remain Unvested as of Applicable FY End, determined as of Applicable</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1260" w:type="dxa"/>
            <w:vAlign w:val="bottom"/>
          </w:tcPr>
          <w:p>
            <w:pPr>
              <w:spacing w:after="0"/>
              <w:rPr>
                <w:sz w:val="20"/>
                <w:szCs w:val="20"/>
                <w:color w:val="auto"/>
              </w:rPr>
            </w:pPr>
          </w:p>
        </w:tc>
        <w:tc>
          <w:tcPr>
            <w:tcW w:w="6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FY End</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18,576,000</w:t>
            </w: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​11,610,000</w:t>
            </w:r>
          </w:p>
        </w:tc>
      </w:tr>
      <w:tr>
        <w:trPr>
          <w:trHeight w:val="238"/>
        </w:trPr>
        <w:tc>
          <w:tcPr>
            <w:tcW w:w="1260" w:type="dxa"/>
            <w:vAlign w:val="bottom"/>
          </w:tcPr>
          <w:p>
            <w:pPr>
              <w:spacing w:after="0"/>
              <w:rPr>
                <w:sz w:val="20"/>
                <w:szCs w:val="20"/>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based on ASC 718 Fair Value of Awards Granted during Applicable FY</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60" w:type="dxa"/>
            <w:vAlign w:val="bottom"/>
          </w:tcPr>
          <w:p>
            <w:pPr>
              <w:spacing w:after="0"/>
              <w:rPr>
                <w:sz w:val="20"/>
                <w:szCs w:val="20"/>
                <w:color w:val="auto"/>
              </w:rPr>
            </w:pPr>
          </w:p>
        </w:tc>
      </w:tr>
      <w:tr>
        <w:trPr>
          <w:trHeight w:val="234"/>
        </w:trPr>
        <w:tc>
          <w:tcPr>
            <w:tcW w:w="1260" w:type="dxa"/>
            <w:vAlign w:val="bottom"/>
          </w:tcPr>
          <w:p>
            <w:pPr>
              <w:spacing w:after="0"/>
              <w:rPr>
                <w:sz w:val="20"/>
                <w:szCs w:val="20"/>
                <w:color w:val="auto"/>
              </w:rPr>
            </w:pPr>
          </w:p>
        </w:tc>
        <w:tc>
          <w:tcPr>
            <w:tcW w:w="6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that Vested during Applicable FY, determined as of Vesting Date</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p>
        </w:tc>
      </w:tr>
      <w:tr>
        <w:trPr>
          <w:trHeight w:val="238"/>
        </w:trPr>
        <w:tc>
          <w:tcPr>
            <w:tcW w:w="1260" w:type="dxa"/>
            <w:vAlign w:val="bottom"/>
          </w:tcPr>
          <w:p>
            <w:pPr>
              <w:spacing w:after="0"/>
              <w:rPr>
                <w:sz w:val="20"/>
                <w:szCs w:val="20"/>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Increase/deduction for Awards Granted during Prior FY that were Outstanding and</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6"/>
        </w:trPr>
        <w:tc>
          <w:tcPr>
            <w:tcW w:w="1260" w:type="dxa"/>
            <w:vAlign w:val="bottom"/>
          </w:tcPr>
          <w:p>
            <w:pPr>
              <w:spacing w:after="0"/>
              <w:rPr>
                <w:sz w:val="18"/>
                <w:szCs w:val="18"/>
                <w:color w:val="auto"/>
              </w:rPr>
            </w:pPr>
          </w:p>
        </w:tc>
        <w:tc>
          <w:tcPr>
            <w:tcW w:w="6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Unvested as of Applicable FY End, determined based on change in ASC 718</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1260" w:type="dxa"/>
            <w:vAlign w:val="bottom"/>
          </w:tcPr>
          <w:p>
            <w:pPr>
              <w:spacing w:after="0"/>
              <w:rPr>
                <w:sz w:val="20"/>
                <w:szCs w:val="20"/>
                <w:color w:val="auto"/>
              </w:rPr>
            </w:pPr>
          </w:p>
        </w:tc>
        <w:tc>
          <w:tcPr>
            <w:tcW w:w="6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Fair Value from Prior FY End to Applicable FY End</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22,059,000</w:t>
            </w: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8,375,071</w:t>
            </w:r>
          </w:p>
        </w:tc>
      </w:tr>
      <w:tr>
        <w:trPr>
          <w:trHeight w:val="238"/>
        </w:trPr>
        <w:tc>
          <w:tcPr>
            <w:tcW w:w="1260" w:type="dxa"/>
            <w:vAlign w:val="bottom"/>
          </w:tcPr>
          <w:p>
            <w:pPr>
              <w:spacing w:after="0"/>
              <w:rPr>
                <w:sz w:val="20"/>
                <w:szCs w:val="20"/>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Increase/deduction for Awards Granted during Prior FY that Vested During</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60" w:type="dxa"/>
            <w:vAlign w:val="bottom"/>
          </w:tcPr>
          <w:p>
            <w:pPr>
              <w:spacing w:after="0"/>
              <w:rPr>
                <w:sz w:val="20"/>
                <w:szCs w:val="20"/>
                <w:color w:val="auto"/>
              </w:rPr>
            </w:pPr>
          </w:p>
        </w:tc>
      </w:tr>
      <w:tr>
        <w:trPr>
          <w:trHeight w:val="216"/>
        </w:trPr>
        <w:tc>
          <w:tcPr>
            <w:tcW w:w="1260" w:type="dxa"/>
            <w:vAlign w:val="bottom"/>
          </w:tcPr>
          <w:p>
            <w:pPr>
              <w:spacing w:after="0"/>
              <w:rPr>
                <w:sz w:val="18"/>
                <w:szCs w:val="18"/>
                <w:color w:val="auto"/>
              </w:rPr>
            </w:pPr>
          </w:p>
        </w:tc>
        <w:tc>
          <w:tcPr>
            <w:tcW w:w="6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Applicable FY, determined based on change in ASC 718 Fair Value from Prior</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1260" w:type="dxa"/>
            <w:vAlign w:val="bottom"/>
          </w:tcPr>
          <w:p>
            <w:pPr>
              <w:spacing w:after="0"/>
              <w:rPr>
                <w:sz w:val="20"/>
                <w:szCs w:val="20"/>
                <w:color w:val="auto"/>
              </w:rPr>
            </w:pPr>
          </w:p>
        </w:tc>
        <w:tc>
          <w:tcPr>
            <w:tcW w:w="6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FY End to Vesting Date</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895,148</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323,134</w:t>
            </w:r>
          </w:p>
        </w:tc>
        <w:tc>
          <w:tcPr>
            <w:tcW w:w="1260" w:type="dxa"/>
            <w:vAlign w:val="bottom"/>
          </w:tcPr>
          <w:p>
            <w:pPr>
              <w:spacing w:after="0"/>
              <w:rPr>
                <w:sz w:val="20"/>
                <w:szCs w:val="20"/>
                <w:color w:val="auto"/>
              </w:rPr>
            </w:pPr>
          </w:p>
        </w:tc>
      </w:tr>
      <w:tr>
        <w:trPr>
          <w:trHeight w:val="238"/>
        </w:trPr>
        <w:tc>
          <w:tcPr>
            <w:tcW w:w="1260" w:type="dxa"/>
            <w:vAlign w:val="bottom"/>
          </w:tcPr>
          <w:p>
            <w:pPr>
              <w:spacing w:after="0"/>
              <w:rPr>
                <w:sz w:val="20"/>
                <w:szCs w:val="20"/>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Deduction of ASC 718 Fair Value of Awards Granted during Prior FY that were</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4"/>
        </w:trPr>
        <w:tc>
          <w:tcPr>
            <w:tcW w:w="1260" w:type="dxa"/>
            <w:vAlign w:val="bottom"/>
          </w:tcPr>
          <w:p>
            <w:pPr>
              <w:spacing w:after="0"/>
              <w:rPr>
                <w:sz w:val="20"/>
                <w:szCs w:val="20"/>
                <w:color w:val="auto"/>
              </w:rPr>
            </w:pPr>
          </w:p>
        </w:tc>
        <w:tc>
          <w:tcPr>
            <w:tcW w:w="6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Forfeited during Applicable FY, determined as of Prior FY End</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r>
      <w:tr>
        <w:trPr>
          <w:trHeight w:val="608"/>
        </w:trPr>
        <w:tc>
          <w:tcPr>
            <w:tcW w:w="1260" w:type="dxa"/>
            <w:vAlign w:val="bottom"/>
          </w:tcPr>
          <w:p>
            <w:pPr>
              <w:spacing w:after="0"/>
              <w:rPr>
                <w:sz w:val="24"/>
                <w:szCs w:val="24"/>
                <w:color w:val="auto"/>
              </w:rPr>
            </w:pPr>
          </w:p>
        </w:tc>
        <w:tc>
          <w:tcPr>
            <w:tcW w:w="628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12"/>
        </w:trPr>
        <w:tc>
          <w:tcPr>
            <w:tcW w:w="1260" w:type="dxa"/>
            <w:vAlign w:val="bottom"/>
            <w:tcBorders>
              <w:bottom w:val="single" w:sz="8" w:color="9A9A9A"/>
            </w:tcBorders>
          </w:tcPr>
          <w:p>
            <w:pPr>
              <w:spacing w:after="0"/>
              <w:rPr>
                <w:sz w:val="24"/>
                <w:szCs w:val="24"/>
                <w:color w:val="auto"/>
              </w:rPr>
            </w:pPr>
          </w:p>
        </w:tc>
        <w:tc>
          <w:tcPr>
            <w:tcW w:w="6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5420360</wp:posOffset>
            </wp:positionH>
            <wp:positionV relativeFrom="paragraph">
              <wp:posOffset>-2879725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-2879725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33655</wp:posOffset>
            </wp:positionV>
            <wp:extent cx="5212080" cy="3086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55" w:lineRule="exact"/>
        <w:rPr>
          <w:sz w:val="20"/>
          <w:szCs w:val="20"/>
          <w:color w:val="auto"/>
        </w:rPr>
      </w:pPr>
    </w:p>
    <w:p>
      <w:pPr>
        <w:ind w:left="1440" w:hanging="179"/>
        <w:spacing w:after="0" w:line="273" w:lineRule="auto"/>
        <w:rPr>
          <w:sz w:val="20"/>
          <w:szCs w:val="20"/>
          <w:color w:val="auto"/>
        </w:rPr>
      </w:pPr>
      <w:r>
        <w:rPr>
          <w:rFonts w:ascii="Times New Roman" w:cs="Times New Roman" w:eastAsia="Times New Roman" w:hAnsi="Times New Roman"/>
          <w:sz w:val="18"/>
          <w:szCs w:val="18"/>
          <w:color w:val="auto"/>
        </w:rPr>
        <w:t>Increase based on Dividends or Other Earnings Paid during Applicable FY prior to Vesting Date</w:t>
      </w:r>
    </w:p>
    <w:p>
      <w:pPr>
        <w:spacing w:after="0" w:line="2" w:lineRule="exact"/>
        <w:rPr>
          <w:sz w:val="20"/>
          <w:szCs w:val="20"/>
          <w:color w:val="auto"/>
        </w:rPr>
      </w:pPr>
    </w:p>
    <w:p>
      <w:pPr>
        <w:ind w:left="1440" w:right="520" w:hanging="179"/>
        <w:spacing w:after="0" w:line="273" w:lineRule="auto"/>
        <w:rPr>
          <w:sz w:val="20"/>
          <w:szCs w:val="20"/>
          <w:color w:val="auto"/>
        </w:rPr>
      </w:pPr>
      <w:r>
        <w:rPr>
          <w:rFonts w:ascii="Times New Roman" w:cs="Times New Roman" w:eastAsia="Times New Roman" w:hAnsi="Times New Roman"/>
          <w:sz w:val="18"/>
          <w:szCs w:val="18"/>
          <w:color w:val="auto"/>
        </w:rPr>
        <w:t>Increase based on Incremental Fair Value of Options/SARs Modified during Applicable 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-3810</wp:posOffset>
            </wp:positionV>
            <wp:extent cx="5212080" cy="4368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212080" cy="436880"/>
                    </a:xfrm>
                    <a:prstGeom prst="rect">
                      <a:avLst/>
                    </a:prstGeom>
                    <a:noFill/>
                  </pic:spPr>
                </pic:pic>
              </a:graphicData>
            </a:graphic>
          </wp:anchor>
        </w:drawing>
      </w:r>
    </w:p>
    <w:p>
      <w:pPr>
        <w:jc w:val="both"/>
        <w:ind w:left="1440" w:right="80" w:hanging="179"/>
        <w:spacing w:after="0" w:line="266" w:lineRule="auto"/>
        <w:rPr>
          <w:sz w:val="20"/>
          <w:szCs w:val="20"/>
          <w:color w:val="auto"/>
        </w:rPr>
      </w:pPr>
      <w:r>
        <w:rPr>
          <w:rFonts w:ascii="Times New Roman" w:cs="Times New Roman" w:eastAsia="Times New Roman" w:hAnsi="Times New Roman"/>
          <w:sz w:val="18"/>
          <w:szCs w:val="18"/>
          <w:color w:val="auto"/>
        </w:rPr>
        <w:t>Deduction for Change in the Actuarial Present Values reported under the “Change in Pension Value and Nonqualified Deferred Compensation Earnings” Column of the Summary Compensation Table for Applicable FY</w:t>
      </w:r>
    </w:p>
    <w:p>
      <w:pPr>
        <w:spacing w:after="0" w:line="14" w:lineRule="exact"/>
        <w:rPr>
          <w:sz w:val="20"/>
          <w:szCs w:val="20"/>
          <w:color w:val="auto"/>
        </w:rPr>
      </w:pPr>
    </w:p>
    <w:p>
      <w:pPr>
        <w:ind w:left="1260" w:right="160"/>
        <w:spacing w:after="0" w:line="360" w:lineRule="auto"/>
        <w:rPr>
          <w:sz w:val="20"/>
          <w:szCs w:val="20"/>
          <w:color w:val="auto"/>
        </w:rPr>
      </w:pPr>
      <w:r>
        <w:rPr>
          <w:rFonts w:ascii="Times New Roman" w:cs="Times New Roman" w:eastAsia="Times New Roman" w:hAnsi="Times New Roman"/>
          <w:sz w:val="18"/>
          <w:szCs w:val="18"/>
          <w:color w:val="auto"/>
        </w:rPr>
        <w:t xml:space="preserve">Increase for Service Cost and, if applicable, Prior Service Cost for Pension Plans </w:t>
      </w:r>
      <w:r>
        <w:rPr>
          <w:rFonts w:ascii="Times New Roman" w:cs="Times New Roman" w:eastAsia="Times New Roman" w:hAnsi="Times New Roman"/>
          <w:sz w:val="18"/>
          <w:szCs w:val="18"/>
          <w:b w:val="1"/>
          <w:bCs w:val="1"/>
          <w:color w:val="auto"/>
        </w:rPr>
        <w:t>TOTAL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-236220</wp:posOffset>
            </wp:positionV>
            <wp:extent cx="5212080" cy="1803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11487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7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b w:val="1"/>
          <w:bCs w:val="1"/>
          <w:color w:val="auto"/>
        </w:rPr>
        <w:t>Average</w:t>
      </w:r>
    </w:p>
    <w:p>
      <w:pPr>
        <w:spacing w:after="0" w:line="1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b w:val="1"/>
          <w:bCs w:val="1"/>
          <w:color w:val="auto"/>
        </w:rPr>
        <w:t>Non-PEO</w:t>
      </w:r>
    </w:p>
    <w:p>
      <w:pPr>
        <w:spacing w:after="0" w:line="1" w:lineRule="exact"/>
        <w:rPr>
          <w:sz w:val="20"/>
          <w:szCs w:val="20"/>
          <w:color w:val="auto"/>
        </w:rPr>
      </w:pPr>
    </w:p>
    <w:p>
      <w:pPr>
        <w:ind w:left="280"/>
        <w:spacing w:after="0"/>
        <w:tabs>
          <w:tab w:leader="none" w:pos="1180" w:val="left"/>
        </w:tabs>
        <w:rPr>
          <w:sz w:val="20"/>
          <w:szCs w:val="20"/>
          <w:color w:val="auto"/>
        </w:rPr>
      </w:pPr>
      <w:r>
        <w:rPr>
          <w:rFonts w:ascii="Times New Roman" w:cs="Times New Roman" w:eastAsia="Times New Roman" w:hAnsi="Times New Roman"/>
          <w:sz w:val="14"/>
          <w:szCs w:val="14"/>
          <w:b w:val="1"/>
          <w:bCs w:val="1"/>
          <w:color w:val="auto"/>
        </w:rPr>
        <w:t>PEO</w:t>
      </w:r>
      <w:r>
        <w:rPr>
          <w:sz w:val="20"/>
          <w:szCs w:val="20"/>
          <w:color w:val="auto"/>
        </w:rPr>
        <w:tab/>
      </w:r>
      <w:r>
        <w:rPr>
          <w:rFonts w:ascii="Times New Roman" w:cs="Times New Roman" w:eastAsia="Times New Roman" w:hAnsi="Times New Roman"/>
          <w:sz w:val="14"/>
          <w:szCs w:val="14"/>
          <w:b w:val="1"/>
          <w:bCs w:val="1"/>
          <w:color w:val="auto"/>
        </w:rPr>
        <w:t>NEOs</w:t>
      </w:r>
    </w:p>
    <w:p>
      <w:pPr>
        <w:spacing w:after="0" w:line="273" w:lineRule="exact"/>
        <w:rPr>
          <w:sz w:val="20"/>
          <w:szCs w:val="20"/>
          <w:color w:val="auto"/>
        </w:rPr>
      </w:pPr>
    </w:p>
    <w:p>
      <w:pPr>
        <w:spacing w:after="0"/>
        <w:tabs>
          <w:tab w:leader="none" w:pos="640" w:val="left"/>
          <w:tab w:leader="none" w:pos="1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tabs>
          <w:tab w:leader="none" w:pos="640" w:val="left"/>
          <w:tab w:leader="none" w:pos="1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spacing w:after="0"/>
        <w:tabs>
          <w:tab w:leader="none" w:pos="640" w:val="left"/>
          <w:tab w:leader="none" w:pos="1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w:t>
      </w:r>
    </w:p>
    <w:p>
      <w:pPr>
        <w:spacing w:after="0"/>
        <w:tabs>
          <w:tab w:leader="none" w:pos="640" w:val="left"/>
          <w:tab w:leader="none" w:pos="1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26"/>
          <w:szCs w:val="26"/>
          <w:color w:val="auto"/>
          <w:vertAlign w:val="superscript"/>
        </w:rPr>
        <w:t>—</w:t>
      </w:r>
    </w:p>
    <w:p>
      <w:pPr>
        <w:spacing w:after="0" w:line="184" w:lineRule="auto"/>
        <w:rPr>
          <w:sz w:val="20"/>
          <w:szCs w:val="20"/>
          <w:color w:val="auto"/>
        </w:rPr>
      </w:pPr>
      <w:r>
        <w:rPr>
          <w:rFonts w:ascii="Times New Roman" w:cs="Times New Roman" w:eastAsia="Times New Roman" w:hAnsi="Times New Roman"/>
          <w:sz w:val="29"/>
          <w:szCs w:val="29"/>
          <w:b w:val="1"/>
          <w:bCs w:val="1"/>
          <w:color w:val="auto"/>
          <w:vertAlign w:val="subscript"/>
        </w:rPr>
        <w:t>​</w:t>
      </w:r>
      <w:r>
        <w:rPr>
          <w:rFonts w:ascii="Times New Roman" w:cs="Times New Roman" w:eastAsia="Times New Roman" w:hAnsi="Times New Roman"/>
          <w:sz w:val="16"/>
          <w:szCs w:val="16"/>
          <w:b w:val="1"/>
          <w:bCs w:val="1"/>
          <w:color w:val="auto"/>
        </w:rPr>
        <w:t xml:space="preserve">23,440,648 </w:t>
      </w:r>
      <w:r>
        <w:rPr>
          <w:rFonts w:ascii="Times New Roman" w:cs="Times New Roman" w:eastAsia="Times New Roman" w:hAnsi="Times New Roman"/>
          <w:sz w:val="29"/>
          <w:szCs w:val="29"/>
          <w:b w:val="1"/>
          <w:bCs w:val="1"/>
          <w:color w:val="auto"/>
          <w:vertAlign w:val="subscript"/>
        </w:rPr>
        <w:t>​</w:t>
      </w:r>
      <w:r>
        <w:rPr>
          <w:rFonts w:ascii="Times New Roman" w:cs="Times New Roman" w:eastAsia="Times New Roman" w:hAnsi="Times New Roman"/>
          <w:sz w:val="16"/>
          <w:szCs w:val="16"/>
          <w:b w:val="1"/>
          <w:bCs w:val="1"/>
          <w:color w:val="auto"/>
        </w:rPr>
        <w:t>11,515,003</w:t>
      </w:r>
    </w:p>
    <w:p>
      <w:pPr>
        <w:spacing w:after="0" w:line="157" w:lineRule="exact"/>
        <w:rPr>
          <w:sz w:val="20"/>
          <w:szCs w:val="20"/>
          <w:color w:val="auto"/>
        </w:rPr>
      </w:pPr>
    </w:p>
    <w:p>
      <w:pPr>
        <w:sectPr>
          <w:pgSz w:w="11900" w:h="16838" w:orient="portrait"/>
          <w:cols w:equalWidth="0" w:num="2">
            <w:col w:w="7520" w:space="140"/>
            <w:col w:w="2219"/>
          </w:cols>
          <w:pgMar w:left="580" w:top="97" w:right="1440" w:bottom="1440" w:gutter="0" w:footer="0" w:header="0"/>
          <w:type w:val="continuous"/>
        </w:sectPr>
      </w:pPr>
    </w:p>
    <w:p>
      <w:pPr>
        <w:ind w:left="1620" w:right="439" w:hanging="360"/>
        <w:spacing w:after="0" w:line="252" w:lineRule="auto"/>
        <w:tabs>
          <w:tab w:leader="none" w:pos="1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or change in fair value, as applicable, of equity awards in the “Compensation Actually Paid” columns was determined by reference to (i) for solely service-vesting RSU awards, the closing price per share on the applicable year-end date(s) or, in the case of vesting dates, the closing price per share on the applicable vesting date(s); (ii) for performance-based PRSU awards, the same valuation methodology as RSU awards above except that the year-end values are multiplied by the probability of achievement of the applicable performance objective as of the applicable date; and (iii) for stock options, a Black Scholes value as of the applicable year-end or vesting date(s), determined based on the same methodology as used to determine grant date fair value but using the closing stock price on the applicable revaluation date as the current market price and with an expected life equal to the original ratio of expected life relative to the ten year contractual life multiplied times the remaining life as of the applicable revaluation date, and in all cases based on volatility and risk free rates determined as of the revaluation date based on the expected life period and based on an expected dividend rate of 0%. For additional information on the assumptions used to calculate the valuation of the awards, see the Notes to Consolidated Financial Statements in our Annual Report on Form 10-K for the fiscal year ended 2024 and prior fiscal years.</w:t>
      </w:r>
    </w:p>
    <w:p>
      <w:pPr>
        <w:spacing w:after="0" w:line="278" w:lineRule="exact"/>
        <w:rPr>
          <w:rFonts w:ascii="Times New Roman" w:cs="Times New Roman" w:eastAsia="Times New Roman" w:hAnsi="Times New Roman"/>
          <w:sz w:val="18"/>
          <w:szCs w:val="18"/>
          <w:color w:val="auto"/>
        </w:rPr>
      </w:pPr>
    </w:p>
    <w:p>
      <w:pPr>
        <w:ind w:left="1620" w:right="859" w:hanging="360"/>
        <w:spacing w:after="0" w:line="282" w:lineRule="auto"/>
        <w:tabs>
          <w:tab w:leader="none" w:pos="1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relevant fiscal year, represents the cumulative TSR (the “Peer Group TSR”) of the Nasdaq Biotechnology Index (the “Peer Group”).</w:t>
      </w:r>
    </w:p>
    <w:p>
      <w:pPr>
        <w:spacing w:after="0" w:line="4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is a GAAP measure.</w:t>
      </w:r>
    </w:p>
    <w:p>
      <w:pPr>
        <w:spacing w:after="0" w:line="2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Narrative Disclosure to Pay Versus Performance Table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Financial Performance Measures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graphs below compare the compensation actually paid to our PEO and the average of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compensation actually paid to our remaining NEOs, with (i) our cumulative total shareholder return</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(“TSR”), (ii) our Peer Group TSR, (iii) our net income and (iv) our net revenue, in each case, for the</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fiscal years ended December 31, 2021, 2022, 2023 and 2024. TSR amounts reported in the graph assume an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initial fixed investment of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569595</wp:posOffset>
            </wp:positionV>
            <wp:extent cx="5168900" cy="66605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68900" cy="666051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569595</wp:posOffset>
            </wp:positionV>
            <wp:extent cx="5168900" cy="32575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6890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Pay Versus Performance Tabular List</w:t>
      </w:r>
    </w:p>
    <w:p>
      <w:pPr>
        <w:spacing w:after="0" w:line="148"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Revenue represented the only financial performance measure used by us to link compensation actually paid to our NEOs for the fiscal year ended December 31, 2024. For additional details regarding our use of financial performance measures, please see the sections titled “Equity-Based Long-Term Incentive Awards” in our Compensation Discussion and Analysis (CD&amp;A) elsewhere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We have entered into letters of appointment with each of our non-executive directors pursuant to which they are entitled to receive an annual fee for their services as a member of the board, and an additional fee for service on its committees. For 2024, these fees were as follows:</w:t>
      </w:r>
    </w:p>
    <w:p>
      <w:pPr>
        <w:spacing w:after="0" w:line="68" w:lineRule="exact"/>
        <w:rPr>
          <w:sz w:val="20"/>
          <w:szCs w:val="20"/>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Board of Directors receives an annual cash retainer of £115,000;</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non-executive director receives an annual cash retainer of £40,000;</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Chairperson of a committee of the Board of Directors or a member of a committee of the Board of Directors, receives additional cash compensation as follows:</w:t>
      </w:r>
    </w:p>
    <w:p>
      <w:pPr>
        <w:spacing w:after="0" w:line="53" w:lineRule="exact"/>
        <w:rPr>
          <w:rFonts w:ascii="Times New Roman" w:cs="Times New Roman" w:eastAsia="Times New Roman" w:hAnsi="Times New Roman"/>
          <w:sz w:val="18"/>
          <w:szCs w:val="18"/>
          <w:color w:val="auto"/>
        </w:rPr>
      </w:pPr>
    </w:p>
    <w:p>
      <w:pPr>
        <w:ind w:left="2160" w:right="899" w:hanging="180"/>
        <w:spacing w:after="0" w:line="282" w:lineRule="auto"/>
        <w:tabs>
          <w:tab w:leader="none" w:pos="21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Audit and Risk Committee receives an additional annual retainer of £18,000;</w:t>
      </w:r>
    </w:p>
    <w:p>
      <w:pPr>
        <w:spacing w:after="0" w:line="53" w:lineRule="exact"/>
        <w:rPr>
          <w:rFonts w:ascii="Times New Roman" w:cs="Times New Roman" w:eastAsia="Times New Roman" w:hAnsi="Times New Roman"/>
          <w:sz w:val="18"/>
          <w:szCs w:val="18"/>
          <w:color w:val="auto"/>
        </w:rPr>
      </w:pPr>
    </w:p>
    <w:p>
      <w:pPr>
        <w:ind w:left="2160" w:right="979" w:hanging="180"/>
        <w:spacing w:after="0" w:line="282" w:lineRule="auto"/>
        <w:tabs>
          <w:tab w:leader="none" w:pos="21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Remuneration Committee receives an additional annual retainer of £12,000;</w:t>
      </w:r>
    </w:p>
    <w:p>
      <w:pPr>
        <w:spacing w:after="0" w:line="53"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Nomination Committee receives an additional annual retainer of £10,000;</w:t>
      </w:r>
    </w:p>
    <w:p>
      <w:pPr>
        <w:spacing w:after="0" w:line="117" w:lineRule="exact"/>
        <w:rPr>
          <w:rFonts w:ascii="Times New Roman" w:cs="Times New Roman" w:eastAsia="Times New Roman" w:hAnsi="Times New Roman"/>
          <w:sz w:val="18"/>
          <w:szCs w:val="18"/>
          <w:color w:val="auto"/>
        </w:rPr>
      </w:pPr>
    </w:p>
    <w:p>
      <w:pPr>
        <w:ind w:left="2160" w:right="1099" w:hanging="180"/>
        <w:spacing w:after="0" w:line="282" w:lineRule="auto"/>
        <w:tabs>
          <w:tab w:leader="none" w:pos="21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Commercial Committee receives an additional annual retainer of £10,000;</w:t>
      </w:r>
    </w:p>
    <w:p>
      <w:pPr>
        <w:spacing w:after="0" w:line="53"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Audit and Risk Committee receives an additional annual retainer of £10,000;</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Remuneration Committee receives an additional annual retainer of £6,000;</w:t>
      </w:r>
    </w:p>
    <w:p>
      <w:pPr>
        <w:spacing w:after="0" w:line="117" w:lineRule="exact"/>
        <w:rPr>
          <w:rFonts w:ascii="Times New Roman" w:cs="Times New Roman" w:eastAsia="Times New Roman" w:hAnsi="Times New Roman"/>
          <w:sz w:val="18"/>
          <w:szCs w:val="18"/>
          <w:color w:val="auto"/>
        </w:rPr>
      </w:pPr>
    </w:p>
    <w:p>
      <w:pPr>
        <w:ind w:left="2160" w:right="899" w:hanging="180"/>
        <w:spacing w:after="0" w:line="282" w:lineRule="auto"/>
        <w:tabs>
          <w:tab w:leader="none" w:pos="21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Nomination and Corporate Governance Committee receives an additional annual retainer of £4,000; and</w:t>
      </w:r>
    </w:p>
    <w:p>
      <w:pPr>
        <w:spacing w:after="0" w:line="53"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Commercial Committee receives an additional annual retainer of £4,000.</w:t>
      </w:r>
    </w:p>
    <w:p>
      <w:pPr>
        <w:spacing w:after="0" w:line="158"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Following our annual, independent benchmarking review of the compensation of our non-executive directors, the fees payable to our non-executive directors will be maintained at 2024 levels for 2025.</w:t>
      </w:r>
    </w:p>
    <w:p>
      <w:pPr>
        <w:spacing w:after="0" w:line="81" w:lineRule="exact"/>
        <w:rPr>
          <w:sz w:val="20"/>
          <w:szCs w:val="20"/>
          <w:color w:val="auto"/>
        </w:rPr>
      </w:pPr>
    </w:p>
    <w:p>
      <w:pPr>
        <w:jc w:val="both"/>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The fees are paid monthly in arrears. These letters also provide for reimbursement of reasonable and documented expenses incurred in the performance of board duties, including reimbursement of business class air travel.</w:t>
      </w:r>
    </w:p>
    <w:p>
      <w:pPr>
        <w:spacing w:after="0" w:line="108"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 summary form information concerning the compensation that we paid or awarded during the year ended December 31, 2024 to each of our non-executive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2024 Director Compensation Table</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Fees Earned</w:t>
            </w: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or Paid in</w:t>
            </w:r>
          </w:p>
        </w:tc>
        <w:tc>
          <w:tcPr>
            <w:tcW w:w="6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17"/>
                <w:szCs w:val="17"/>
                <w:b w:val="1"/>
                <w:bCs w:val="1"/>
                <w:color w:val="auto"/>
                <w:vertAlign w:val="superscript"/>
              </w:rPr>
              <w:t>(1)</w:t>
            </w:r>
          </w:p>
        </w:tc>
        <w:tc>
          <w:tcPr>
            <w:tcW w:w="220" w:type="dxa"/>
            <w:vAlign w:val="bottom"/>
            <w:vMerge w:val="restart"/>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60" w:type="dxa"/>
            <w:vAlign w:val="bottom"/>
          </w:tcPr>
          <w:p>
            <w:pPr>
              <w:spacing w:after="0"/>
              <w:rPr>
                <w:sz w:val="12"/>
                <w:szCs w:val="12"/>
                <w:color w:val="auto"/>
              </w:rPr>
            </w:pPr>
          </w:p>
        </w:tc>
        <w:tc>
          <w:tcPr>
            <w:tcW w:w="7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6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7"/>
        </w:trPr>
        <w:tc>
          <w:tcPr>
            <w:tcW w:w="558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CCEEFF"/>
            </w:tcBorders>
            <w:vMerge w:val="continue"/>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(2)</w:t>
            </w:r>
          </w:p>
        </w:tc>
        <w:tc>
          <w:tcPr>
            <w:tcW w:w="2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50"/>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Ebsworth, Ph.D.</w:t>
            </w:r>
          </w:p>
        </w:tc>
        <w:tc>
          <w:tcPr>
            <w:tcW w:w="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​180,739 ​</w:t>
            </w: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​328,117</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​508,856</w:t>
            </w:r>
          </w:p>
        </w:tc>
        <w:tc>
          <w:tcPr>
            <w:tcW w:w="0" w:type="dxa"/>
            <w:vAlign w:val="bottom"/>
          </w:tcPr>
          <w:p>
            <w:pPr>
              <w:spacing w:after="0"/>
              <w:rPr>
                <w:sz w:val="1"/>
                <w:szCs w:val="1"/>
                <w:color w:val="auto"/>
              </w:rPr>
            </w:pPr>
          </w:p>
        </w:tc>
      </w:tr>
      <w:tr>
        <w:trPr>
          <w:trHeight w:val="257"/>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Christina Ackermann</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66,161 ​</w:t>
            </w: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9"/>
              </w:rPr>
              <w:t>​328,117</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​394,279</w:t>
            </w:r>
          </w:p>
        </w:tc>
        <w:tc>
          <w:tcPr>
            <w:tcW w:w="0" w:type="dxa"/>
            <w:vAlign w:val="bottom"/>
          </w:tcPr>
          <w:p>
            <w:pPr>
              <w:spacing w:after="0"/>
              <w:rPr>
                <w:sz w:val="1"/>
                <w:szCs w:val="1"/>
                <w:color w:val="auto"/>
              </w:rPr>
            </w:pPr>
          </w:p>
        </w:tc>
      </w:tr>
      <w:tr>
        <w:trPr>
          <w:trHeight w:val="257"/>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Austwick</w:t>
            </w:r>
          </w:p>
        </w:tc>
        <w:tc>
          <w:tcPr>
            <w:tcW w:w="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55,435 ​</w:t>
            </w: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​237,392</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​292,827</w:t>
            </w:r>
          </w:p>
        </w:tc>
        <w:tc>
          <w:tcPr>
            <w:tcW w:w="0" w:type="dxa"/>
            <w:vAlign w:val="bottom"/>
          </w:tcPr>
          <w:p>
            <w:pPr>
              <w:spacing w:after="0"/>
              <w:rPr>
                <w:sz w:val="1"/>
                <w:szCs w:val="1"/>
                <w:color w:val="auto"/>
              </w:rPr>
            </w:pPr>
          </w:p>
        </w:tc>
      </w:tr>
      <w:tr>
        <w:trPr>
          <w:trHeight w:val="25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Brady</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62,757 ​</w:t>
            </w: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9"/>
              </w:rPr>
              <w:t>​328,117</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​390,874</w:t>
            </w:r>
          </w:p>
        </w:tc>
        <w:tc>
          <w:tcPr>
            <w:tcW w:w="0" w:type="dxa"/>
            <w:vAlign w:val="bottom"/>
          </w:tcPr>
          <w:p>
            <w:pPr>
              <w:spacing w:after="0"/>
              <w:rPr>
                <w:sz w:val="1"/>
                <w:szCs w:val="1"/>
                <w:color w:val="auto"/>
              </w:rPr>
            </w:pPr>
          </w:p>
        </w:tc>
      </w:tr>
      <w:tr>
        <w:trPr>
          <w:trHeight w:val="270"/>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Kenneth Cunningham, M.D..</w:t>
            </w:r>
          </w:p>
        </w:tc>
        <w:tc>
          <w:tcPr>
            <w:tcW w:w="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65,267 ​</w:t>
            </w: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​328,117</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​393,384</w:t>
            </w:r>
          </w:p>
        </w:tc>
        <w:tc>
          <w:tcPr>
            <w:tcW w:w="0" w:type="dxa"/>
            <w:vAlign w:val="bottom"/>
          </w:tcPr>
          <w:p>
            <w:pPr>
              <w:spacing w:after="0"/>
              <w:rPr>
                <w:sz w:val="1"/>
                <w:szCs w:val="1"/>
                <w:color w:val="auto"/>
              </w:rPr>
            </w:pPr>
          </w:p>
        </w:tc>
      </w:tr>
      <w:tr>
        <w:trPr>
          <w:trHeight w:val="270"/>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Lisa Deschamps</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58,991 ​</w:t>
            </w: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9"/>
              </w:rPr>
              <w:t>​328,117</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​387,109</w:t>
            </w:r>
          </w:p>
        </w:tc>
        <w:tc>
          <w:tcPr>
            <w:tcW w:w="0" w:type="dxa"/>
            <w:vAlign w:val="bottom"/>
          </w:tcPr>
          <w:p>
            <w:pPr>
              <w:spacing w:after="0"/>
              <w:rPr>
                <w:sz w:val="1"/>
                <w:szCs w:val="1"/>
                <w:color w:val="auto"/>
              </w:rPr>
            </w:pPr>
          </w:p>
        </w:tc>
      </w:tr>
      <w:tr>
        <w:trPr>
          <w:trHeight w:val="270"/>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Martin Edwards, M.D.</w:t>
            </w:r>
          </w:p>
        </w:tc>
        <w:tc>
          <w:tcPr>
            <w:tcW w:w="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50,205 ​</w:t>
            </w: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​328,117</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​378,323</w:t>
            </w:r>
          </w:p>
        </w:tc>
        <w:tc>
          <w:tcPr>
            <w:tcW w:w="0" w:type="dxa"/>
            <w:vAlign w:val="bottom"/>
          </w:tcPr>
          <w:p>
            <w:pPr>
              <w:spacing w:after="0"/>
              <w:rPr>
                <w:sz w:val="1"/>
                <w:szCs w:val="1"/>
                <w:color w:val="auto"/>
              </w:rPr>
            </w:pPr>
          </w:p>
        </w:tc>
      </w:tr>
      <w:tr>
        <w:trPr>
          <w:trHeight w:val="270"/>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Rishi Gupta (3)</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4,184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4,184</w:t>
            </w:r>
          </w:p>
        </w:tc>
        <w:tc>
          <w:tcPr>
            <w:tcW w:w="0" w:type="dxa"/>
            <w:vAlign w:val="bottom"/>
          </w:tcPr>
          <w:p>
            <w:pPr>
              <w:spacing w:after="0"/>
              <w:rPr>
                <w:sz w:val="1"/>
                <w:szCs w:val="1"/>
                <w:color w:val="auto"/>
              </w:rPr>
            </w:pPr>
          </w:p>
        </w:tc>
      </w:tr>
      <w:tr>
        <w:trPr>
          <w:trHeight w:val="270"/>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Mahendra Shah, Ph.D.</w:t>
            </w:r>
          </w:p>
        </w:tc>
        <w:tc>
          <w:tcPr>
            <w:tcW w:w="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57,736 ​</w:t>
            </w: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​328,117</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​385,853</w:t>
            </w:r>
          </w:p>
        </w:tc>
        <w:tc>
          <w:tcPr>
            <w:tcW w:w="0" w:type="dxa"/>
            <w:vAlign w:val="bottom"/>
          </w:tcPr>
          <w:p>
            <w:pPr>
              <w:spacing w:after="0"/>
              <w:rPr>
                <w:sz w:val="1"/>
                <w:szCs w:val="1"/>
                <w:color w:val="auto"/>
              </w:rPr>
            </w:pPr>
          </w:p>
        </w:tc>
      </w:tr>
      <w:tr>
        <w:trPr>
          <w:trHeight w:val="270"/>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Vikas Sinha</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77,818 ​</w:t>
            </w: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w w:val="99"/>
              </w:rPr>
              <w:t>​328,117</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​405,935</w:t>
            </w:r>
          </w:p>
        </w:tc>
        <w:tc>
          <w:tcPr>
            <w:tcW w:w="0" w:type="dxa"/>
            <w:vAlign w:val="bottom"/>
          </w:tcPr>
          <w:p>
            <w:pPr>
              <w:spacing w:after="0"/>
              <w:rPr>
                <w:sz w:val="1"/>
                <w:szCs w:val="1"/>
                <w:color w:val="auto"/>
              </w:rPr>
            </w:pPr>
          </w:p>
        </w:tc>
      </w:tr>
      <w:tr>
        <w:trPr>
          <w:trHeight w:val="270"/>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Anders Ullman, M.D., Ph.D.</w:t>
            </w:r>
          </w:p>
        </w:tc>
        <w:tc>
          <w:tcPr>
            <w:tcW w:w="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50,205 ​</w:t>
            </w: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​328,117</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​378,323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-1859280</wp:posOffset>
            </wp:positionV>
            <wp:extent cx="1371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-1859280</wp:posOffset>
            </wp:positionV>
            <wp:extent cx="1371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4340225</wp:posOffset>
            </wp:positionH>
            <wp:positionV relativeFrom="paragraph">
              <wp:posOffset>-1859280</wp:posOffset>
            </wp:positionV>
            <wp:extent cx="1371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620" w:right="639" w:hanging="360"/>
        <w:spacing w:after="0" w:line="266" w:lineRule="auto"/>
        <w:tabs>
          <w:tab w:leader="none" w:pos="1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in this table are expressed in U.S. dollars. Amounts for 2024 paid in pounds sterling have been converted to U.S. dollars based on the exchange rate ($1.25513 to 1 pound sterling) as of December 31, 2024.</w:t>
      </w:r>
    </w:p>
    <w:p>
      <w:pPr>
        <w:spacing w:after="0" w:line="54" w:lineRule="exact"/>
        <w:rPr>
          <w:rFonts w:ascii="Times New Roman" w:cs="Times New Roman" w:eastAsia="Times New Roman" w:hAnsi="Times New Roman"/>
          <w:sz w:val="18"/>
          <w:szCs w:val="18"/>
          <w:color w:val="auto"/>
        </w:rPr>
      </w:pPr>
    </w:p>
    <w:p>
      <w:pPr>
        <w:ind w:left="1620" w:right="479" w:hanging="360"/>
        <w:spacing w:after="0" w:line="258" w:lineRule="auto"/>
        <w:tabs>
          <w:tab w:leader="none" w:pos="1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full grant-date fair value of options granted during 2024 computed in accordance with ASC Topic 718, rather than the amounts paid to or realized by the named individual. We provide information regarding the assumptions used to calculate the value of all option awards made to our directors in Note 7 to the consolidated financial statements included in our Annual Report on Form 10-K for the year ended December 31, 2024.</w:t>
      </w:r>
    </w:p>
    <w:p>
      <w:pPr>
        <w:spacing w:after="0" w:line="10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table below shows the aggregate numbers of option awards (exercisable and unexercisable) and unvested stock awards held as of December 31, 2024 by each non-employee director. Awards cover ordinary shares and/or ADSs; however, amounts shown below are expressed in terms of the number of ADSs that are covered by each such award.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33655</wp:posOffset>
            </wp:positionV>
            <wp:extent cx="4749165"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6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David Ebsworth, Ph.D.</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Christina Ackermann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Michael Austwick</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James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Kenneth Cunningham, M.D</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Lisa Deschamps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Martin Edwards, M.D.</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Rishi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Mahendra Shah, Ph.D.</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Vikas Sinha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Anders Ullman,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163195</wp:posOffset>
            </wp:positionV>
            <wp:extent cx="123444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94" w:lineRule="exact"/>
        <w:rPr>
          <w:sz w:val="20"/>
          <w:szCs w:val="20"/>
          <w:color w:val="auto"/>
        </w:rPr>
      </w:pPr>
    </w:p>
    <w:p>
      <w:pPr>
        <w:ind w:left="1620" w:hanging="360"/>
        <w:spacing w:after="0"/>
        <w:tabs>
          <w:tab w:leader="none" w:pos="1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Gupta resigned from the Board in January 2024.</w:t>
      </w:r>
    </w:p>
    <w:p>
      <w:pPr>
        <w:spacing w:after="0" w:line="144" w:lineRule="exact"/>
        <w:rPr>
          <w:rFonts w:ascii="Times New Roman" w:cs="Times New Roman" w:eastAsia="Times New Roman" w:hAnsi="Times New Roman"/>
          <w:sz w:val="18"/>
          <w:szCs w:val="18"/>
          <w:color w:val="auto"/>
        </w:rPr>
      </w:pPr>
    </w:p>
    <w:p>
      <w:pPr>
        <w:ind w:left="5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Option Awards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at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 Fiscal</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Year End</w:t>
            </w:r>
          </w:p>
        </w:tc>
        <w:tc>
          <w:tcPr>
            <w:tcW w:w="2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2"/>
        </w:trPr>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75,000</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48,000</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18,000</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78,000</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75,000</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75,000</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75,000</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75,000</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90,048</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75,000</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1117" w:lineRule="exact"/>
        <w:rPr>
          <w:sz w:val="20"/>
          <w:szCs w:val="20"/>
          <w:color w:val="auto"/>
        </w:rPr>
      </w:pPr>
    </w:p>
    <w:p>
      <w:pPr>
        <w:sectPr>
          <w:pgSz w:w="11900" w:h="16838" w:orient="portrait"/>
          <w:cols w:equalWidth="0" w:num="2">
            <w:col w:w="7220" w:space="720"/>
            <w:col w:w="1939"/>
          </w:cols>
          <w:pgMar w:left="580" w:top="97" w:right="1440" w:bottom="1440" w:gutter="0" w:footer="0" w:header="0"/>
          <w:type w:val="continuous"/>
        </w:sect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16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As required by Section 953(b) of the Dodd-Frank Wall Street Reform and Consumer Protection Act and Item 402(u) of Regulation S-K, we are required to disclose the ratio of our Chief Executive Officer’s annual total compensation to the annual total compensation of our other employees.</w:t>
      </w:r>
    </w:p>
    <w:p>
      <w:pPr>
        <w:spacing w:after="0" w:line="102" w:lineRule="exact"/>
        <w:rPr>
          <w:sz w:val="20"/>
          <w:szCs w:val="20"/>
          <w:color w:val="auto"/>
        </w:rPr>
      </w:pPr>
    </w:p>
    <w:p>
      <w:pPr>
        <w:ind w:left="1260" w:right="579" w:firstLine="360"/>
        <w:spacing w:after="0" w:line="244" w:lineRule="auto"/>
        <w:rPr>
          <w:sz w:val="20"/>
          <w:szCs w:val="20"/>
          <w:color w:val="auto"/>
        </w:rPr>
      </w:pPr>
      <w:r>
        <w:rPr>
          <w:rFonts w:ascii="Times New Roman" w:cs="Times New Roman" w:eastAsia="Times New Roman" w:hAnsi="Times New Roman"/>
          <w:sz w:val="18"/>
          <w:szCs w:val="18"/>
          <w:color w:val="auto"/>
        </w:rPr>
        <w:t>The annual total compensation for 2024 for our Chief Executive Officer was $19,456,473, as reported in the Summary Compensation Table. The annual total compensation for 2024 for our median employee, identified as discussed below, was $444,444, calculated in accordance with the rules applicable to the Summary Compensation Table. Based on this information, for 2024, the ratio of the annual total compensation of our Chief Executive Officer to the median of the annual total compensation of our other employees was approximately 44 to 1.</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Methodology, Assumptions and Estimates Used in Determining our Pay Ratio Disclosure</w:t>
      </w:r>
    </w:p>
    <w:p>
      <w:pPr>
        <w:spacing w:after="0" w:line="148"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We chose December 31, 2024 as the date for establishing the employee population used in identifying the median employee and used calendar year 2024 as the measurement period. We identified the median employee using the consistently applied compensation measure of total compensation, calculated consistently with that of our Chief Executive Officer for each employee employed as of December 31, 2024 (other than our Chief Executive Officer). We annualized the compensation measure for permanent employees who joined in 2024. We captured all full-time, part-time, seasonal and temporary employees, consisting of approximately 220 individuals.</w:t>
      </w:r>
    </w:p>
    <w:p>
      <w:pPr>
        <w:spacing w:after="0" w:line="114"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The annual total compensation of the median employee and the annual total compensation of the CEO were calculated in accordance with the requirements of Item 402(c)(2)(x) of Regulation S-K.</w:t>
      </w:r>
    </w:p>
    <w:p>
      <w:pPr>
        <w:spacing w:after="0" w:line="81"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The pay ratio reported above is a reasonable estimate calculated in a manner consistent with SEC rules based on our internal records and the methodology described above.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 pay ratio reported above should not be used as a basis for comparison between companies by other companies. In addition, we expect the Company’s annually reported pay ratio may vary significantly year over year, given the size of the Company and the potential variability in Company employee compensation.</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We have assessed our compensation programs for all employees and concluded that our compensation policies and practices do not create risks that are reasonably likely to have a material adverse effect on us. Management has evaluated our executive and employee compensation and benefits programs to determine if these programs’ provisions and operations create undesired or unintentional risk of a material nature. The risk assessment process includes a review of program policies and practices; analysis to identify risks and risk controls related to our compensation programs; and determinations as to the sufficiency of risk identification, the balance of potential risk to potential reward, the effectiveness of our risk controls and the impacts of our compensation programs and their risks to our strategy. Although we periodically review all compensation programs, we focus on the programs with variability of payout, with the ability of a participant to directly affect payout and the controls on participant action and payout. In relation to this, we believe that our incentive compensation arrangements provide incentives that do not encourage risk taking beyond our ability to effectively identify and manage significant risks and are compatible with effective internal controls and our risk management practices.</w:t>
      </w:r>
    </w:p>
    <w:p>
      <w:pPr>
        <w:spacing w:after="0" w:line="12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The Remuneration Committee monitors our compensation programs on an annual basis and expects to make modifications as necessary to address any changes in our business or risk profile.</w:t>
      </w:r>
    </w:p>
    <w:p>
      <w:pPr>
        <w:spacing w:after="0" w:line="17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4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sets forth information as of December 31, 2024 regarding ordinary shares that may be issued under our equity compensation plans, consisting of the Verona Pharma plc EMI Option Scheme, the Verona Pharma plc Unapproved Share Option Scheme and the Verona Pharma plc 2017 Incentive Award</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179"/>
        <w:spacing w:after="0" w:line="297" w:lineRule="auto"/>
        <w:rPr>
          <w:sz w:val="20"/>
          <w:szCs w:val="20"/>
          <w:color w:val="auto"/>
        </w:rPr>
      </w:pPr>
      <w:r>
        <w:rPr>
          <w:rFonts w:ascii="Times New Roman" w:cs="Times New Roman" w:eastAsia="Times New Roman" w:hAnsi="Times New Roman"/>
          <w:sz w:val="18"/>
          <w:szCs w:val="18"/>
          <w:color w:val="auto"/>
        </w:rPr>
        <w:t>Plan (as it has been amended and/or restated, the “2017 Incentive Plan”). We do not have any non-shareholder approved equity compensation plans.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Plan Category</w:t>
      </w:r>
    </w:p>
    <w:p>
      <w:pPr>
        <w:spacing w:after="0" w:line="75" w:lineRule="exact"/>
        <w:rPr>
          <w:sz w:val="20"/>
          <w:szCs w:val="20"/>
          <w:color w:val="auto"/>
        </w:rPr>
      </w:pPr>
    </w:p>
    <w:p>
      <w:pPr>
        <w:ind w:left="1440" w:right="280" w:hanging="179"/>
        <w:spacing w:after="0" w:line="273" w:lineRule="auto"/>
        <w:rPr>
          <w:sz w:val="20"/>
          <w:szCs w:val="20"/>
          <w:color w:val="auto"/>
        </w:rPr>
      </w:pPr>
      <w:r>
        <w:rPr>
          <w:rFonts w:ascii="Times New Roman" w:cs="Times New Roman" w:eastAsia="Times New Roman" w:hAnsi="Times New Roman"/>
          <w:sz w:val="18"/>
          <w:szCs w:val="18"/>
          <w:color w:val="auto"/>
        </w:rPr>
        <w:t>Equity compensation plans approved by shareholders</w:t>
      </w:r>
    </w:p>
    <w:p>
      <w:pPr>
        <w:spacing w:after="0" w:line="2" w:lineRule="exact"/>
        <w:rPr>
          <w:sz w:val="20"/>
          <w:szCs w:val="20"/>
          <w:color w:val="auto"/>
        </w:rPr>
      </w:pPr>
    </w:p>
    <w:p>
      <w:pPr>
        <w:ind w:left="1440" w:hanging="179"/>
        <w:spacing w:after="0" w:line="282" w:lineRule="auto"/>
        <w:rPr>
          <w:sz w:val="20"/>
          <w:szCs w:val="20"/>
          <w:color w:val="auto"/>
        </w:rPr>
      </w:pPr>
      <w:r>
        <w:rPr>
          <w:rFonts w:ascii="Times New Roman" w:cs="Times New Roman" w:eastAsia="Times New Roman" w:hAnsi="Times New Roman"/>
          <w:sz w:val="18"/>
          <w:szCs w:val="18"/>
          <w:color w:val="auto"/>
        </w:rPr>
        <w:t>Equity compensation plans not approved by shareholders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180340</wp:posOffset>
            </wp:positionV>
            <wp:extent cx="123444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2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Number of Securities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to be Issued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Exercise Price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Number of Securities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2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Upon Exercise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Remaining Available</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40" w:type="dxa"/>
            <w:vAlign w:val="bottom"/>
          </w:tcPr>
          <w:p>
            <w:pPr>
              <w:spacing w:after="0"/>
              <w:rPr>
                <w:sz w:val="14"/>
                <w:szCs w:val="14"/>
                <w:color w:val="auto"/>
              </w:rPr>
            </w:pPr>
          </w:p>
        </w:tc>
        <w:tc>
          <w:tcPr>
            <w:tcW w:w="10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Options,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Future Issuance Under</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2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Options, Warrants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Warrants and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 Compensation</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0"/>
        </w:trPr>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and Rights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
        </w:trPr>
        <w:tc>
          <w:tcPr>
            <w:tcW w:w="126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521"/>
        </w:trPr>
        <w:tc>
          <w:tcPr>
            <w:tcW w:w="126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​73,240,552</w:t>
            </w:r>
            <w:r>
              <w:rPr>
                <w:rFonts w:ascii="Times New Roman" w:cs="Times New Roman" w:eastAsia="Times New Roman" w:hAnsi="Times New Roman"/>
                <w:sz w:val="23"/>
                <w:szCs w:val="23"/>
                <w:color w:val="auto"/>
                <w:vertAlign w:val="superscript"/>
              </w:rPr>
              <w:t>(1)</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​$1.88</w:t>
            </w:r>
            <w:r>
              <w:rPr>
                <w:rFonts w:ascii="Times New Roman" w:cs="Times New Roman" w:eastAsia="Times New Roman" w:hAnsi="Times New Roman"/>
                <w:sz w:val="23"/>
                <w:szCs w:val="23"/>
                <w:color w:val="auto"/>
                <w:vertAlign w:val="superscript"/>
              </w:rPr>
              <w:t>(2)</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​1,585,221</w:t>
            </w:r>
            <w:r>
              <w:rPr>
                <w:rFonts w:ascii="Times New Roman" w:cs="Times New Roman" w:eastAsia="Times New Roman" w:hAnsi="Times New Roman"/>
                <w:sz w:val="23"/>
                <w:szCs w:val="23"/>
                <w:color w:val="auto"/>
                <w:vertAlign w:val="superscript"/>
              </w:rPr>
              <w:t>(3)</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431"/>
        </w:trPr>
        <w:tc>
          <w:tcPr>
            <w:tcW w:w="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4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26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​73,240,552</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​1,585,221</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-2450465</wp:posOffset>
            </wp:positionH>
            <wp:positionV relativeFrom="paragraph">
              <wp:posOffset>-187960</wp:posOffset>
            </wp:positionV>
            <wp:extent cx="5212080"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-2450465</wp:posOffset>
            </wp:positionH>
            <wp:positionV relativeFrom="paragraph">
              <wp:posOffset>-805180</wp:posOffset>
            </wp:positionV>
            <wp:extent cx="5212080" cy="3086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60" w:space="560"/>
            <w:col w:w="4759"/>
          </w:cols>
          <w:pgMar w:left="580" w:top="97" w:right="1440" w:bottom="1440" w:gutter="0" w:footer="0" w:header="0"/>
          <w:type w:val="continuous"/>
        </w:sectPr>
      </w:pPr>
    </w:p>
    <w:p>
      <w:pPr>
        <w:spacing w:after="0" w:line="187" w:lineRule="exact"/>
        <w:rPr>
          <w:sz w:val="20"/>
          <w:szCs w:val="20"/>
          <w:color w:val="auto"/>
        </w:rPr>
      </w:pPr>
    </w:p>
    <w:p>
      <w:pPr>
        <w:ind w:left="1620" w:right="899" w:hanging="360"/>
        <w:spacing w:after="0" w:line="282" w:lineRule="auto"/>
        <w:tabs>
          <w:tab w:leader="none" w:pos="1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14,830,112 ordinary shares underlying outstanding restricted share units and 25,537,048 ordinary shares underlying performance restricted share units as of December 31, 2024.</w:t>
      </w:r>
    </w:p>
    <w:p>
      <w:pPr>
        <w:spacing w:after="0" w:line="40" w:lineRule="exact"/>
        <w:rPr>
          <w:rFonts w:ascii="Times New Roman" w:cs="Times New Roman" w:eastAsia="Times New Roman" w:hAnsi="Times New Roman"/>
          <w:sz w:val="18"/>
          <w:szCs w:val="18"/>
          <w:color w:val="auto"/>
        </w:rPr>
      </w:pPr>
    </w:p>
    <w:p>
      <w:pPr>
        <w:ind w:left="1620" w:right="539" w:hanging="360"/>
        <w:spacing w:after="0" w:line="266" w:lineRule="auto"/>
        <w:tabs>
          <w:tab w:leader="none" w:pos="1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 average exercise price of outstanding options. Restricted share units and performance restricted share units are not taken into account for purposes of determining the weighted average exercise price.</w:t>
      </w:r>
    </w:p>
    <w:p>
      <w:pPr>
        <w:spacing w:after="0" w:line="54" w:lineRule="exact"/>
        <w:rPr>
          <w:rFonts w:ascii="Times New Roman" w:cs="Times New Roman" w:eastAsia="Times New Roman" w:hAnsi="Times New Roman"/>
          <w:sz w:val="18"/>
          <w:szCs w:val="18"/>
          <w:color w:val="auto"/>
        </w:rPr>
      </w:pPr>
    </w:p>
    <w:p>
      <w:pPr>
        <w:ind w:left="1620" w:right="439" w:hanging="360"/>
        <w:spacing w:after="0" w:line="258" w:lineRule="auto"/>
        <w:tabs>
          <w:tab w:leader="none" w:pos="1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the 2017 Incentive Plan, the number of common shares that may be issued under the 2017 Incentive Plan will automatically increase on January 1st of each year, from January 1, 2024 continuing through January 1, 2033, by 4% of the total number of ordinary shares outstanding on December 31st of the preceding calendar year, or a lesser number of shares as may be determined by the Board of Directors.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48" w:lineRule="exact"/>
        <w:rPr>
          <w:sz w:val="20"/>
          <w:szCs w:val="20"/>
          <w:color w:val="auto"/>
        </w:rPr>
      </w:pPr>
    </w:p>
    <w:p>
      <w:pPr>
        <w:jc w:val="both"/>
        <w:ind w:left="1260" w:right="959" w:firstLine="360"/>
        <w:spacing w:after="0" w:line="297"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voting ordinary shares (and our ADSs, each of which represents 8 ordinary shares), as of March 1, 2025, by:</w:t>
      </w:r>
    </w:p>
    <w:p>
      <w:pPr>
        <w:spacing w:after="0" w:line="68" w:lineRule="exact"/>
        <w:rPr>
          <w:sz w:val="20"/>
          <w:szCs w:val="20"/>
          <w:color w:val="auto"/>
        </w:rPr>
      </w:pPr>
    </w:p>
    <w:p>
      <w:pPr>
        <w:ind w:left="1800" w:right="43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ordinary shares;</w:t>
      </w:r>
    </w:p>
    <w:p>
      <w:pPr>
        <w:spacing w:after="0" w:line="8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 directors (which includes all nominees); and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158" w:lineRule="exact"/>
        <w:rPr>
          <w:sz w:val="20"/>
          <w:szCs w:val="20"/>
          <w:color w:val="auto"/>
        </w:rPr>
      </w:pPr>
    </w:p>
    <w:p>
      <w:pPr>
        <w:ind w:left="1260" w:right="439" w:firstLine="360"/>
        <w:spacing w:after="0" w:line="264" w:lineRule="auto"/>
        <w:rPr>
          <w:sz w:val="20"/>
          <w:szCs w:val="20"/>
          <w:color w:val="auto"/>
        </w:rPr>
      </w:pPr>
      <w:r>
        <w:rPr>
          <w:rFonts w:ascii="Times New Roman" w:cs="Times New Roman" w:eastAsia="Times New Roman" w:hAnsi="Times New Roman"/>
          <w:sz w:val="18"/>
          <w:szCs w:val="18"/>
          <w:color w:val="auto"/>
        </w:rPr>
        <w:t>The number of shares beneficially owned by each shareholder is determined under rules issued by the SEC. Under these rules, beneficial ownership includes any shares over which the individual or entity has sole or shared voting power or investment power. Applicable percentage ownership is based on 680,144,806 voting and non-voting ordinary shares outstanding as of March 1, 2025, including ordinary shares in the form of ADSs. In computing the number of shares beneficially owned by an individual or entity and</w:t>
      </w:r>
    </w:p>
    <w:p>
      <w:pPr>
        <w:ind w:left="1260" w:right="659"/>
        <w:spacing w:after="0" w:line="258" w:lineRule="auto"/>
        <w:rPr>
          <w:sz w:val="20"/>
          <w:szCs w:val="20"/>
          <w:color w:val="auto"/>
        </w:rPr>
      </w:pPr>
      <w:r>
        <w:rPr>
          <w:rFonts w:ascii="Times New Roman" w:cs="Times New Roman" w:eastAsia="Times New Roman" w:hAnsi="Times New Roman"/>
          <w:sz w:val="18"/>
          <w:szCs w:val="18"/>
          <w:color w:val="auto"/>
        </w:rPr>
        <w:t>the percentage ownership of that person, ordinary shares subject to options, restricted share units or other rights held by such person that are currently exercisable or will become exercisable or will vest within</w:t>
      </w:r>
    </w:p>
    <w:p>
      <w:pPr>
        <w:ind w:left="1260" w:right="539"/>
        <w:spacing w:after="0" w:line="276" w:lineRule="auto"/>
        <w:rPr>
          <w:sz w:val="20"/>
          <w:szCs w:val="20"/>
          <w:color w:val="auto"/>
        </w:rPr>
      </w:pPr>
      <w:r>
        <w:rPr>
          <w:rFonts w:ascii="Times New Roman" w:cs="Times New Roman" w:eastAsia="Times New Roman" w:hAnsi="Times New Roman"/>
          <w:sz w:val="18"/>
          <w:szCs w:val="18"/>
          <w:color w:val="auto"/>
        </w:rPr>
        <w:t>60 days of March 1, 2025 are considered outstanding, although these shares are not considered outstanding for purposes of computing the percentage ownership of any other person.</w:t>
      </w:r>
    </w:p>
    <w:p>
      <w:pPr>
        <w:spacing w:after="0" w:line="113" w:lineRule="exact"/>
        <w:rPr>
          <w:sz w:val="20"/>
          <w:szCs w:val="20"/>
          <w:color w:val="auto"/>
        </w:rPr>
      </w:pPr>
    </w:p>
    <w:p>
      <w:pPr>
        <w:ind w:left="1260" w:right="459" w:firstLine="360"/>
        <w:spacing w:after="0" w:line="271" w:lineRule="auto"/>
        <w:rPr>
          <w:sz w:val="20"/>
          <w:szCs w:val="20"/>
          <w:color w:val="auto"/>
        </w:rPr>
      </w:pPr>
      <w:r>
        <w:rPr>
          <w:rFonts w:ascii="Times New Roman" w:cs="Times New Roman" w:eastAsia="Times New Roman" w:hAnsi="Times New Roman"/>
          <w:sz w:val="18"/>
          <w:szCs w:val="18"/>
          <w:color w:val="auto"/>
        </w:rPr>
        <w:t>Unless noted otherwise, the address of all listed shareholders is c/o Verona Pharma plc, 3 More London Riverside, London SE1 2RE UK. Each of the shareholders listed has sole voting and investment power with respect to the shares beneficially owned by the shareholder unless noted otherwise, subject to community property laws where applicable.</w:t>
      </w:r>
    </w:p>
    <w:p>
      <w:pPr>
        <w:spacing w:after="0" w:line="34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3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940" w:type="dxa"/>
            <w:vAlign w:val="bottom"/>
            <w:gridSpan w:val="2"/>
          </w:tcPr>
          <w:p>
            <w:pPr>
              <w:ind w:left="18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04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860" w:type="dxa"/>
            <w:vAlign w:val="bottom"/>
          </w:tcPr>
          <w:p>
            <w:pPr>
              <w:spacing w:after="0"/>
              <w:rPr>
                <w:sz w:val="20"/>
                <w:szCs w:val="20"/>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20" w:type="dxa"/>
            <w:vAlign w:val="bottom"/>
            <w:gridSpan w:val="3"/>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Percent</w:t>
            </w:r>
            <w:r>
              <w:rPr>
                <w:rFonts w:ascii="Times New Roman" w:cs="Times New Roman" w:eastAsia="Times New Roman" w:hAnsi="Times New Roman"/>
                <w:sz w:val="27"/>
                <w:szCs w:val="27"/>
                <w:b w:val="1"/>
                <w:bCs w:val="1"/>
                <w:color w:val="auto"/>
                <w:vertAlign w:val="subscript"/>
              </w:rPr>
              <w:t>​</w:t>
            </w:r>
          </w:p>
        </w:tc>
      </w:tr>
      <w:tr>
        <w:trPr>
          <w:trHeight w:val="20"/>
        </w:trPr>
        <w:tc>
          <w:tcPr>
            <w:tcW w:w="336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-7620</wp:posOffset>
            </wp:positionV>
            <wp:extent cx="4749165"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5% or greater shareholders: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RA Capital Management affiliates</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0</wp:posOffset>
            </wp:positionV>
            <wp:extent cx="4749165" cy="1797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1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Perceptive Advisors LLC</w:t>
      </w:r>
      <w:r>
        <w:rPr>
          <w:rFonts w:ascii="Times New Roman" w:cs="Times New Roman" w:eastAsia="Times New Roman" w:hAnsi="Times New Roman"/>
          <w:sz w:val="23"/>
          <w:szCs w:val="23"/>
          <w:color w:val="auto"/>
          <w:vertAlign w:val="superscript"/>
        </w:rPr>
        <w:t>(2)</w:t>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b w:val="1"/>
          <w:bCs w:val="1"/>
          <w:color w:val="auto"/>
        </w:rPr>
        <w:t>Named Executive Officers, Directors and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12065</wp:posOffset>
            </wp:positionV>
            <wp:extent cx="4749165" cy="1797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David Zaccardelli, Pharm.D.</w:t>
      </w:r>
      <w:r>
        <w:rPr>
          <w:rFonts w:ascii="Times New Roman" w:cs="Times New Roman" w:eastAsia="Times New Roman" w:hAnsi="Times New Roman"/>
          <w:sz w:val="23"/>
          <w:szCs w:val="23"/>
          <w:color w:val="auto"/>
          <w:vertAlign w:val="superscript"/>
        </w:rPr>
        <w:t>(3)</w:t>
      </w:r>
    </w:p>
    <w:p>
      <w:pPr>
        <w:spacing w:after="0" w:line="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Mark W. Hahn</w:t>
      </w:r>
      <w:r>
        <w:rPr>
          <w:rFonts w:ascii="Times New Roman" w:cs="Times New Roman" w:eastAsia="Times New Roman" w:hAnsi="Times New Roman"/>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-6985</wp:posOffset>
            </wp:positionV>
            <wp:extent cx="4749165" cy="1803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Andrew Fisher</w:t>
      </w:r>
      <w:r>
        <w:rPr>
          <w:rFonts w:ascii="Times New Roman" w:cs="Times New Roman" w:eastAsia="Times New Roman" w:hAnsi="Times New Roman"/>
          <w:sz w:val="23"/>
          <w:szCs w:val="23"/>
          <w:color w:val="auto"/>
          <w:vertAlign w:val="superscript"/>
        </w:rPr>
        <w:t>(5)</w:t>
      </w:r>
    </w:p>
    <w:p>
      <w:pPr>
        <w:spacing w:after="0" w:line="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Kathleen Rickard, M.D.</w:t>
      </w:r>
      <w:r>
        <w:rPr>
          <w:rFonts w:ascii="Times New Roman" w:cs="Times New Roman" w:eastAsia="Times New Roman" w:hAnsi="Times New Roman"/>
          <w:sz w:val="23"/>
          <w:szCs w:val="23"/>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-6985</wp:posOffset>
            </wp:positionV>
            <wp:extent cx="4749165" cy="1797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 xml:space="preserve">Claire Poll </w:t>
      </w:r>
      <w:r>
        <w:rPr>
          <w:rFonts w:ascii="Times New Roman" w:cs="Times New Roman" w:eastAsia="Times New Roman" w:hAnsi="Times New Roman"/>
          <w:sz w:val="23"/>
          <w:szCs w:val="23"/>
          <w:color w:val="auto"/>
          <w:vertAlign w:val="superscript"/>
        </w:rPr>
        <w:t>(7)</w:t>
      </w:r>
    </w:p>
    <w:p>
      <w:pPr>
        <w:spacing w:after="0" w:line="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Christina Ackermann</w:t>
      </w:r>
      <w:r>
        <w:rPr>
          <w:rFonts w:ascii="Times New Roman" w:cs="Times New Roman" w:eastAsia="Times New Roman" w:hAnsi="Times New Roman"/>
          <w:sz w:val="23"/>
          <w:szCs w:val="23"/>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-6985</wp:posOffset>
            </wp:positionV>
            <wp:extent cx="4749165" cy="1797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Michael Austwick</w:t>
      </w:r>
      <w:r>
        <w:rPr>
          <w:rFonts w:ascii="Times New Roman" w:cs="Times New Roman" w:eastAsia="Times New Roman" w:hAnsi="Times New Roman"/>
          <w:sz w:val="23"/>
          <w:szCs w:val="23"/>
          <w:color w:val="auto"/>
          <w:vertAlign w:val="superscript"/>
        </w:rPr>
        <w:t>(9)</w:t>
      </w:r>
    </w:p>
    <w:p>
      <w:pPr>
        <w:spacing w:after="0" w:line="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James Brady</w:t>
      </w:r>
      <w:r>
        <w:rPr>
          <w:rFonts w:ascii="Times New Roman" w:cs="Times New Roman" w:eastAsia="Times New Roman" w:hAnsi="Times New Roman"/>
          <w:sz w:val="23"/>
          <w:szCs w:val="23"/>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-6985</wp:posOffset>
            </wp:positionV>
            <wp:extent cx="4749165" cy="1803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Kenneth Cunningham, M.D.</w:t>
      </w:r>
      <w:r>
        <w:rPr>
          <w:rFonts w:ascii="Times New Roman" w:cs="Times New Roman" w:eastAsia="Times New Roman" w:hAnsi="Times New Roman"/>
          <w:sz w:val="23"/>
          <w:szCs w:val="23"/>
          <w:color w:val="auto"/>
          <w:vertAlign w:val="superscript"/>
        </w:rPr>
        <w:t>(11)</w:t>
      </w:r>
    </w:p>
    <w:p>
      <w:pPr>
        <w:spacing w:after="0" w:line="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Lisa Deschamps</w:t>
      </w:r>
      <w:r>
        <w:rPr>
          <w:rFonts w:ascii="Times New Roman" w:cs="Times New Roman" w:eastAsia="Times New Roman" w:hAnsi="Times New Roman"/>
          <w:sz w:val="23"/>
          <w:szCs w:val="23"/>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-6985</wp:posOffset>
            </wp:positionV>
            <wp:extent cx="4749165" cy="1797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David Ebsworth, Ph.D.</w:t>
      </w:r>
      <w:r>
        <w:rPr>
          <w:rFonts w:ascii="Times New Roman" w:cs="Times New Roman" w:eastAsia="Times New Roman" w:hAnsi="Times New Roman"/>
          <w:sz w:val="23"/>
          <w:szCs w:val="23"/>
          <w:color w:val="auto"/>
          <w:vertAlign w:val="superscript"/>
        </w:rPr>
        <w:t>(13)</w:t>
      </w:r>
    </w:p>
    <w:p>
      <w:pPr>
        <w:spacing w:after="0" w:line="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Martin Edwards, M.D.</w:t>
      </w:r>
      <w:r>
        <w:rPr>
          <w:rFonts w:ascii="Times New Roman" w:cs="Times New Roman" w:eastAsia="Times New Roman" w:hAnsi="Times New Roman"/>
          <w:sz w:val="23"/>
          <w:szCs w:val="23"/>
          <w:color w:val="auto"/>
          <w:vertAlign w:val="super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-6985</wp:posOffset>
            </wp:positionV>
            <wp:extent cx="4749165" cy="1797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Mahendra Shah, Ph.D.</w:t>
      </w:r>
      <w:r>
        <w:rPr>
          <w:rFonts w:ascii="Times New Roman" w:cs="Times New Roman" w:eastAsia="Times New Roman" w:hAnsi="Times New Roman"/>
          <w:sz w:val="23"/>
          <w:szCs w:val="23"/>
          <w:color w:val="auto"/>
          <w:vertAlign w:val="superscript"/>
        </w:rPr>
        <w:t>(15)</w:t>
      </w:r>
    </w:p>
    <w:p>
      <w:pPr>
        <w:spacing w:after="0" w:line="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Vikas Sinha</w:t>
      </w:r>
      <w:r>
        <w:rPr>
          <w:rFonts w:ascii="Times New Roman" w:cs="Times New Roman" w:eastAsia="Times New Roman" w:hAnsi="Times New Roman"/>
          <w:sz w:val="23"/>
          <w:szCs w:val="23"/>
          <w:color w:val="auto"/>
          <w:vertAlign w:val="superscript"/>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-6985</wp:posOffset>
            </wp:positionV>
            <wp:extent cx="4749165" cy="1797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Anders Ullman, M.D., Ph.D.</w:t>
      </w:r>
      <w:r>
        <w:rPr>
          <w:rFonts w:ascii="Times New Roman" w:cs="Times New Roman" w:eastAsia="Times New Roman" w:hAnsi="Times New Roman"/>
          <w:sz w:val="23"/>
          <w:szCs w:val="23"/>
          <w:color w:val="auto"/>
          <w:vertAlign w:val="superscript"/>
        </w:rPr>
        <w:t>(17)</w:t>
      </w:r>
    </w:p>
    <w:p>
      <w:pPr>
        <w:spacing w:after="0" w:line="17" w:lineRule="exact"/>
        <w:rPr>
          <w:sz w:val="20"/>
          <w:szCs w:val="20"/>
          <w:color w:val="auto"/>
        </w:rPr>
      </w:pPr>
    </w:p>
    <w:p>
      <w:pPr>
        <w:ind w:left="1800" w:right="480" w:hanging="179"/>
        <w:spacing w:after="0" w:line="265" w:lineRule="auto"/>
        <w:rPr>
          <w:sz w:val="20"/>
          <w:szCs w:val="20"/>
          <w:color w:val="auto"/>
        </w:rPr>
      </w:pPr>
      <w:r>
        <w:rPr>
          <w:rFonts w:ascii="Times New Roman" w:cs="Times New Roman" w:eastAsia="Times New Roman" w:hAnsi="Times New Roman"/>
          <w:sz w:val="18"/>
          <w:szCs w:val="18"/>
          <w:color w:val="auto"/>
        </w:rPr>
        <w:t>All directors and current executive officers as a group (14 persons)</w:t>
      </w:r>
      <w:r>
        <w:rPr>
          <w:rFonts w:ascii="Times New Roman" w:cs="Times New Roman" w:eastAsia="Times New Roman" w:hAnsi="Times New Roman"/>
          <w:sz w:val="23"/>
          <w:szCs w:val="23"/>
          <w:color w:val="auto"/>
          <w:vertAlign w:val="superscript"/>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114300</wp:posOffset>
            </wp:positionV>
            <wp:extent cx="123444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4"/>
        </w:trPr>
        <w:tc>
          <w:tcPr>
            <w:tcW w:w="4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62,223,536​​ ​</w:t>
            </w: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​9.2%</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4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52,527,464​​ ​</w:t>
            </w: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​7.7%</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spacing w:after="0"/>
              <w:rPr>
                <w:sz w:val="22"/>
                <w:szCs w:val="2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2"/>
                <w:szCs w:val="22"/>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2"/>
        </w:trPr>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color w:val="auto"/>
                <w:w w:val="96"/>
              </w:rPr>
              <w:t>            11,513,024</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4"/>
          </w:tcPr>
          <w:p>
            <w:pPr>
              <w:jc w:val="right"/>
              <w:spacing w:after="0" w:line="202"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03"/>
        </w:trPr>
        <w:tc>
          <w:tcPr>
            <w:tcW w:w="80" w:type="dxa"/>
            <w:vAlign w:val="bottom"/>
            <w:vMerge w:val="continue"/>
          </w:tcPr>
          <w:p>
            <w:pPr>
              <w:spacing w:after="0"/>
              <w:rPr>
                <w:sz w:val="8"/>
                <w:szCs w:val="8"/>
                <w:color w:val="auto"/>
              </w:rPr>
            </w:pPr>
          </w:p>
        </w:tc>
        <w:tc>
          <w:tcPr>
            <w:tcW w:w="400" w:type="dxa"/>
            <w:vAlign w:val="bottom"/>
          </w:tcPr>
          <w:p>
            <w:pPr>
              <w:jc w:val="right"/>
              <w:ind w:right="181"/>
              <w:spacing w:after="0" w:line="103" w:lineRule="exact"/>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160" w:type="dxa"/>
            <w:vAlign w:val="bottom"/>
          </w:tcPr>
          <w:p>
            <w:pPr>
              <w:ind w:left="60"/>
              <w:spacing w:after="0" w:line="103"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80"/>
        </w:trPr>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ind w:left="100"/>
              <w:spacing w:after="0" w:line="181" w:lineRule="exact"/>
              <w:rPr>
                <w:sz w:val="20"/>
                <w:szCs w:val="20"/>
                <w:color w:val="auto"/>
              </w:rPr>
            </w:pPr>
            <w:r>
              <w:rPr>
                <w:rFonts w:ascii="Times New Roman" w:cs="Times New Roman" w:eastAsia="Times New Roman" w:hAnsi="Times New Roman"/>
                <w:sz w:val="18"/>
                <w:szCs w:val="18"/>
                <w:color w:val="auto"/>
                <w:w w:val="96"/>
              </w:rPr>
              <w:t>            10,601,848</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4"/>
          </w:tcPr>
          <w:p>
            <w:pPr>
              <w:jc w:val="right"/>
              <w:spacing w:after="0" w:line="181"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03"/>
        </w:trPr>
        <w:tc>
          <w:tcPr>
            <w:tcW w:w="80" w:type="dxa"/>
            <w:vAlign w:val="bottom"/>
            <w:vMerge w:val="continue"/>
          </w:tcPr>
          <w:p>
            <w:pPr>
              <w:spacing w:after="0"/>
              <w:rPr>
                <w:sz w:val="8"/>
                <w:szCs w:val="8"/>
                <w:color w:val="auto"/>
              </w:rPr>
            </w:pPr>
          </w:p>
        </w:tc>
        <w:tc>
          <w:tcPr>
            <w:tcW w:w="400" w:type="dxa"/>
            <w:vAlign w:val="bottom"/>
          </w:tcPr>
          <w:p>
            <w:pPr>
              <w:jc w:val="right"/>
              <w:ind w:right="181"/>
              <w:spacing w:after="0" w:line="103" w:lineRule="exact"/>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160" w:type="dxa"/>
            <w:vAlign w:val="bottom"/>
          </w:tcPr>
          <w:p>
            <w:pPr>
              <w:ind w:left="60"/>
              <w:spacing w:after="0" w:line="103"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261"/>
        </w:trPr>
        <w:tc>
          <w:tcPr>
            <w:tcW w:w="4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600,000​​ ​</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4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2,625,752​​ ​</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4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1,718,728​​ ​</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4"/>
        </w:trPr>
        <w:tc>
          <w:tcPr>
            <w:tcW w:w="4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353,880​​ ​</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4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48,000​​ ​</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4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624,000​​ ​</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4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666,584​​ ​</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4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670,320​​ ​</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4"/>
        </w:trPr>
        <w:tc>
          <w:tcPr>
            <w:tcW w:w="4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1,476,003​​ ​</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4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744,800​​ ​</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4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673,080​​ ​</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4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794,824​​ ​</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4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934,856​​ ​</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473"/>
        </w:trPr>
        <w:tc>
          <w:tcPr>
            <w:tcW w:w="4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32,326,971​​ ​</w:t>
            </w: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​4.8%</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49" w:lineRule="exact"/>
        <w:rPr>
          <w:sz w:val="20"/>
          <w:szCs w:val="20"/>
          <w:color w:val="auto"/>
        </w:rPr>
      </w:pPr>
    </w:p>
    <w:p>
      <w:pPr>
        <w:sectPr>
          <w:pgSz w:w="11900" w:h="16838" w:orient="portrait"/>
          <w:cols w:equalWidth="0" w:num="2">
            <w:col w:w="6160" w:space="720"/>
            <w:col w:w="2999"/>
          </w:cols>
          <w:pgMar w:left="580" w:top="97" w:right="1440" w:bottom="1440" w:gutter="0" w:footer="0" w:header="0"/>
          <w:type w:val="continuous"/>
        </w:sectPr>
      </w:pPr>
    </w:p>
    <w:p>
      <w:pPr>
        <w:spacing w:after="0" w:line="110" w:lineRule="exact"/>
        <w:rPr>
          <w:sz w:val="20"/>
          <w:szCs w:val="20"/>
          <w:color w:val="auto"/>
        </w:rPr>
      </w:pPr>
    </w:p>
    <w:p>
      <w:pPr>
        <w:ind w:left="1620" w:hanging="360"/>
        <w:spacing w:after="0"/>
        <w:tabs>
          <w:tab w:leader="none" w:pos="1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beneficial ownership of less than 1% of the total outstanding ordinary shares.</w:t>
      </w:r>
    </w:p>
    <w:p>
      <w:pPr>
        <w:spacing w:after="0" w:line="77" w:lineRule="exact"/>
        <w:rPr>
          <w:sz w:val="20"/>
          <w:szCs w:val="20"/>
          <w:color w:val="auto"/>
        </w:rPr>
      </w:pPr>
    </w:p>
    <w:p>
      <w:pPr>
        <w:ind w:left="1620" w:right="439" w:hanging="360"/>
        <w:spacing w:after="0" w:line="252" w:lineRule="auto"/>
        <w:tabs>
          <w:tab w:leader="none" w:pos="1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14,134,640 ordinary shares held directly by RA Capital Healthcare Fund, L.P., or RA Capital, all of which are held in the form of ADSs, and (b) 48,088,896 non-voting ordinary shares that RA Capital beneficially own based on the right to acquire, upon the redesignation of the non-voting ordinary shares as ordinary shares. RA Capital may elect to have any portion of their non-voting ordinary shares re-designated as voting ordinary shares at any time, unless, immediately following such conversion, they would beneficially own more than 9.99% of the outstanding ordinary shares. If RA Capital would beneficially own more than 9.99% of the outstanding ordinary shares following such re-designation, then the re-designation would occur no earlier than 61 days following the election for such re-designation. RA Capital Management, L.P., or Adviser, is the investment adviser for RA Capital. The general partner of the Adviser is RA Capital Management GP, LLC, or Adviser GP, of which</w:t>
      </w:r>
    </w:p>
    <w:p>
      <w:pPr>
        <w:spacing w:after="0" w:line="5"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Peter Kolchinsky and Mr. Rajeev Shah are the managing members. RA Capital, the Adviser,</w:t>
      </w:r>
    </w:p>
    <w:p>
      <w:pPr>
        <w:spacing w:after="0" w:line="9" w:lineRule="exact"/>
        <w:rPr>
          <w:rFonts w:ascii="Times New Roman" w:cs="Times New Roman" w:eastAsia="Times New Roman" w:hAnsi="Times New Roman"/>
          <w:sz w:val="18"/>
          <w:szCs w:val="18"/>
          <w:color w:val="auto"/>
        </w:rPr>
      </w:pPr>
    </w:p>
    <w:p>
      <w:pPr>
        <w:ind w:left="1620" w:right="459"/>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Kolchinsky and Mr. Shah have shared voting and shared dispositive power with respect to all of the shares reported. The Adviser, the Adviser GP, Dr. Kolchinsky, and Mr. Shah disclaim beneficial ownership of securities held by RA Capital except to the extent of their pecuniary interest therein. Beneficial ownership information is based on a Schedule 13G/A filed on February 14, 2025. RA Capital Management’s mailing address is 200 Berkeley Street, 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Boston, MA 02116.</w:t>
      </w:r>
    </w:p>
    <w:p>
      <w:pPr>
        <w:spacing w:after="0" w:line="2" w:lineRule="exact"/>
        <w:rPr>
          <w:rFonts w:ascii="Times New Roman" w:cs="Times New Roman" w:eastAsia="Times New Roman" w:hAnsi="Times New Roman"/>
          <w:sz w:val="18"/>
          <w:szCs w:val="18"/>
          <w:color w:val="auto"/>
        </w:rPr>
      </w:pPr>
    </w:p>
    <w:p>
      <w:pPr>
        <w:ind w:left="1620" w:right="619" w:hanging="360"/>
        <w:spacing w:after="0" w:line="250" w:lineRule="auto"/>
        <w:tabs>
          <w:tab w:leader="none" w:pos="1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6,315,933 ADSs representing 50,527,464 shares of ordinary shares and (ii) 250,000 ADS issuable upon exercise of options representing 2,000,000 ordinary shares held directly by Perceptive Life Sciences Master Fund, Ltd. (the “Master Fund”). Perceptive Advisors LLC (“Perceptive Advisors”) serves as the investment manager to the Master Fund and Joseph Edelman is the managing member of Perceptive Advisors. Each of the Master Fund, Perceptive Advisors and Joseph Edelman have shared voting power and shared dispositive power over 6,315,933 ADSs representing 50,527,464 shares of ordinary shares. Beneficial ownership information is based on a Schedule 13G/A filed on November 14, 2024. The mailing address for the Master Fund, Perceptive Advisors and Joseph Edelman is 51 Astor Place,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NY 10003.</w:t>
      </w:r>
    </w:p>
    <w:p>
      <w:pPr>
        <w:sectPr>
          <w:pgSz w:w="11900" w:h="16838" w:orient="portrait"/>
          <w:cols w:equalWidth="0" w:num="1">
            <w:col w:w="9879"/>
          </w:cols>
          <w:pgMar w:left="580" w:top="97" w:right="1440" w:bottom="1440" w:gutter="0" w:footer="0" w:header="0"/>
          <w:type w:val="continuous"/>
        </w:sectPr>
      </w:pPr>
    </w:p>
    <w:p>
      <w:pPr>
        <w:spacing w:after="0" w:line="2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hanging="360"/>
        <w:spacing w:after="0"/>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11,513,024 ordinary shares, all of which are held in the form of ADSs.</w:t>
      </w:r>
    </w:p>
    <w:p>
      <w:pPr>
        <w:spacing w:after="0" w:line="9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10,601,848 ordinary shares, all of which are held in the form of ADSs.</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600,000 ordinary shares underlying options that will vest within 60 days of March 1, 2025.</w:t>
      </w:r>
    </w:p>
    <w:p>
      <w:pPr>
        <w:spacing w:after="0" w:line="76" w:lineRule="exact"/>
        <w:rPr>
          <w:rFonts w:ascii="Times New Roman" w:cs="Times New Roman" w:eastAsia="Times New Roman" w:hAnsi="Times New Roman"/>
          <w:sz w:val="18"/>
          <w:szCs w:val="18"/>
          <w:color w:val="auto"/>
        </w:rPr>
      </w:pPr>
    </w:p>
    <w:p>
      <w:pPr>
        <w:ind w:left="1620" w:right="459" w:hanging="360"/>
        <w:spacing w:after="0" w:line="275" w:lineRule="auto"/>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1,965,752 ordinary shares, all of which are held in the form of ADSs and, 660,000 ordinary shares underlying options that are exercisable or that will be exercisable within 60 days of March 1, 2025.</w:t>
      </w:r>
    </w:p>
    <w:p>
      <w:pPr>
        <w:spacing w:after="0" w:line="241" w:lineRule="exact"/>
        <w:rPr>
          <w:rFonts w:ascii="Times New Roman" w:cs="Times New Roman" w:eastAsia="Times New Roman" w:hAnsi="Times New Roman"/>
          <w:sz w:val="18"/>
          <w:szCs w:val="18"/>
          <w:color w:val="auto"/>
        </w:rPr>
      </w:pPr>
    </w:p>
    <w:p>
      <w:pPr>
        <w:ind w:left="1620" w:right="559" w:hanging="360"/>
        <w:spacing w:after="0" w:line="266" w:lineRule="auto"/>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541,815 ordinary shares, 541,808 of which are held in the form of ADSs and 1,176,920 ordinary shares held by a family trust. Indicates ownership as of March 4, 2024, the date of Ms. Poll’s ceased her position as General counsel of the Company.</w:t>
      </w:r>
    </w:p>
    <w:p>
      <w:pPr>
        <w:spacing w:after="0" w:line="27" w:lineRule="exact"/>
        <w:rPr>
          <w:rFonts w:ascii="Times New Roman" w:cs="Times New Roman" w:eastAsia="Times New Roman" w:hAnsi="Times New Roman"/>
          <w:sz w:val="18"/>
          <w:szCs w:val="18"/>
          <w:color w:val="auto"/>
        </w:rPr>
      </w:pPr>
    </w:p>
    <w:p>
      <w:pPr>
        <w:jc w:val="both"/>
        <w:ind w:left="1620" w:right="699" w:hanging="360"/>
        <w:spacing w:after="0" w:line="266" w:lineRule="auto"/>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41,880 ordinary shares, all of which are held in the form of ADSs, and 312,000 ordinary shares underlying options that are exercisable or that will be exercisable within 60 days of March 1, 2025.</w:t>
      </w:r>
    </w:p>
    <w:p>
      <w:pPr>
        <w:spacing w:after="0" w:line="40" w:lineRule="exact"/>
        <w:rPr>
          <w:rFonts w:ascii="Times New Roman" w:cs="Times New Roman" w:eastAsia="Times New Roman" w:hAnsi="Times New Roman"/>
          <w:sz w:val="18"/>
          <w:szCs w:val="18"/>
          <w:color w:val="auto"/>
        </w:rPr>
      </w:pPr>
    </w:p>
    <w:p>
      <w:pPr>
        <w:ind w:left="1620" w:right="659" w:hanging="360"/>
        <w:spacing w:after="0" w:line="282" w:lineRule="auto"/>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48,000 ordinary shares underlying options that are exercisable or that will be exercisable within 60 days of March 1, 2025.</w:t>
      </w:r>
    </w:p>
    <w:p>
      <w:pPr>
        <w:spacing w:after="0" w:line="13" w:lineRule="exact"/>
        <w:rPr>
          <w:rFonts w:ascii="Times New Roman" w:cs="Times New Roman" w:eastAsia="Times New Roman" w:hAnsi="Times New Roman"/>
          <w:sz w:val="18"/>
          <w:szCs w:val="18"/>
          <w:color w:val="auto"/>
        </w:rPr>
      </w:pPr>
    </w:p>
    <w:p>
      <w:pPr>
        <w:ind w:left="1620" w:right="579" w:hanging="360"/>
        <w:spacing w:after="0" w:line="282" w:lineRule="auto"/>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624,000 ordinary shares underlying options that are exercisable or that will be exercisable within 60 days of March 1, 2025.</w:t>
      </w:r>
    </w:p>
    <w:p>
      <w:pPr>
        <w:spacing w:after="0" w:line="13" w:lineRule="exact"/>
        <w:rPr>
          <w:rFonts w:ascii="Times New Roman" w:cs="Times New Roman" w:eastAsia="Times New Roman" w:hAnsi="Times New Roman"/>
          <w:sz w:val="18"/>
          <w:szCs w:val="18"/>
          <w:color w:val="auto"/>
        </w:rPr>
      </w:pPr>
    </w:p>
    <w:p>
      <w:pPr>
        <w:jc w:val="both"/>
        <w:ind w:left="1620" w:right="699" w:hanging="360"/>
        <w:spacing w:after="0" w:line="266" w:lineRule="auto"/>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66,584 ordinary shares, all of which are held in the form of ADSs, and 600,000 ordinary shares underlying options that are exercisable or that will be exercisable within 60 days of March 1, 2025.</w:t>
      </w:r>
    </w:p>
    <w:p>
      <w:pPr>
        <w:spacing w:after="0" w:line="40" w:lineRule="exact"/>
        <w:rPr>
          <w:rFonts w:ascii="Times New Roman" w:cs="Times New Roman" w:eastAsia="Times New Roman" w:hAnsi="Times New Roman"/>
          <w:sz w:val="18"/>
          <w:szCs w:val="18"/>
          <w:color w:val="auto"/>
        </w:rPr>
      </w:pPr>
    </w:p>
    <w:p>
      <w:pPr>
        <w:jc w:val="both"/>
        <w:ind w:left="1620" w:right="699" w:hanging="360"/>
        <w:spacing w:after="0" w:line="266" w:lineRule="auto"/>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70,320 ordinary shares, all of which are held in the form of ADSs, and 600,000 ordinary shares underlying options that are exercisable or that will be exercisable within 60 days of March 1, 2025.</w:t>
      </w:r>
    </w:p>
    <w:p>
      <w:pPr>
        <w:spacing w:after="0" w:line="27" w:lineRule="exact"/>
        <w:rPr>
          <w:rFonts w:ascii="Times New Roman" w:cs="Times New Roman" w:eastAsia="Times New Roman" w:hAnsi="Times New Roman"/>
          <w:sz w:val="18"/>
          <w:szCs w:val="18"/>
          <w:color w:val="auto"/>
        </w:rPr>
      </w:pPr>
    </w:p>
    <w:p>
      <w:pPr>
        <w:ind w:left="1620" w:right="579" w:hanging="360"/>
        <w:spacing w:after="0" w:line="266" w:lineRule="auto"/>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1,336,003 ordinary shares, 1,336,000 of which are held in the form of ADSs, and 140,000 ordinary shares underlying options that are exercisable or that will be exercisable within 60 days of March 1, 2025.</w:t>
      </w:r>
    </w:p>
    <w:p>
      <w:pPr>
        <w:spacing w:after="0" w:line="27" w:lineRule="exact"/>
        <w:rPr>
          <w:rFonts w:ascii="Times New Roman" w:cs="Times New Roman" w:eastAsia="Times New Roman" w:hAnsi="Times New Roman"/>
          <w:sz w:val="18"/>
          <w:szCs w:val="18"/>
          <w:color w:val="auto"/>
        </w:rPr>
      </w:pPr>
    </w:p>
    <w:p>
      <w:pPr>
        <w:ind w:left="1620" w:right="599" w:hanging="360"/>
        <w:spacing w:after="0" w:line="275" w:lineRule="auto"/>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144,800 ordinary shares, all of which are held in the form of ADSs, and 600,000 ordinary shares underlying options that are exercisable or that will be exercisable within 60 days of March 1, 2025.</w:t>
      </w:r>
    </w:p>
    <w:p>
      <w:pPr>
        <w:spacing w:after="0" w:line="254" w:lineRule="exact"/>
        <w:rPr>
          <w:rFonts w:ascii="Times New Roman" w:cs="Times New Roman" w:eastAsia="Times New Roman" w:hAnsi="Times New Roman"/>
          <w:sz w:val="18"/>
          <w:szCs w:val="18"/>
          <w:color w:val="auto"/>
        </w:rPr>
      </w:pPr>
    </w:p>
    <w:p>
      <w:pPr>
        <w:jc w:val="both"/>
        <w:ind w:left="1620" w:right="699" w:hanging="360"/>
        <w:spacing w:after="0" w:line="266" w:lineRule="auto"/>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73,080 ordinary shares, all of which are held in the form of ADSs, and 600,000 ordinary shares underlying options that are exercisable or that will be exercisable within 60 days of March 1, 2025.</w:t>
      </w:r>
    </w:p>
    <w:p>
      <w:pPr>
        <w:spacing w:after="0" w:line="27" w:lineRule="exact"/>
        <w:rPr>
          <w:rFonts w:ascii="Times New Roman" w:cs="Times New Roman" w:eastAsia="Times New Roman" w:hAnsi="Times New Roman"/>
          <w:sz w:val="18"/>
          <w:szCs w:val="18"/>
          <w:color w:val="auto"/>
        </w:rPr>
      </w:pPr>
    </w:p>
    <w:p>
      <w:pPr>
        <w:jc w:val="both"/>
        <w:ind w:left="1620" w:right="719" w:hanging="360"/>
        <w:spacing w:after="0" w:line="266" w:lineRule="auto"/>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74,440 ordinary shares, all of which are held in the form of ADSs and 720,384 ordinary shares underlying options that are exercisable or that will be exercisable within 60 days of March 1, 2025.</w:t>
      </w:r>
    </w:p>
    <w:p>
      <w:pPr>
        <w:spacing w:after="0" w:line="27" w:lineRule="exact"/>
        <w:rPr>
          <w:rFonts w:ascii="Times New Roman" w:cs="Times New Roman" w:eastAsia="Times New Roman" w:hAnsi="Times New Roman"/>
          <w:sz w:val="18"/>
          <w:szCs w:val="18"/>
          <w:color w:val="auto"/>
        </w:rPr>
      </w:pPr>
    </w:p>
    <w:p>
      <w:pPr>
        <w:ind w:left="1620" w:right="599" w:hanging="360"/>
        <w:spacing w:after="0" w:line="275" w:lineRule="auto"/>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334,856 ordinary shares, all of which are held in the form of ADSs, and 600,000 ordinary shares underlying options that are exercisable or that will be exercisable within 60 days of March 1, 2025.</w:t>
      </w:r>
    </w:p>
    <w:p>
      <w:pPr>
        <w:spacing w:after="0" w:line="254" w:lineRule="exact"/>
        <w:rPr>
          <w:rFonts w:ascii="Times New Roman" w:cs="Times New Roman" w:eastAsia="Times New Roman" w:hAnsi="Times New Roman"/>
          <w:sz w:val="18"/>
          <w:szCs w:val="18"/>
          <w:color w:val="auto"/>
        </w:rPr>
      </w:pPr>
    </w:p>
    <w:p>
      <w:pPr>
        <w:ind w:left="1620" w:right="799" w:hanging="360"/>
        <w:spacing w:after="0" w:line="266" w:lineRule="auto"/>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26,222,587 ordinary shares, 26,222,587 of which are held in the form of ADSs, and 6,104,384 ordinary shares underlying options that are exercisable or that will be exercisable within 60 days of March 1, 2025.</w:t>
      </w:r>
    </w:p>
    <w:p>
      <w:pPr>
        <w:spacing w:after="0" w:line="1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b w:val="1"/>
          <w:bCs w:val="1"/>
          <w:color w:val="auto"/>
        </w:rPr>
        <w:t>Certain Relationships</w:t>
      </w:r>
    </w:p>
    <w:p>
      <w:pPr>
        <w:spacing w:after="0" w:line="1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FOR RELATED PERSON TRANSACTIONS</w:t>
      </w:r>
    </w:p>
    <w:p>
      <w:pPr>
        <w:spacing w:after="0" w:line="158"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Our Board of Directors has adopted a written Related Person Transaction Policy, setting forth the policies and procedures for the review and approval or ratification of related person transactions. Under the policy, our finance department is primarily responsible for developing and implementing processes and procedures to obtain information regarding related persons with respect to potential related person transactions and then determining, based on the facts and circumstances, whether such potential related person transactions do, in fact, constitute related person transactions requiring compliance with the policy. If our finance department determines that a transaction or relationship is a related person transaction requiring compliance with the policy, our Chief Financial Officer is required to present to the Audit and Risk Committee all relevant facts and circumstances relating to the related person transaction. Our Audit and Risk Committee must review the relevant facts and circumstances of each related person transaction, including if the transaction is on terms comparable to those that could be obtained in arm’s length dealings with an unrelated third party and the extent of the related person’s interest in the transaction, take into account the conflicts of interest and corporate opportunity provisions of our Code of Business Conduct</w:t>
      </w:r>
    </w:p>
    <w:p>
      <w:pPr>
        <w:sectPr>
          <w:pgSz w:w="11900" w:h="16838" w:orient="portrait"/>
          <w:cols w:equalWidth="0" w:num="1">
            <w:col w:w="9879"/>
          </w:cols>
          <w:pgMar w:left="580" w:top="97" w:right="1440" w:bottom="1068"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068"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2" w:lineRule="auto"/>
        <w:rPr>
          <w:sz w:val="20"/>
          <w:szCs w:val="20"/>
          <w:color w:val="auto"/>
        </w:rPr>
      </w:pPr>
      <w:r>
        <w:rPr>
          <w:rFonts w:ascii="Times New Roman" w:cs="Times New Roman" w:eastAsia="Times New Roman" w:hAnsi="Times New Roman"/>
          <w:sz w:val="18"/>
          <w:szCs w:val="18"/>
          <w:color w:val="auto"/>
        </w:rPr>
        <w:t>and Ethics, and either approve or disapprove the related person transaction. If advance Audit and Risk Committee approval of a related person transaction requiring the Audit and Risk Committee’s approval is not feasible, then the transaction may be preliminarily entered into by management upon prior approval of the transaction by the chair of the Audit and Risk Committee subject to ratification of the transaction by the Audit and Risk Committee at the Audit and Risk Committee’s next regularly scheduled meeting; provided, that if ratification is not forthcoming, management will make all reasonable efforts to cancel or annul the transaction. If a transaction was not initially recognized as a related person, then upon such recognition the transaction will be presented to the Audit and Risk Committee for ratification at the Audit and Risk Committee’s next regularly scheduled meeting; provided, that if ratification is not forthcoming, management will make all reasonable efforts to cancel or annul the transaction. Our management will update the Audit and Risk Committee as to any material changes to any approved or ratified related person transaction and will provide a status report at least annually of all then current related person transactions. No director may participate in approval of a related person transaction for which he or she is a related person.</w:t>
      </w:r>
    </w:p>
    <w:p>
      <w:pPr>
        <w:spacing w:after="0" w:line="347" w:lineRule="exact"/>
        <w:rPr>
          <w:sz w:val="20"/>
          <w:szCs w:val="20"/>
          <w:color w:val="auto"/>
        </w:rPr>
      </w:pPr>
    </w:p>
    <w:p>
      <w:pPr>
        <w:ind w:left="1260" w:right="459" w:firstLine="360"/>
        <w:spacing w:after="0" w:line="263" w:lineRule="auto"/>
        <w:rPr>
          <w:sz w:val="20"/>
          <w:szCs w:val="20"/>
          <w:color w:val="auto"/>
        </w:rPr>
      </w:pPr>
      <w:r>
        <w:rPr>
          <w:rFonts w:ascii="Times New Roman" w:cs="Times New Roman" w:eastAsia="Times New Roman" w:hAnsi="Times New Roman"/>
          <w:sz w:val="18"/>
          <w:szCs w:val="18"/>
          <w:color w:val="auto"/>
        </w:rPr>
        <w:t>The following are certain transactions, arrangements and relationships with persons who are, or were during the period beginning January 1, 2024, our directors, executive officers or shareholders owning 5% or more of our outstanding ordinary shares, or any member of the immediate family of any of the foregoing persons.</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To the extent permitted by the U.K. Companies Act 2006, we are empowered to indemnify our directors against any liability they incur by reason of their directorship. We have also entered into a deed of indemnity with each of our directors and executive officers. In addition to such indemnification, we provide our directors and executive officers with directors’ and officers’ liability insurance.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Our Executive Officers and Directors</w:t>
      </w:r>
    </w:p>
    <w:p>
      <w:pPr>
        <w:spacing w:after="0" w:line="148" w:lineRule="exact"/>
        <w:rPr>
          <w:sz w:val="20"/>
          <w:szCs w:val="20"/>
          <w:color w:val="auto"/>
        </w:rPr>
      </w:pPr>
    </w:p>
    <w:p>
      <w:pPr>
        <w:ind w:left="1260" w:right="679" w:firstLine="360"/>
        <w:spacing w:after="0" w:line="263" w:lineRule="auto"/>
        <w:rPr>
          <w:sz w:val="20"/>
          <w:szCs w:val="20"/>
          <w:color w:val="auto"/>
        </w:rPr>
      </w:pPr>
      <w:r>
        <w:rPr>
          <w:rFonts w:ascii="Times New Roman" w:cs="Times New Roman" w:eastAsia="Times New Roman" w:hAnsi="Times New Roman"/>
          <w:sz w:val="18"/>
          <w:szCs w:val="18"/>
          <w:color w:val="auto"/>
        </w:rPr>
        <w:t>We have entered into employment agreements with certain of our executive officers and service agreements with our non-executive directors, as well as separation agreements with certain of our former executive officers. See the section in this proxy statement entitled “Compensation Discussion and Analysis.”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b w:val="1"/>
          <w:bCs w:val="1"/>
          <w:color w:val="auto"/>
        </w:rPr>
        <w:t>Additional Information</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SHAREHOLDERS’ RIGHTS TO CALL A GENERAL MEETING</w:t>
      </w:r>
    </w:p>
    <w:p>
      <w:pPr>
        <w:spacing w:after="0" w:line="144" w:lineRule="exact"/>
        <w:rPr>
          <w:sz w:val="20"/>
          <w:szCs w:val="20"/>
          <w:color w:val="auto"/>
        </w:rPr>
      </w:pPr>
    </w:p>
    <w:p>
      <w:pPr>
        <w:ind w:left="1260" w:right="599" w:firstLine="360"/>
        <w:spacing w:after="0" w:line="255" w:lineRule="auto"/>
        <w:rPr>
          <w:sz w:val="20"/>
          <w:szCs w:val="20"/>
          <w:color w:val="auto"/>
        </w:rPr>
      </w:pPr>
      <w:r>
        <w:rPr>
          <w:rFonts w:ascii="Times New Roman" w:cs="Times New Roman" w:eastAsia="Times New Roman" w:hAnsi="Times New Roman"/>
          <w:sz w:val="18"/>
          <w:szCs w:val="18"/>
          <w:color w:val="auto"/>
        </w:rPr>
        <w:t>Our shareholders have the right to call a meeting of our shareholders. The U.K. Companies Act 2006 generally requires the directors to call a general meeting once we have received requests to do so from shareholders representing at least 5% of our paid-up shares entitled to vote at a general meeting. The U.K. Companies Act 2006 generally prohibits shareholders of a U.K. public limited company from passing written resolutions. However, significant shareholders would, in any case, still have the power to call a general meeting and propose resolutions. These provisions are mandatory under the U.K. Companies Act 2006 and cannot be waived by our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SHAREHOLDER PROPOSALS FOR THE 2026 ANNUAL GENERAL MEETING</w:t>
      </w:r>
    </w:p>
    <w:p>
      <w:pPr>
        <w:spacing w:after="0" w:line="156" w:lineRule="exact"/>
        <w:rPr>
          <w:sz w:val="20"/>
          <w:szCs w:val="20"/>
          <w:color w:val="auto"/>
        </w:rPr>
      </w:pPr>
    </w:p>
    <w:p>
      <w:pPr>
        <w:ind w:left="1260" w:right="539" w:firstLine="360"/>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Rule 14a-8 Proposals — </w:t>
      </w:r>
      <w:r>
        <w:rPr>
          <w:rFonts w:ascii="Times New Roman" w:cs="Times New Roman" w:eastAsia="Times New Roman" w:hAnsi="Times New Roman"/>
          <w:sz w:val="18"/>
          <w:szCs w:val="18"/>
          <w:color w:val="auto"/>
        </w:rPr>
        <w:t>Pursuant to Rule 14a-8 under the Exchange Act, shareholders who intend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a proposal considered for inclusion in our proxy materials for presentation at our 2026 annual general meeting of shareholders must submit the proposal to the Company Secretary, Verona Pharma plc,</w:t>
      </w:r>
    </w:p>
    <w:p>
      <w:pPr>
        <w:spacing w:after="0" w:line="1" w:lineRule="exact"/>
        <w:rPr>
          <w:sz w:val="20"/>
          <w:szCs w:val="20"/>
          <w:color w:val="auto"/>
        </w:rPr>
      </w:pPr>
    </w:p>
    <w:p>
      <w:pPr>
        <w:ind w:left="1260" w:right="519"/>
        <w:spacing w:after="0"/>
        <w:rPr>
          <w:sz w:val="20"/>
          <w:szCs w:val="20"/>
          <w:color w:val="auto"/>
        </w:rPr>
      </w:pPr>
      <w:r>
        <w:rPr>
          <w:rFonts w:ascii="Times New Roman" w:cs="Times New Roman" w:eastAsia="Times New Roman" w:hAnsi="Times New Roman"/>
          <w:sz w:val="18"/>
          <w:szCs w:val="18"/>
          <w:color w:val="auto"/>
        </w:rPr>
        <w:t>c/o Shakespeare Martineau LLP, at 6th Floor, 60 Gracechurch Street, London, EC3V 0H, Attn: Ben Harber, in writing not later than 120 days before the anniversary of the date on which we sent our proxy materials for the AGM, or November 21, 2025, unless the date of the 2026 annual general meeting of shareholders is changed by more than 30 days from the date of the AGM, and must satisfy the requirements of the proxy rules promulgated by the SEC.</w:t>
      </w:r>
    </w:p>
    <w:p>
      <w:pPr>
        <w:spacing w:after="0" w:line="118"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Other Proposals — </w:t>
      </w:r>
      <w:r>
        <w:rPr>
          <w:rFonts w:ascii="Times New Roman" w:cs="Times New Roman" w:eastAsia="Times New Roman" w:hAnsi="Times New Roman"/>
          <w:sz w:val="18"/>
          <w:szCs w:val="18"/>
          <w:color w:val="auto"/>
        </w:rPr>
        <w:t>Shareholders intending to include a proposal on the agenda for the 2026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meeting of shareholders, irrespective of whether they intend to have the proposal included in our proxy statement, must comply with the requirements under our Articles of Association and English law. Under Section 338 of the U.K. Companies Act 2006, shareholders representing at least 5% of holders entitled to vote on a resolution at an annual general meeting may require the Company to include such resolution in its notice of an annual general meeting. Provided the applicable thresholds are met, notice of the resolution must be received by the Company Secretary, Verona Pharma plc, c/o Shakespeare Martineau LLP, at 6th Floor, 60 Gracechurch Street, London, EC3V 0H, Attn: Ben Harber, at least six weeks prior to the date of the annual general meeting, or, if later, at the time notice of the annual general meeting is delivered to shareholders. Additionally, in accordance with our Articles of Association, shareholders who intend to nominate a director to be elected at the 2026 annual general meeting of shareholders must provide the Company Secretary with written notice of such nomination between 7 and 21 days prior to the date of such meeting, together with written notice signed by the director nominee regarding his or her willingness to be elected.</w:t>
      </w:r>
    </w:p>
    <w:p>
      <w:pPr>
        <w:spacing w:after="0" w:line="329"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Proposals and nominations that are not received by the dates specified above, or otherwise do not meet all relevant requirements, will be considered untimely or improper, as applicable. You may contact Ben Harber, Company Secretary, c/o Shakespeare Martineau LLP, 6th Floor, 60 Gracechurch Street, London, EC3V 0HR, for a copy of the relevant provisions of our Articles of Association regarding the requirements for making shareholder proposals.</w:t>
      </w:r>
    </w:p>
    <w:p>
      <w:pPr>
        <w:spacing w:after="0" w:line="114" w:lineRule="exact"/>
        <w:rPr>
          <w:sz w:val="20"/>
          <w:szCs w:val="20"/>
          <w:color w:val="auto"/>
        </w:rPr>
      </w:pPr>
    </w:p>
    <w:p>
      <w:pPr>
        <w:jc w:val="both"/>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Articles of Association, to comply with the universal proxy rules, shareholders who intend to solicit proxies in support of director nominees other than the Company’s nominees must provide notice that sets forth the information required by Rule 14a-19 under the Exchange Act no later than February 23, 2026.</w:t>
      </w:r>
    </w:p>
    <w:p>
      <w:pPr>
        <w:spacing w:after="0" w:line="110"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We reserve the right to reject, rule out of order, or take other appropriate action with respect to any proposal that does not comply with these or other applicable requirements.</w:t>
      </w:r>
    </w:p>
    <w:p>
      <w:pPr>
        <w:spacing w:after="0" w:line="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MATTERS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 business shall be voted on at the AGM, except such items as included in the agenda for the AGM.</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SOLICITATION OF PROXIES</w:t>
      </w:r>
    </w:p>
    <w:p>
      <w:pPr>
        <w:spacing w:after="0" w:line="158"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The accompanying proxy is solicited by and on behalf of our Board of Directors, whose Notice of AGM is attached to this proxy statement, and the entire cost of such solicitation will be borne by us. We have retained Mackenzie Partners, Inc. to assist in the distribution of proxy materials and the solicitation of proxies from brokerage firms, fiduciaries, custodians, and other similar organizations representing beneficial owners of shares for the AGM. We have agreed to pay Mackenzie Partners, Inc. a fee of approximately $16,500 plus out- of-pocket expenses. You may contact Mackenzie Partners, Inc. at +1-212-929 -5500.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such brokers, nominees, custodians and other fiduciaries. We will reimburse such persons for their reasonable expenses in connection therewith.</w:t>
      </w:r>
    </w:p>
    <w:p>
      <w:pPr>
        <w:spacing w:after="0" w:line="121"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Certain information contained in this proxy statement relating to the occupations and security holdings of our directors and officers is based upon information received from the individual directors and officers.</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We intend to file a Proxy Statement and WHITE proxy card with the SEC in connection with the solicitation of proxies for our 2026 annual general meeting of shareholders. Shareholders may obtain our Proxy Statement (and any amendments and supplements thereto) and other documents as and when filed by us with the SEC without charge from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HOUSEHOLDING</w:t>
      </w:r>
    </w:p>
    <w:p>
      <w:pPr>
        <w:spacing w:after="0" w:line="15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The SEC’s rules permit us to deliver a single set of proxy materials to one address shared by two or more of our ADS holders. This delivery method is referred to as “householding” and can result in significant cost savings. To take advantage of this opportunity, we have delivered only one set of proxy materials to multiple ADS holders who share an address, unless we received contrary instructions from the impacted ADS holders prior to the mailing date. We agree to deliver promptly, upon written or oral request, a separate copy of the proxy materials, as requested, to any ADS holder at the shared address to which a single copy of those documents was delivered. If you are an ADS holder and your household received a single set of proxy materials this year, but you would prefer to receive your own copy, or if you currently share an address with another ADS holder and wish to receive only one copy of proxy materials either now or in future for your household, please contact your bank or broker. If you have requested to be removed from the householding program, you will be removed within 30 days of receipt of your instructions at which time you will then be sent separate copies of the documents. If you hold ADSs and you prefer to receive separate copies of proxy materials either now or in the future, please contact the Depositary, your brokerage firm or bank, as applicable.</w:t>
      </w:r>
    </w:p>
    <w:p>
      <w:pPr>
        <w:spacing w:after="0" w:line="3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VERONA PHARMA’S ANNUAL REPORT ON FORM 10-K</w:t>
      </w:r>
    </w:p>
    <w:p>
      <w:pPr>
        <w:spacing w:after="0" w:line="158"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A copy of Verona Pharma’s Annual Report on Form 10-K for the fiscal year ended December 31, 2024, including financial statements and schedules thereto but not including exhibits, as filed with the SEC, will be sent to any shareholder of record as of the close of business on March 11, 2025 without charge upon written request addressed to:</w:t>
      </w:r>
    </w:p>
    <w:p>
      <w:pPr>
        <w:spacing w:after="0" w:line="1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Verona Pharma plc</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Email: legal@veronapharma .com</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 More London Riverside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London SE1 2RE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United Kingdom</w:t>
      </w:r>
    </w:p>
    <w:p>
      <w:pPr>
        <w:spacing w:after="0" w:line="126"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A reasonable fee will be charged for copies of exhibits. You also may access our Annual Report on Form 10-K for the year ended December 31, 2024 at </w:t>
      </w:r>
      <w:r>
        <w:rPr>
          <w:rFonts w:ascii="Times New Roman" w:cs="Times New Roman" w:eastAsia="Times New Roman" w:hAnsi="Times New Roman"/>
          <w:sz w:val="18"/>
          <w:szCs w:val="18"/>
          <w:i w:val="1"/>
          <w:iCs w:val="1"/>
          <w:color w:val="auto"/>
        </w:rPr>
        <w:t>www.veronapharma.com/investors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U.K. STATUTORY ANNUAL ACCOUNTS AND REPORTS OF THE BOARD OF DIRECTORS AND</w:t>
      </w:r>
    </w:p>
    <w:p>
      <w:pPr>
        <w:spacing w:after="0" w:line="2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AUDITORS OF VERONA PHARMA PLC FOR THE YEAR ENDED DECEMBER 31, 2024</w:t>
      </w:r>
    </w:p>
    <w:p>
      <w:pPr>
        <w:spacing w:after="0" w:line="139"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Consistent with its obligations under the U.K. Companies Act 2006, our Board of Directors will present at the AGM our 2024 U.K. Annual Report. Accordingly, our Board of Directors will lay before the Company at the AGM the Company’s 2024 U.K. Annual Report, which has been approved by and, where appropriate, signed on behalf of our Board of Directors and will be delivered to the Registrar of Companies in the United Kingdom following the AGM. A copy of our U.K. statutory directors’ remuneration report, including the annual report on remuneration, is included within Annex A to this proxy statement. A complete copy of our 2024 U.K. Annual Report will be sent separately to those shareholders who have opted in to receive a printed copy of the document no less than 21 days prior to the AGM. You will be provided an opportunity to raise questions in relation to such accounts and reports at the AGM via teleconference. Full accounts and reports will be available on the Company’s website prior to and during the AGM.</w:t>
      </w:r>
    </w:p>
    <w:p>
      <w:pPr>
        <w:spacing w:after="0" w:line="200" w:lineRule="exact"/>
        <w:rPr>
          <w:sz w:val="20"/>
          <w:szCs w:val="20"/>
          <w:color w:val="auto"/>
        </w:rPr>
      </w:pPr>
    </w:p>
    <w:p>
      <w:pPr>
        <w:spacing w:after="0" w:line="206"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EACH SHAREHOLDER IS URGED TO VOTE YOUR SHARES AS DESCRIBED IN THIS PROXY</w:t>
      </w:r>
    </w:p>
    <w:p>
      <w:pPr>
        <w:spacing w:after="0" w:line="31" w:lineRule="exact"/>
        <w:rPr>
          <w:sz w:val="20"/>
          <w:szCs w:val="20"/>
          <w:color w:val="auto"/>
        </w:rPr>
      </w:pPr>
    </w:p>
    <w:p>
      <w:pPr>
        <w:jc w:val="center"/>
        <w:ind w:left="1860" w:right="20"/>
        <w:spacing w:after="0" w:line="255" w:lineRule="auto"/>
        <w:rPr>
          <w:sz w:val="20"/>
          <w:szCs w:val="20"/>
          <w:color w:val="auto"/>
        </w:rPr>
      </w:pPr>
      <w:r>
        <w:rPr>
          <w:rFonts w:ascii="Times New Roman" w:cs="Times New Roman" w:eastAsia="Times New Roman" w:hAnsi="Times New Roman"/>
          <w:sz w:val="18"/>
          <w:szCs w:val="18"/>
          <w:b w:val="1"/>
          <w:bCs w:val="1"/>
          <w:color w:val="auto"/>
        </w:rPr>
        <w:t>STATEMENT. PROMPTLY VOTING YOUR SHARES WILL ENSURE THE PRESENCE OF A QUORUM AT THE ANNUAL GENERAL MEETING OF SHAREHOLDERS AND WILL SAVE US THE EXPENSE OF FURTHER SOLICITATION.</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EACH ADS HOLDER IS URGED TO COMPLETE, DATE, SIGN AND PROMPTLY RETURN ADS</w:t>
      </w:r>
    </w:p>
    <w:p>
      <w:pPr>
        <w:spacing w:after="0" w:line="4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VOTING INSTRUCTIONS TO CITIBANK, N.A., THE DEPOSITARY FOR THE ADSs.</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David Zaccardelli, Pharm.D.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London, United Kingdom</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March 18,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979"/>
        <w:spacing w:after="0" w:line="286" w:lineRule="auto"/>
        <w:rPr>
          <w:sz w:val="20"/>
          <w:szCs w:val="20"/>
          <w:color w:val="auto"/>
        </w:rPr>
      </w:pPr>
      <w:r>
        <w:rPr>
          <w:rFonts w:ascii="Times New Roman" w:cs="Times New Roman" w:eastAsia="Times New Roman" w:hAnsi="Times New Roman"/>
          <w:sz w:val="18"/>
          <w:szCs w:val="18"/>
          <w:b w:val="1"/>
          <w:bCs w:val="1"/>
          <w:color w:val="auto"/>
        </w:rPr>
        <w:t>Annex A to Proxy Statement: U.K. Statutory Annual Accounts and Directors’ Report for the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9525</wp:posOffset>
            </wp:positionV>
            <wp:extent cx="52120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91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31965" cy="89198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1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31965" cy="89109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1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31965" cy="89109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369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31965" cy="89369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2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369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31965" cy="89369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363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31965" cy="89363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2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2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369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31965" cy="89369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2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2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369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31965" cy="89369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452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31965" cy="89452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2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2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369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31965" cy="89369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369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31965" cy="89369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2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452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31965" cy="89452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2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452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31965" cy="89452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2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369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31965" cy="89369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2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369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31965" cy="89369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369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31965" cy="89369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369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31965" cy="89369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1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31965" cy="89109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1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31965" cy="89109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2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369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31965" cy="89369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9" w:name="page100"/>
    <w:bookmarkEnd w:id="9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369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31965" cy="89369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0" w:name="page101"/>
    <w:bookmarkEnd w:id="10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2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1" w:name="page102"/>
    <w:bookmarkEnd w:id="10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2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2" w:name="page103"/>
    <w:bookmarkEnd w:id="10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2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3" w:name="page104"/>
    <w:bookmarkEnd w:id="10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1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31965" cy="89109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4" w:name="page105"/>
    <w:bookmarkEnd w:id="10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1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31965" cy="89109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5" w:name="page106"/>
    <w:bookmarkEnd w:id="10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2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6" w:name="page107"/>
    <w:bookmarkEnd w:id="10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452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31965" cy="89452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7" w:name="page108"/>
    <w:bookmarkEnd w:id="10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452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31965" cy="89452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8" w:name="page109"/>
    <w:bookmarkEnd w:id="10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2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9" w:name="page110"/>
    <w:bookmarkEnd w:id="10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2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0" w:name="page111"/>
    <w:bookmarkEnd w:id="11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2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1" w:name="page112"/>
    <w:bookmarkEnd w:id="11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1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31965" cy="89109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2" w:name="page113"/>
    <w:bookmarkEnd w:id="11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1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31965" cy="89198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3" w:name="page114"/>
    <w:bookmarkEnd w:id="11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1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31965" cy="89198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4" w:name="page115"/>
    <w:bookmarkEnd w:id="11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1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31965" cy="89109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5" w:name="page116"/>
    <w:bookmarkEnd w:id="11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1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31965" cy="89198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6" w:name="page117"/>
    <w:bookmarkEnd w:id="11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1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31965" cy="89109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7" w:name="page118"/>
    <w:bookmarkEnd w:id="11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1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31965" cy="89198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8" w:name="page119"/>
    <w:bookmarkEnd w:id="11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1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31965" cy="89198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9" w:name="page120"/>
    <w:bookmarkEnd w:id="11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8938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31965" cy="889381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0" w:name="page121"/>
    <w:bookmarkEnd w:id="12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1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31965" cy="89109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1" w:name="page122"/>
    <w:bookmarkEnd w:id="12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2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2" w:name="page123"/>
    <w:bookmarkEnd w:id="12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2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3" w:name="page124"/>
    <w:bookmarkEnd w:id="12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2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4" w:name="page125"/>
    <w:bookmarkEnd w:id="12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2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5" w:name="page126"/>
    <w:bookmarkEnd w:id="12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2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6" w:name="page127"/>
    <w:bookmarkEnd w:id="12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369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31965" cy="89369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7" w:name="page128"/>
    <w:bookmarkEnd w:id="12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452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31965" cy="89452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8" w:name="page129"/>
    <w:bookmarkEnd w:id="12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452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31965" cy="89452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9" w:name="page130"/>
    <w:bookmarkEnd w:id="12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452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31965" cy="89452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0" w:name="page131"/>
    <w:bookmarkEnd w:id="13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369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31965" cy="89369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1" w:name="page132"/>
    <w:bookmarkEnd w:id="13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452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31965" cy="89452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2" w:name="page133"/>
    <w:bookmarkEnd w:id="13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369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31965" cy="89369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3" w:name="page134"/>
    <w:bookmarkEnd w:id="13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2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4" w:name="page135"/>
    <w:bookmarkEnd w:id="13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2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5" w:name="page136"/>
    <w:bookmarkEnd w:id="13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2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6" w:name="page137"/>
    <w:bookmarkEnd w:id="13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2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7" w:name="page138"/>
    <w:bookmarkEnd w:id="13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363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31965" cy="89363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8" w:name="page139"/>
    <w:bookmarkEnd w:id="13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2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9" w:name="page140"/>
    <w:bookmarkEnd w:id="13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2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0" w:name="page141"/>
    <w:bookmarkEnd w:id="14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2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1" w:name="page142"/>
    <w:bookmarkEnd w:id="14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109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31965" cy="89109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2" w:name="page143"/>
    <w:bookmarkEnd w:id="14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109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31965" cy="89109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3" w:name="page144"/>
    <w:bookmarkEnd w:id="14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109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31965" cy="89109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4" w:name="page145"/>
    <w:bookmarkEnd w:id="14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2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5" w:name="page146"/>
    <w:bookmarkEnd w:id="14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2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6" w:name="page147"/>
    <w:bookmarkEnd w:id="14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2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7" w:name="page148"/>
    <w:bookmarkEnd w:id="14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2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8" w:name="page149"/>
    <w:bookmarkEnd w:id="14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109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31965" cy="89109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9" w:name="page150"/>
    <w:bookmarkEnd w:id="14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109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31965" cy="89109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0" w:name="page151"/>
    <w:bookmarkEnd w:id="15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2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1" w:name="page152"/>
    <w:bookmarkEnd w:id="15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363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31965" cy="89363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2" w:name="page153"/>
    <w:bookmarkEnd w:id="15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369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31965" cy="89369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3" w:name="page154"/>
    <w:bookmarkEnd w:id="15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2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4" w:name="page155"/>
    <w:bookmarkEnd w:id="15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2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5" w:name="page156"/>
    <w:bookmarkEnd w:id="15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109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31965" cy="89109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6" w:name="page157"/>
    <w:bookmarkEnd w:id="15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2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7" w:name="page158"/>
    <w:bookmarkEnd w:id="15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2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8" w:name="page159"/>
    <w:bookmarkEnd w:id="15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2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9" w:name="page160"/>
    <w:bookmarkEnd w:id="15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2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0" w:name="page161"/>
    <w:bookmarkEnd w:id="1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FORM OF PROXY</w:t>
      </w:r>
    </w:p>
    <w:p>
      <w:pPr>
        <w:spacing w:after="0" w:line="7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I/We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26035</wp:posOffset>
            </wp:positionV>
            <wp:extent cx="546036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460365" cy="8255"/>
                    </a:xfrm>
                    <a:prstGeom prst="rect">
                      <a:avLst/>
                    </a:prstGeom>
                    <a:noFill/>
                  </pic:spPr>
                </pic:pic>
              </a:graphicData>
            </a:graphic>
          </wp:anchor>
        </w:drawing>
      </w:r>
    </w:p>
    <w:p>
      <w:pPr>
        <w:spacing w:after="0" w:line="5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26035</wp:posOffset>
            </wp:positionV>
            <wp:extent cx="55892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5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being a member of the Company, hereby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2960370</wp:posOffset>
            </wp:positionH>
            <wp:positionV relativeFrom="paragraph">
              <wp:posOffset>26035</wp:posOffset>
            </wp:positionV>
            <wp:extent cx="331724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246" w:lineRule="exact"/>
        <w:rPr>
          <w:sz w:val="20"/>
          <w:szCs w:val="20"/>
          <w:color w:val="auto"/>
        </w:rPr>
      </w:pPr>
    </w:p>
    <w:p>
      <w:pPr>
        <w:ind w:left="820" w:right="360"/>
        <w:spacing w:after="0" w:line="266" w:lineRule="auto"/>
        <w:rPr>
          <w:sz w:val="20"/>
          <w:szCs w:val="20"/>
          <w:color w:val="auto"/>
        </w:rPr>
      </w:pPr>
      <w:r>
        <w:rPr>
          <w:rFonts w:ascii="Times New Roman" w:cs="Times New Roman" w:eastAsia="Times New Roman" w:hAnsi="Times New Roman"/>
          <w:sz w:val="18"/>
          <w:szCs w:val="18"/>
          <w:color w:val="auto"/>
        </w:rPr>
        <w:t>or failing him/her, the Chairperson of the Meeting, as my/our proxy to attend, speak and vote for me/us on my/our behalf at the 2025 Annual General Meeting (the “AGM”) of the Company to be held at 10:30 a.m. (British Summer Time) on April 24, 2025 and at any adjournment thereof.</w:t>
      </w:r>
    </w:p>
    <w:p>
      <w:pPr>
        <w:spacing w:after="0" w:line="108" w:lineRule="exact"/>
        <w:rPr>
          <w:sz w:val="20"/>
          <w:szCs w:val="20"/>
          <w:color w:val="auto"/>
        </w:rPr>
      </w:pPr>
    </w:p>
    <w:p>
      <w:pPr>
        <w:ind w:left="820" w:right="200"/>
        <w:spacing w:after="0" w:line="282" w:lineRule="auto"/>
        <w:rPr>
          <w:sz w:val="20"/>
          <w:szCs w:val="20"/>
          <w:color w:val="auto"/>
        </w:rPr>
      </w:pPr>
      <w:r>
        <w:rPr>
          <w:rFonts w:ascii="Times New Roman" w:cs="Times New Roman" w:eastAsia="Times New Roman" w:hAnsi="Times New Roman"/>
          <w:sz w:val="18"/>
          <w:szCs w:val="18"/>
          <w:color w:val="auto"/>
        </w:rPr>
        <w:t>I/We direct my/our vote as indicated below in respect of the resolutions which are referred to in the Notice convening the AGM (see note 1 below).</w:t>
      </w:r>
    </w:p>
    <w:p>
      <w:pPr>
        <w:spacing w:after="0" w:line="119" w:lineRule="exact"/>
        <w:rPr>
          <w:sz w:val="20"/>
          <w:szCs w:val="20"/>
          <w:color w:val="auto"/>
        </w:rPr>
      </w:pPr>
    </w:p>
    <w:tbl>
      <w:tblPr>
        <w:tblLayout w:type="fixed"/>
        <w:tblInd w:w="830" w:type="dxa"/>
        <w:tblCellMar>
          <w:top w:w="0" w:type="dxa"/>
          <w:left w:w="0" w:type="dxa"/>
          <w:bottom w:w="0" w:type="dxa"/>
          <w:right w:w="0" w:type="dxa"/>
        </w:tblCellMar>
      </w:tblPr>
      <w:tr>
        <w:trPr>
          <w:trHeight w:val="243"/>
        </w:trPr>
        <w:tc>
          <w:tcPr>
            <w:tcW w:w="122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286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Ordinary Resolutions</w:t>
            </w:r>
          </w:p>
        </w:tc>
        <w:tc>
          <w:tcPr>
            <w:tcW w:w="48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FOR</w:t>
            </w:r>
          </w:p>
        </w:tc>
        <w:tc>
          <w:tcPr>
            <w:tcW w:w="9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14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DISCRETION</w:t>
            </w:r>
          </w:p>
        </w:tc>
        <w:tc>
          <w:tcPr>
            <w:tcW w:w="1220" w:type="dxa"/>
            <w:vAlign w:val="bottom"/>
            <w:tcBorders>
              <w:top w:val="single" w:sz="8" w:color="auto"/>
              <w:bottom w:val="single" w:sz="8" w:color="auto"/>
            </w:tcBorders>
            <w:shd w:val="clear" w:color="auto" w:fill="000000"/>
          </w:tcPr>
          <w:p>
            <w:pPr>
              <w:spacing w:after="0"/>
              <w:rPr>
                <w:sz w:val="21"/>
                <w:szCs w:val="21"/>
                <w:color w:val="auto"/>
              </w:rPr>
            </w:pPr>
          </w:p>
        </w:tc>
        <w:tc>
          <w:tcPr>
            <w:tcW w:w="20" w:type="dxa"/>
            <w:vAlign w:val="bottom"/>
            <w:tcBorders>
              <w:top w:val="single" w:sz="8" w:color="auto"/>
              <w:bottom w:val="single" w:sz="8" w:color="auto"/>
            </w:tcBorders>
            <w:shd w:val="clear" w:color="auto" w:fill="000000"/>
          </w:tcPr>
          <w:p>
            <w:pPr>
              <w:spacing w:after="0"/>
              <w:rPr>
                <w:sz w:val="21"/>
                <w:szCs w:val="21"/>
                <w:color w:val="auto"/>
              </w:rPr>
            </w:pPr>
          </w:p>
        </w:tc>
      </w:tr>
      <w:tr>
        <w:trPr>
          <w:trHeight w:val="193"/>
        </w:trPr>
        <w:tc>
          <w:tcPr>
            <w:tcW w:w="1220" w:type="dxa"/>
            <w:vAlign w:val="bottom"/>
            <w:tcBorders>
              <w:left w:val="single" w:sz="8" w:color="auto"/>
              <w:right w:val="single" w:sz="8" w:color="auto"/>
            </w:tcBorders>
          </w:tcPr>
          <w:p>
            <w:pPr>
              <w:ind w:left="80"/>
              <w:spacing w:after="0" w:line="193" w:lineRule="exact"/>
              <w:rPr>
                <w:sz w:val="20"/>
                <w:szCs w:val="20"/>
                <w:color w:val="auto"/>
              </w:rPr>
            </w:pPr>
            <w:r>
              <w:rPr>
                <w:rFonts w:ascii="Times New Roman" w:cs="Times New Roman" w:eastAsia="Times New Roman" w:hAnsi="Times New Roman"/>
                <w:sz w:val="18"/>
                <w:szCs w:val="18"/>
                <w:color w:val="auto"/>
              </w:rPr>
              <w:t>Resolution 1</w:t>
            </w:r>
          </w:p>
        </w:tc>
        <w:tc>
          <w:tcPr>
            <w:tcW w:w="2860" w:type="dxa"/>
            <w:vAlign w:val="bottom"/>
            <w:tcBorders>
              <w:right w:val="single" w:sz="8" w:color="auto"/>
            </w:tcBorders>
          </w:tcPr>
          <w:p>
            <w:pPr>
              <w:ind w:left="40"/>
              <w:spacing w:after="0" w:line="193" w:lineRule="exact"/>
              <w:rPr>
                <w:sz w:val="20"/>
                <w:szCs w:val="20"/>
                <w:color w:val="auto"/>
              </w:rPr>
            </w:pPr>
            <w:r>
              <w:rPr>
                <w:rFonts w:ascii="Times New Roman" w:cs="Times New Roman" w:eastAsia="Times New Roman" w:hAnsi="Times New Roman"/>
                <w:sz w:val="18"/>
                <w:szCs w:val="18"/>
                <w:color w:val="auto"/>
              </w:rPr>
              <w:t>To re-elect Kenneth Cunningham,</w:t>
            </w:r>
          </w:p>
        </w:tc>
        <w:tc>
          <w:tcPr>
            <w:tcW w:w="4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1220" w:type="dxa"/>
            <w:vAlign w:val="bottom"/>
            <w:shd w:val="clear" w:color="auto" w:fill="000000"/>
          </w:tcPr>
          <w:p>
            <w:pPr>
              <w:spacing w:after="0"/>
              <w:rPr>
                <w:sz w:val="16"/>
                <w:szCs w:val="16"/>
                <w:color w:val="auto"/>
              </w:rPr>
            </w:pPr>
          </w:p>
        </w:tc>
        <w:tc>
          <w:tcPr>
            <w:tcW w:w="20" w:type="dxa"/>
            <w:vAlign w:val="bottom"/>
            <w:shd w:val="clear" w:color="auto" w:fill="000000"/>
          </w:tcPr>
          <w:p>
            <w:pPr>
              <w:spacing w:after="0"/>
              <w:rPr>
                <w:sz w:val="16"/>
                <w:szCs w:val="16"/>
                <w:color w:val="auto"/>
              </w:rPr>
            </w:pPr>
          </w:p>
        </w:tc>
      </w:tr>
      <w:tr>
        <w:trPr>
          <w:trHeight w:val="233"/>
        </w:trPr>
        <w:tc>
          <w:tcPr>
            <w:tcW w:w="1220" w:type="dxa"/>
            <w:vAlign w:val="bottom"/>
            <w:tcBorders>
              <w:left w:val="single" w:sz="8" w:color="auto"/>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M.D. as a director of the Company.</w:t>
            </w:r>
          </w:p>
        </w:tc>
        <w:tc>
          <w:tcPr>
            <w:tcW w:w="4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shd w:val="clear" w:color="auto" w:fill="000000"/>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r>
      <w:tr>
        <w:trPr>
          <w:trHeight w:val="193"/>
        </w:trPr>
        <w:tc>
          <w:tcPr>
            <w:tcW w:w="1220" w:type="dxa"/>
            <w:vAlign w:val="bottom"/>
            <w:tcBorders>
              <w:left w:val="single" w:sz="8" w:color="auto"/>
              <w:right w:val="single" w:sz="8" w:color="auto"/>
            </w:tcBorders>
          </w:tcPr>
          <w:p>
            <w:pPr>
              <w:ind w:left="80"/>
              <w:spacing w:after="0" w:line="193" w:lineRule="exact"/>
              <w:rPr>
                <w:sz w:val="20"/>
                <w:szCs w:val="20"/>
                <w:color w:val="auto"/>
              </w:rPr>
            </w:pPr>
            <w:r>
              <w:rPr>
                <w:rFonts w:ascii="Times New Roman" w:cs="Times New Roman" w:eastAsia="Times New Roman" w:hAnsi="Times New Roman"/>
                <w:sz w:val="18"/>
                <w:szCs w:val="18"/>
                <w:color w:val="auto"/>
              </w:rPr>
              <w:t>Resolution 2</w:t>
            </w:r>
          </w:p>
        </w:tc>
        <w:tc>
          <w:tcPr>
            <w:tcW w:w="2860" w:type="dxa"/>
            <w:vAlign w:val="bottom"/>
            <w:tcBorders>
              <w:right w:val="single" w:sz="8" w:color="auto"/>
            </w:tcBorders>
          </w:tcPr>
          <w:p>
            <w:pPr>
              <w:ind w:left="40"/>
              <w:spacing w:after="0" w:line="193" w:lineRule="exact"/>
              <w:rPr>
                <w:sz w:val="20"/>
                <w:szCs w:val="20"/>
                <w:color w:val="auto"/>
              </w:rPr>
            </w:pPr>
            <w:r>
              <w:rPr>
                <w:rFonts w:ascii="Times New Roman" w:cs="Times New Roman" w:eastAsia="Times New Roman" w:hAnsi="Times New Roman"/>
                <w:sz w:val="18"/>
                <w:szCs w:val="18"/>
                <w:color w:val="auto"/>
              </w:rPr>
              <w:t>To re-elect Vikas Sinha as a director</w:t>
            </w:r>
          </w:p>
        </w:tc>
        <w:tc>
          <w:tcPr>
            <w:tcW w:w="4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1220" w:type="dxa"/>
            <w:vAlign w:val="bottom"/>
            <w:shd w:val="clear" w:color="auto" w:fill="000000"/>
          </w:tcPr>
          <w:p>
            <w:pPr>
              <w:spacing w:after="0"/>
              <w:rPr>
                <w:sz w:val="16"/>
                <w:szCs w:val="16"/>
                <w:color w:val="auto"/>
              </w:rPr>
            </w:pPr>
          </w:p>
        </w:tc>
        <w:tc>
          <w:tcPr>
            <w:tcW w:w="20" w:type="dxa"/>
            <w:vAlign w:val="bottom"/>
            <w:shd w:val="clear" w:color="auto" w:fill="000000"/>
          </w:tcPr>
          <w:p>
            <w:pPr>
              <w:spacing w:after="0"/>
              <w:rPr>
                <w:sz w:val="16"/>
                <w:szCs w:val="16"/>
                <w:color w:val="auto"/>
              </w:rPr>
            </w:pPr>
          </w:p>
        </w:tc>
      </w:tr>
      <w:tr>
        <w:trPr>
          <w:trHeight w:val="233"/>
        </w:trPr>
        <w:tc>
          <w:tcPr>
            <w:tcW w:w="1220" w:type="dxa"/>
            <w:vAlign w:val="bottom"/>
            <w:tcBorders>
              <w:left w:val="single" w:sz="8" w:color="auto"/>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of the Company.</w:t>
            </w:r>
          </w:p>
        </w:tc>
        <w:tc>
          <w:tcPr>
            <w:tcW w:w="4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shd w:val="clear" w:color="auto" w:fill="000000"/>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r>
      <w:tr>
        <w:trPr>
          <w:trHeight w:val="193"/>
        </w:trPr>
        <w:tc>
          <w:tcPr>
            <w:tcW w:w="1220" w:type="dxa"/>
            <w:vAlign w:val="bottom"/>
            <w:tcBorders>
              <w:left w:val="single" w:sz="8" w:color="auto"/>
              <w:right w:val="single" w:sz="8" w:color="auto"/>
            </w:tcBorders>
          </w:tcPr>
          <w:p>
            <w:pPr>
              <w:ind w:left="80"/>
              <w:spacing w:after="0" w:line="193" w:lineRule="exact"/>
              <w:rPr>
                <w:sz w:val="20"/>
                <w:szCs w:val="20"/>
                <w:color w:val="auto"/>
              </w:rPr>
            </w:pPr>
            <w:r>
              <w:rPr>
                <w:rFonts w:ascii="Times New Roman" w:cs="Times New Roman" w:eastAsia="Times New Roman" w:hAnsi="Times New Roman"/>
                <w:sz w:val="18"/>
                <w:szCs w:val="18"/>
                <w:color w:val="auto"/>
              </w:rPr>
              <w:t>Resolution 3</w:t>
            </w:r>
          </w:p>
        </w:tc>
        <w:tc>
          <w:tcPr>
            <w:tcW w:w="2860" w:type="dxa"/>
            <w:vAlign w:val="bottom"/>
            <w:tcBorders>
              <w:right w:val="single" w:sz="8" w:color="auto"/>
            </w:tcBorders>
          </w:tcPr>
          <w:p>
            <w:pPr>
              <w:ind w:left="40"/>
              <w:spacing w:after="0" w:line="193" w:lineRule="exact"/>
              <w:rPr>
                <w:sz w:val="20"/>
                <w:szCs w:val="20"/>
                <w:color w:val="auto"/>
              </w:rPr>
            </w:pPr>
            <w:r>
              <w:rPr>
                <w:rFonts w:ascii="Times New Roman" w:cs="Times New Roman" w:eastAsia="Times New Roman" w:hAnsi="Times New Roman"/>
                <w:sz w:val="18"/>
                <w:szCs w:val="18"/>
                <w:color w:val="auto"/>
              </w:rPr>
              <w:t>To re-elect James Brady as a</w:t>
            </w:r>
          </w:p>
        </w:tc>
        <w:tc>
          <w:tcPr>
            <w:tcW w:w="4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1220" w:type="dxa"/>
            <w:vAlign w:val="bottom"/>
            <w:shd w:val="clear" w:color="auto" w:fill="000000"/>
          </w:tcPr>
          <w:p>
            <w:pPr>
              <w:spacing w:after="0"/>
              <w:rPr>
                <w:sz w:val="16"/>
                <w:szCs w:val="16"/>
                <w:color w:val="auto"/>
              </w:rPr>
            </w:pPr>
          </w:p>
        </w:tc>
        <w:tc>
          <w:tcPr>
            <w:tcW w:w="20" w:type="dxa"/>
            <w:vAlign w:val="bottom"/>
            <w:shd w:val="clear" w:color="auto" w:fill="000000"/>
          </w:tcPr>
          <w:p>
            <w:pPr>
              <w:spacing w:after="0"/>
              <w:rPr>
                <w:sz w:val="16"/>
                <w:szCs w:val="16"/>
                <w:color w:val="auto"/>
              </w:rPr>
            </w:pPr>
          </w:p>
        </w:tc>
      </w:tr>
      <w:tr>
        <w:trPr>
          <w:trHeight w:val="233"/>
        </w:trPr>
        <w:tc>
          <w:tcPr>
            <w:tcW w:w="1220" w:type="dxa"/>
            <w:vAlign w:val="bottom"/>
            <w:tcBorders>
              <w:left w:val="single" w:sz="8" w:color="auto"/>
              <w:bottom w:val="single" w:sz="8" w:color="auto"/>
              <w:right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director of the Company.</w:t>
            </w:r>
          </w:p>
        </w:tc>
        <w:tc>
          <w:tcPr>
            <w:tcW w:w="4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shd w:val="clear" w:color="auto" w:fill="000000"/>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r>
      <w:tr>
        <w:trPr>
          <w:trHeight w:val="193"/>
        </w:trPr>
        <w:tc>
          <w:tcPr>
            <w:tcW w:w="1220" w:type="dxa"/>
            <w:vAlign w:val="bottom"/>
            <w:tcBorders>
              <w:left w:val="single" w:sz="8" w:color="auto"/>
              <w:right w:val="single" w:sz="8" w:color="auto"/>
            </w:tcBorders>
          </w:tcPr>
          <w:p>
            <w:pPr>
              <w:ind w:left="80"/>
              <w:spacing w:after="0" w:line="193" w:lineRule="exact"/>
              <w:rPr>
                <w:sz w:val="20"/>
                <w:szCs w:val="20"/>
                <w:color w:val="auto"/>
              </w:rPr>
            </w:pPr>
            <w:r>
              <w:rPr>
                <w:rFonts w:ascii="Times New Roman" w:cs="Times New Roman" w:eastAsia="Times New Roman" w:hAnsi="Times New Roman"/>
                <w:sz w:val="18"/>
                <w:szCs w:val="18"/>
                <w:color w:val="auto"/>
              </w:rPr>
              <w:t>Resolution 4</w:t>
            </w:r>
          </w:p>
        </w:tc>
        <w:tc>
          <w:tcPr>
            <w:tcW w:w="2860" w:type="dxa"/>
            <w:vAlign w:val="bottom"/>
            <w:tcBorders>
              <w:right w:val="single" w:sz="8" w:color="auto"/>
            </w:tcBorders>
          </w:tcPr>
          <w:p>
            <w:pPr>
              <w:ind w:left="40"/>
              <w:spacing w:after="0" w:line="193" w:lineRule="exact"/>
              <w:rPr>
                <w:sz w:val="20"/>
                <w:szCs w:val="20"/>
                <w:color w:val="auto"/>
              </w:rPr>
            </w:pPr>
            <w:r>
              <w:rPr>
                <w:rFonts w:ascii="Times New Roman" w:cs="Times New Roman" w:eastAsia="Times New Roman" w:hAnsi="Times New Roman"/>
                <w:sz w:val="18"/>
                <w:szCs w:val="18"/>
                <w:color w:val="auto"/>
              </w:rPr>
              <w:t>To receive and adopt the U.K.</w:t>
            </w:r>
          </w:p>
        </w:tc>
        <w:tc>
          <w:tcPr>
            <w:tcW w:w="4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1220" w:type="dxa"/>
            <w:vAlign w:val="bottom"/>
            <w:shd w:val="clear" w:color="auto" w:fill="000000"/>
          </w:tcPr>
          <w:p>
            <w:pPr>
              <w:spacing w:after="0"/>
              <w:rPr>
                <w:sz w:val="16"/>
                <w:szCs w:val="16"/>
                <w:color w:val="auto"/>
              </w:rPr>
            </w:pPr>
          </w:p>
        </w:tc>
        <w:tc>
          <w:tcPr>
            <w:tcW w:w="20" w:type="dxa"/>
            <w:vAlign w:val="bottom"/>
            <w:shd w:val="clear" w:color="auto" w:fill="000000"/>
          </w:tcPr>
          <w:p>
            <w:pPr>
              <w:spacing w:after="0"/>
              <w:rPr>
                <w:sz w:val="16"/>
                <w:szCs w:val="16"/>
                <w:color w:val="auto"/>
              </w:rPr>
            </w:pPr>
          </w:p>
        </w:tc>
      </w:tr>
      <w:tr>
        <w:trPr>
          <w:trHeight w:val="216"/>
        </w:trPr>
        <w:tc>
          <w:tcPr>
            <w:tcW w:w="1220" w:type="dxa"/>
            <w:vAlign w:val="bottom"/>
            <w:tcBorders>
              <w:left w:val="single" w:sz="8" w:color="auto"/>
              <w:right w:val="single" w:sz="8" w:color="auto"/>
            </w:tcBorders>
          </w:tcPr>
          <w:p>
            <w:pPr>
              <w:spacing w:after="0"/>
              <w:rPr>
                <w:sz w:val="18"/>
                <w:szCs w:val="18"/>
                <w:color w:val="auto"/>
              </w:rPr>
            </w:pPr>
          </w:p>
        </w:tc>
        <w:tc>
          <w:tcPr>
            <w:tcW w:w="28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statutory annual accounts and</w:t>
            </w:r>
          </w:p>
        </w:tc>
        <w:tc>
          <w:tcPr>
            <w:tcW w:w="4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shd w:val="clear" w:color="auto" w:fill="000000"/>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6"/>
        </w:trPr>
        <w:tc>
          <w:tcPr>
            <w:tcW w:w="1220" w:type="dxa"/>
            <w:vAlign w:val="bottom"/>
            <w:tcBorders>
              <w:left w:val="single" w:sz="8" w:color="auto"/>
              <w:right w:val="single" w:sz="8" w:color="auto"/>
            </w:tcBorders>
          </w:tcPr>
          <w:p>
            <w:pPr>
              <w:spacing w:after="0"/>
              <w:rPr>
                <w:sz w:val="18"/>
                <w:szCs w:val="18"/>
                <w:color w:val="auto"/>
              </w:rPr>
            </w:pPr>
          </w:p>
        </w:tc>
        <w:tc>
          <w:tcPr>
            <w:tcW w:w="28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Directors’ report for the year ended</w:t>
            </w:r>
          </w:p>
        </w:tc>
        <w:tc>
          <w:tcPr>
            <w:tcW w:w="4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shd w:val="clear" w:color="auto" w:fill="000000"/>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9"/>
        </w:trPr>
        <w:tc>
          <w:tcPr>
            <w:tcW w:w="1220" w:type="dxa"/>
            <w:vAlign w:val="bottom"/>
            <w:tcBorders>
              <w:left w:val="single" w:sz="8" w:color="auto"/>
              <w:bottom w:val="single" w:sz="8" w:color="auto"/>
              <w:right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December 31, 2024.</w:t>
            </w:r>
          </w:p>
        </w:tc>
        <w:tc>
          <w:tcPr>
            <w:tcW w:w="4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r>
      <w:tr>
        <w:trPr>
          <w:trHeight w:val="193"/>
        </w:trPr>
        <w:tc>
          <w:tcPr>
            <w:tcW w:w="1220" w:type="dxa"/>
            <w:vAlign w:val="bottom"/>
            <w:tcBorders>
              <w:left w:val="single" w:sz="8" w:color="auto"/>
              <w:right w:val="single" w:sz="8" w:color="auto"/>
            </w:tcBorders>
          </w:tcPr>
          <w:p>
            <w:pPr>
              <w:ind w:left="80"/>
              <w:spacing w:after="0" w:line="193" w:lineRule="exact"/>
              <w:rPr>
                <w:sz w:val="20"/>
                <w:szCs w:val="20"/>
                <w:color w:val="auto"/>
              </w:rPr>
            </w:pPr>
            <w:r>
              <w:rPr>
                <w:rFonts w:ascii="Times New Roman" w:cs="Times New Roman" w:eastAsia="Times New Roman" w:hAnsi="Times New Roman"/>
                <w:sz w:val="18"/>
                <w:szCs w:val="18"/>
                <w:color w:val="auto"/>
              </w:rPr>
              <w:t>Resolution 5</w:t>
            </w:r>
          </w:p>
        </w:tc>
        <w:tc>
          <w:tcPr>
            <w:tcW w:w="2860" w:type="dxa"/>
            <w:vAlign w:val="bottom"/>
            <w:tcBorders>
              <w:right w:val="single" w:sz="8" w:color="auto"/>
            </w:tcBorders>
          </w:tcPr>
          <w:p>
            <w:pPr>
              <w:ind w:left="40"/>
              <w:spacing w:after="0" w:line="193" w:lineRule="exact"/>
              <w:rPr>
                <w:sz w:val="20"/>
                <w:szCs w:val="20"/>
                <w:color w:val="auto"/>
              </w:rPr>
            </w:pPr>
            <w:r>
              <w:rPr>
                <w:rFonts w:ascii="Times New Roman" w:cs="Times New Roman" w:eastAsia="Times New Roman" w:hAnsi="Times New Roman"/>
                <w:sz w:val="18"/>
                <w:szCs w:val="18"/>
                <w:color w:val="auto"/>
              </w:rPr>
              <w:t>To receive and approve, as a non-</w:t>
            </w:r>
          </w:p>
        </w:tc>
        <w:tc>
          <w:tcPr>
            <w:tcW w:w="4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1220" w:type="dxa"/>
            <w:vAlign w:val="bottom"/>
            <w:shd w:val="clear" w:color="auto" w:fill="000000"/>
          </w:tcPr>
          <w:p>
            <w:pPr>
              <w:spacing w:after="0"/>
              <w:rPr>
                <w:sz w:val="16"/>
                <w:szCs w:val="16"/>
                <w:color w:val="auto"/>
              </w:rPr>
            </w:pPr>
          </w:p>
        </w:tc>
        <w:tc>
          <w:tcPr>
            <w:tcW w:w="20" w:type="dxa"/>
            <w:vAlign w:val="bottom"/>
            <w:shd w:val="clear" w:color="auto" w:fill="000000"/>
          </w:tcPr>
          <w:p>
            <w:pPr>
              <w:spacing w:after="0"/>
              <w:rPr>
                <w:sz w:val="16"/>
                <w:szCs w:val="16"/>
                <w:color w:val="auto"/>
              </w:rPr>
            </w:pPr>
          </w:p>
        </w:tc>
      </w:tr>
      <w:tr>
        <w:trPr>
          <w:trHeight w:val="216"/>
        </w:trPr>
        <w:tc>
          <w:tcPr>
            <w:tcW w:w="1220" w:type="dxa"/>
            <w:vAlign w:val="bottom"/>
            <w:tcBorders>
              <w:left w:val="single" w:sz="8" w:color="auto"/>
              <w:right w:val="single" w:sz="8" w:color="auto"/>
            </w:tcBorders>
          </w:tcPr>
          <w:p>
            <w:pPr>
              <w:spacing w:after="0"/>
              <w:rPr>
                <w:sz w:val="18"/>
                <w:szCs w:val="18"/>
                <w:color w:val="auto"/>
              </w:rPr>
            </w:pPr>
          </w:p>
        </w:tc>
        <w:tc>
          <w:tcPr>
            <w:tcW w:w="28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binding advisory resolution, the</w:t>
            </w:r>
          </w:p>
        </w:tc>
        <w:tc>
          <w:tcPr>
            <w:tcW w:w="4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shd w:val="clear" w:color="auto" w:fill="000000"/>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6"/>
        </w:trPr>
        <w:tc>
          <w:tcPr>
            <w:tcW w:w="1220" w:type="dxa"/>
            <w:vAlign w:val="bottom"/>
            <w:tcBorders>
              <w:left w:val="single" w:sz="8" w:color="auto"/>
              <w:right w:val="single" w:sz="8" w:color="auto"/>
            </w:tcBorders>
          </w:tcPr>
          <w:p>
            <w:pPr>
              <w:spacing w:after="0"/>
              <w:rPr>
                <w:sz w:val="18"/>
                <w:szCs w:val="18"/>
                <w:color w:val="auto"/>
              </w:rPr>
            </w:pPr>
          </w:p>
        </w:tc>
        <w:tc>
          <w:tcPr>
            <w:tcW w:w="28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U.K. statutory Directors’</w:t>
            </w:r>
          </w:p>
        </w:tc>
        <w:tc>
          <w:tcPr>
            <w:tcW w:w="4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shd w:val="clear" w:color="auto" w:fill="000000"/>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6"/>
        </w:trPr>
        <w:tc>
          <w:tcPr>
            <w:tcW w:w="1220" w:type="dxa"/>
            <w:vAlign w:val="bottom"/>
            <w:tcBorders>
              <w:left w:val="single" w:sz="8" w:color="auto"/>
              <w:right w:val="single" w:sz="8" w:color="auto"/>
            </w:tcBorders>
          </w:tcPr>
          <w:p>
            <w:pPr>
              <w:spacing w:after="0"/>
              <w:rPr>
                <w:sz w:val="18"/>
                <w:szCs w:val="18"/>
                <w:color w:val="auto"/>
              </w:rPr>
            </w:pPr>
          </w:p>
        </w:tc>
        <w:tc>
          <w:tcPr>
            <w:tcW w:w="28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Remuneration Report for the year</w:t>
            </w:r>
          </w:p>
        </w:tc>
        <w:tc>
          <w:tcPr>
            <w:tcW w:w="4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shd w:val="clear" w:color="auto" w:fill="000000"/>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9"/>
        </w:trPr>
        <w:tc>
          <w:tcPr>
            <w:tcW w:w="1220" w:type="dxa"/>
            <w:vAlign w:val="bottom"/>
            <w:tcBorders>
              <w:left w:val="single" w:sz="8" w:color="auto"/>
              <w:bottom w:val="single" w:sz="8" w:color="auto"/>
              <w:right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ended December 31, 2024.</w:t>
            </w:r>
          </w:p>
        </w:tc>
        <w:tc>
          <w:tcPr>
            <w:tcW w:w="4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r>
      <w:tr>
        <w:trPr>
          <w:trHeight w:val="193"/>
        </w:trPr>
        <w:tc>
          <w:tcPr>
            <w:tcW w:w="1220" w:type="dxa"/>
            <w:vAlign w:val="bottom"/>
            <w:tcBorders>
              <w:left w:val="single" w:sz="8" w:color="auto"/>
              <w:right w:val="single" w:sz="8" w:color="auto"/>
            </w:tcBorders>
          </w:tcPr>
          <w:p>
            <w:pPr>
              <w:ind w:left="80"/>
              <w:spacing w:after="0" w:line="193" w:lineRule="exact"/>
              <w:rPr>
                <w:sz w:val="20"/>
                <w:szCs w:val="20"/>
                <w:color w:val="auto"/>
              </w:rPr>
            </w:pPr>
            <w:r>
              <w:rPr>
                <w:rFonts w:ascii="Times New Roman" w:cs="Times New Roman" w:eastAsia="Times New Roman" w:hAnsi="Times New Roman"/>
                <w:sz w:val="18"/>
                <w:szCs w:val="18"/>
                <w:color w:val="auto"/>
              </w:rPr>
              <w:t>Resolution 6</w:t>
            </w:r>
          </w:p>
        </w:tc>
        <w:tc>
          <w:tcPr>
            <w:tcW w:w="2860" w:type="dxa"/>
            <w:vAlign w:val="bottom"/>
            <w:tcBorders>
              <w:right w:val="single" w:sz="8" w:color="auto"/>
            </w:tcBorders>
          </w:tcPr>
          <w:p>
            <w:pPr>
              <w:ind w:left="40"/>
              <w:spacing w:after="0" w:line="193" w:lineRule="exact"/>
              <w:rPr>
                <w:sz w:val="20"/>
                <w:szCs w:val="20"/>
                <w:color w:val="auto"/>
              </w:rPr>
            </w:pPr>
            <w:r>
              <w:rPr>
                <w:rFonts w:ascii="Times New Roman" w:cs="Times New Roman" w:eastAsia="Times New Roman" w:hAnsi="Times New Roman"/>
                <w:sz w:val="18"/>
                <w:szCs w:val="18"/>
                <w:color w:val="auto"/>
              </w:rPr>
              <w:t>To re-appoint Ernst &amp; Young LLP as</w:t>
            </w:r>
          </w:p>
        </w:tc>
        <w:tc>
          <w:tcPr>
            <w:tcW w:w="4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1220" w:type="dxa"/>
            <w:vAlign w:val="bottom"/>
            <w:shd w:val="clear" w:color="auto" w:fill="000000"/>
          </w:tcPr>
          <w:p>
            <w:pPr>
              <w:spacing w:after="0"/>
              <w:rPr>
                <w:sz w:val="16"/>
                <w:szCs w:val="16"/>
                <w:color w:val="auto"/>
              </w:rPr>
            </w:pPr>
          </w:p>
        </w:tc>
        <w:tc>
          <w:tcPr>
            <w:tcW w:w="20" w:type="dxa"/>
            <w:vAlign w:val="bottom"/>
            <w:shd w:val="clear" w:color="auto" w:fill="000000"/>
          </w:tcPr>
          <w:p>
            <w:pPr>
              <w:spacing w:after="0"/>
              <w:rPr>
                <w:sz w:val="16"/>
                <w:szCs w:val="16"/>
                <w:color w:val="auto"/>
              </w:rPr>
            </w:pPr>
          </w:p>
        </w:tc>
      </w:tr>
      <w:tr>
        <w:trPr>
          <w:trHeight w:val="216"/>
        </w:trPr>
        <w:tc>
          <w:tcPr>
            <w:tcW w:w="1220" w:type="dxa"/>
            <w:vAlign w:val="bottom"/>
            <w:tcBorders>
              <w:left w:val="single" w:sz="8" w:color="auto"/>
              <w:right w:val="single" w:sz="8" w:color="auto"/>
            </w:tcBorders>
          </w:tcPr>
          <w:p>
            <w:pPr>
              <w:spacing w:after="0"/>
              <w:rPr>
                <w:sz w:val="18"/>
                <w:szCs w:val="18"/>
                <w:color w:val="auto"/>
              </w:rPr>
            </w:pPr>
          </w:p>
        </w:tc>
        <w:tc>
          <w:tcPr>
            <w:tcW w:w="28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Company’s auditors, to hold</w:t>
            </w:r>
          </w:p>
        </w:tc>
        <w:tc>
          <w:tcPr>
            <w:tcW w:w="4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shd w:val="clear" w:color="auto" w:fill="000000"/>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6"/>
        </w:trPr>
        <w:tc>
          <w:tcPr>
            <w:tcW w:w="1220" w:type="dxa"/>
            <w:vAlign w:val="bottom"/>
            <w:tcBorders>
              <w:left w:val="single" w:sz="8" w:color="auto"/>
              <w:right w:val="single" w:sz="8" w:color="auto"/>
            </w:tcBorders>
          </w:tcPr>
          <w:p>
            <w:pPr>
              <w:spacing w:after="0"/>
              <w:rPr>
                <w:sz w:val="18"/>
                <w:szCs w:val="18"/>
                <w:color w:val="auto"/>
              </w:rPr>
            </w:pPr>
          </w:p>
        </w:tc>
        <w:tc>
          <w:tcPr>
            <w:tcW w:w="28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office until the conclusion of the</w:t>
            </w:r>
          </w:p>
        </w:tc>
        <w:tc>
          <w:tcPr>
            <w:tcW w:w="4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shd w:val="clear" w:color="auto" w:fill="000000"/>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6"/>
        </w:trPr>
        <w:tc>
          <w:tcPr>
            <w:tcW w:w="1220" w:type="dxa"/>
            <w:vAlign w:val="bottom"/>
            <w:tcBorders>
              <w:left w:val="single" w:sz="8" w:color="auto"/>
              <w:right w:val="single" w:sz="8" w:color="auto"/>
            </w:tcBorders>
          </w:tcPr>
          <w:p>
            <w:pPr>
              <w:spacing w:after="0"/>
              <w:rPr>
                <w:sz w:val="18"/>
                <w:szCs w:val="18"/>
                <w:color w:val="auto"/>
              </w:rPr>
            </w:pPr>
          </w:p>
        </w:tc>
        <w:tc>
          <w:tcPr>
            <w:tcW w:w="28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next annual general meeting of</w:t>
            </w:r>
          </w:p>
        </w:tc>
        <w:tc>
          <w:tcPr>
            <w:tcW w:w="4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shd w:val="clear" w:color="auto" w:fill="000000"/>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9"/>
        </w:trPr>
        <w:tc>
          <w:tcPr>
            <w:tcW w:w="1220" w:type="dxa"/>
            <w:vAlign w:val="bottom"/>
            <w:tcBorders>
              <w:left w:val="single" w:sz="8" w:color="auto"/>
              <w:bottom w:val="single" w:sz="8" w:color="auto"/>
              <w:right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shareholders.</w:t>
            </w:r>
          </w:p>
        </w:tc>
        <w:tc>
          <w:tcPr>
            <w:tcW w:w="4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r>
      <w:tr>
        <w:trPr>
          <w:trHeight w:val="193"/>
        </w:trPr>
        <w:tc>
          <w:tcPr>
            <w:tcW w:w="1220" w:type="dxa"/>
            <w:vAlign w:val="bottom"/>
            <w:tcBorders>
              <w:left w:val="single" w:sz="8" w:color="auto"/>
              <w:right w:val="single" w:sz="8" w:color="auto"/>
            </w:tcBorders>
          </w:tcPr>
          <w:p>
            <w:pPr>
              <w:ind w:left="80"/>
              <w:spacing w:after="0" w:line="193" w:lineRule="exact"/>
              <w:rPr>
                <w:sz w:val="20"/>
                <w:szCs w:val="20"/>
                <w:color w:val="auto"/>
              </w:rPr>
            </w:pPr>
            <w:r>
              <w:rPr>
                <w:rFonts w:ascii="Times New Roman" w:cs="Times New Roman" w:eastAsia="Times New Roman" w:hAnsi="Times New Roman"/>
                <w:sz w:val="18"/>
                <w:szCs w:val="18"/>
                <w:color w:val="auto"/>
              </w:rPr>
              <w:t>Resolution 7</w:t>
            </w:r>
          </w:p>
        </w:tc>
        <w:tc>
          <w:tcPr>
            <w:tcW w:w="2860" w:type="dxa"/>
            <w:vAlign w:val="bottom"/>
            <w:tcBorders>
              <w:right w:val="single" w:sz="8" w:color="auto"/>
            </w:tcBorders>
          </w:tcPr>
          <w:p>
            <w:pPr>
              <w:ind w:left="40"/>
              <w:spacing w:after="0" w:line="193" w:lineRule="exact"/>
              <w:rPr>
                <w:sz w:val="20"/>
                <w:szCs w:val="20"/>
                <w:color w:val="auto"/>
              </w:rPr>
            </w:pPr>
            <w:r>
              <w:rPr>
                <w:rFonts w:ascii="Times New Roman" w:cs="Times New Roman" w:eastAsia="Times New Roman" w:hAnsi="Times New Roman"/>
                <w:sz w:val="18"/>
                <w:szCs w:val="18"/>
                <w:color w:val="auto"/>
              </w:rPr>
              <w:t>To authorize the Audit and Risk</w:t>
            </w:r>
          </w:p>
        </w:tc>
        <w:tc>
          <w:tcPr>
            <w:tcW w:w="4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1220" w:type="dxa"/>
            <w:vAlign w:val="bottom"/>
            <w:shd w:val="clear" w:color="auto" w:fill="000000"/>
          </w:tcPr>
          <w:p>
            <w:pPr>
              <w:spacing w:after="0"/>
              <w:rPr>
                <w:sz w:val="16"/>
                <w:szCs w:val="16"/>
                <w:color w:val="auto"/>
              </w:rPr>
            </w:pPr>
          </w:p>
        </w:tc>
        <w:tc>
          <w:tcPr>
            <w:tcW w:w="20" w:type="dxa"/>
            <w:vAlign w:val="bottom"/>
            <w:shd w:val="clear" w:color="auto" w:fill="000000"/>
          </w:tcPr>
          <w:p>
            <w:pPr>
              <w:spacing w:after="0"/>
              <w:rPr>
                <w:sz w:val="16"/>
                <w:szCs w:val="16"/>
                <w:color w:val="auto"/>
              </w:rPr>
            </w:pPr>
          </w:p>
        </w:tc>
      </w:tr>
      <w:tr>
        <w:trPr>
          <w:trHeight w:val="216"/>
        </w:trPr>
        <w:tc>
          <w:tcPr>
            <w:tcW w:w="1220" w:type="dxa"/>
            <w:vAlign w:val="bottom"/>
            <w:tcBorders>
              <w:left w:val="single" w:sz="8" w:color="auto"/>
              <w:right w:val="single" w:sz="8" w:color="auto"/>
            </w:tcBorders>
          </w:tcPr>
          <w:p>
            <w:pPr>
              <w:spacing w:after="0"/>
              <w:rPr>
                <w:sz w:val="18"/>
                <w:szCs w:val="18"/>
                <w:color w:val="auto"/>
              </w:rPr>
            </w:pPr>
          </w:p>
        </w:tc>
        <w:tc>
          <w:tcPr>
            <w:tcW w:w="28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Committee to determine the</w:t>
            </w:r>
          </w:p>
        </w:tc>
        <w:tc>
          <w:tcPr>
            <w:tcW w:w="4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shd w:val="clear" w:color="auto" w:fill="000000"/>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6"/>
        </w:trPr>
        <w:tc>
          <w:tcPr>
            <w:tcW w:w="1220" w:type="dxa"/>
            <w:vAlign w:val="bottom"/>
            <w:tcBorders>
              <w:left w:val="single" w:sz="8" w:color="auto"/>
              <w:right w:val="single" w:sz="8" w:color="auto"/>
            </w:tcBorders>
          </w:tcPr>
          <w:p>
            <w:pPr>
              <w:spacing w:after="0"/>
              <w:rPr>
                <w:sz w:val="18"/>
                <w:szCs w:val="18"/>
                <w:color w:val="auto"/>
              </w:rPr>
            </w:pPr>
          </w:p>
        </w:tc>
        <w:tc>
          <w:tcPr>
            <w:tcW w:w="28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auditors’ remuneration for the year</w:t>
            </w:r>
          </w:p>
        </w:tc>
        <w:tc>
          <w:tcPr>
            <w:tcW w:w="4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shd w:val="clear" w:color="auto" w:fill="000000"/>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9"/>
        </w:trPr>
        <w:tc>
          <w:tcPr>
            <w:tcW w:w="1220" w:type="dxa"/>
            <w:vAlign w:val="bottom"/>
            <w:tcBorders>
              <w:left w:val="single" w:sz="8" w:color="auto"/>
              <w:bottom w:val="single" w:sz="8" w:color="auto"/>
              <w:right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ending December 31, 2025.</w:t>
            </w:r>
          </w:p>
        </w:tc>
        <w:tc>
          <w:tcPr>
            <w:tcW w:w="4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shd w:val="clear" w:color="auto" w:fill="000000"/>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r>
      <w:tr>
        <w:trPr>
          <w:trHeight w:val="193"/>
        </w:trPr>
        <w:tc>
          <w:tcPr>
            <w:tcW w:w="1220" w:type="dxa"/>
            <w:vAlign w:val="bottom"/>
            <w:tcBorders>
              <w:left w:val="single" w:sz="8" w:color="auto"/>
              <w:right w:val="single" w:sz="8" w:color="auto"/>
            </w:tcBorders>
          </w:tcPr>
          <w:p>
            <w:pPr>
              <w:ind w:left="80"/>
              <w:spacing w:after="0" w:line="193" w:lineRule="exact"/>
              <w:rPr>
                <w:sz w:val="20"/>
                <w:szCs w:val="20"/>
                <w:color w:val="auto"/>
              </w:rPr>
            </w:pPr>
            <w:r>
              <w:rPr>
                <w:rFonts w:ascii="Times New Roman" w:cs="Times New Roman" w:eastAsia="Times New Roman" w:hAnsi="Times New Roman"/>
                <w:sz w:val="18"/>
                <w:szCs w:val="18"/>
                <w:color w:val="auto"/>
              </w:rPr>
              <w:t>Resolution 8</w:t>
            </w:r>
          </w:p>
        </w:tc>
        <w:tc>
          <w:tcPr>
            <w:tcW w:w="2860" w:type="dxa"/>
            <w:vAlign w:val="bottom"/>
            <w:tcBorders>
              <w:right w:val="single" w:sz="8" w:color="auto"/>
            </w:tcBorders>
          </w:tcPr>
          <w:p>
            <w:pPr>
              <w:ind w:left="40"/>
              <w:spacing w:after="0" w:line="193" w:lineRule="exact"/>
              <w:rPr>
                <w:sz w:val="20"/>
                <w:szCs w:val="20"/>
                <w:color w:val="auto"/>
              </w:rPr>
            </w:pPr>
            <w:r>
              <w:rPr>
                <w:rFonts w:ascii="Times New Roman" w:cs="Times New Roman" w:eastAsia="Times New Roman" w:hAnsi="Times New Roman"/>
                <w:sz w:val="18"/>
                <w:szCs w:val="18"/>
                <w:color w:val="auto"/>
              </w:rPr>
              <w:t>To approve, on an advisory (non-</w:t>
            </w:r>
          </w:p>
        </w:tc>
        <w:tc>
          <w:tcPr>
            <w:tcW w:w="4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1220" w:type="dxa"/>
            <w:vAlign w:val="bottom"/>
            <w:shd w:val="clear" w:color="auto" w:fill="000000"/>
          </w:tcPr>
          <w:p>
            <w:pPr>
              <w:spacing w:after="0"/>
              <w:rPr>
                <w:sz w:val="16"/>
                <w:szCs w:val="16"/>
                <w:color w:val="auto"/>
              </w:rPr>
            </w:pPr>
          </w:p>
        </w:tc>
        <w:tc>
          <w:tcPr>
            <w:tcW w:w="20" w:type="dxa"/>
            <w:vAlign w:val="bottom"/>
            <w:shd w:val="clear" w:color="auto" w:fill="000000"/>
          </w:tcPr>
          <w:p>
            <w:pPr>
              <w:spacing w:after="0"/>
              <w:rPr>
                <w:sz w:val="16"/>
                <w:szCs w:val="16"/>
                <w:color w:val="auto"/>
              </w:rPr>
            </w:pPr>
          </w:p>
        </w:tc>
      </w:tr>
      <w:tr>
        <w:trPr>
          <w:trHeight w:val="216"/>
        </w:trPr>
        <w:tc>
          <w:tcPr>
            <w:tcW w:w="1220" w:type="dxa"/>
            <w:vAlign w:val="bottom"/>
            <w:tcBorders>
              <w:left w:val="single" w:sz="8" w:color="auto"/>
              <w:right w:val="single" w:sz="8" w:color="auto"/>
            </w:tcBorders>
          </w:tcPr>
          <w:p>
            <w:pPr>
              <w:spacing w:after="0"/>
              <w:rPr>
                <w:sz w:val="18"/>
                <w:szCs w:val="18"/>
                <w:color w:val="auto"/>
              </w:rPr>
            </w:pPr>
          </w:p>
        </w:tc>
        <w:tc>
          <w:tcPr>
            <w:tcW w:w="28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binding) basis, the compensation of</w:t>
            </w:r>
          </w:p>
        </w:tc>
        <w:tc>
          <w:tcPr>
            <w:tcW w:w="4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shd w:val="clear" w:color="auto" w:fill="000000"/>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6"/>
        </w:trPr>
        <w:tc>
          <w:tcPr>
            <w:tcW w:w="1220" w:type="dxa"/>
            <w:vAlign w:val="bottom"/>
            <w:tcBorders>
              <w:left w:val="single" w:sz="8" w:color="auto"/>
              <w:right w:val="single" w:sz="8" w:color="auto"/>
            </w:tcBorders>
          </w:tcPr>
          <w:p>
            <w:pPr>
              <w:spacing w:after="0"/>
              <w:rPr>
                <w:sz w:val="18"/>
                <w:szCs w:val="18"/>
                <w:color w:val="auto"/>
              </w:rPr>
            </w:pPr>
          </w:p>
        </w:tc>
        <w:tc>
          <w:tcPr>
            <w:tcW w:w="28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Company’s named executive</w:t>
            </w:r>
          </w:p>
        </w:tc>
        <w:tc>
          <w:tcPr>
            <w:tcW w:w="48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shd w:val="clear" w:color="auto" w:fill="000000"/>
          </w:tcPr>
          <w:p>
            <w:pPr>
              <w:spacing w:after="0"/>
              <w:rPr>
                <w:sz w:val="18"/>
                <w:szCs w:val="18"/>
                <w:color w:val="auto"/>
              </w:rPr>
            </w:pPr>
          </w:p>
        </w:tc>
        <w:tc>
          <w:tcPr>
            <w:tcW w:w="20" w:type="dxa"/>
            <w:vAlign w:val="bottom"/>
            <w:shd w:val="clear" w:color="auto" w:fill="000000"/>
          </w:tcPr>
          <w:p>
            <w:pPr>
              <w:spacing w:after="0"/>
              <w:rPr>
                <w:sz w:val="18"/>
                <w:szCs w:val="18"/>
                <w:color w:val="auto"/>
              </w:rPr>
            </w:pPr>
          </w:p>
        </w:tc>
      </w:tr>
      <w:tr>
        <w:trPr>
          <w:trHeight w:val="219"/>
        </w:trPr>
        <w:tc>
          <w:tcPr>
            <w:tcW w:w="1220" w:type="dxa"/>
            <w:vAlign w:val="bottom"/>
            <w:tcBorders>
              <w:left w:val="single" w:sz="8" w:color="auto"/>
              <w:bottom w:val="single" w:sz="8" w:color="auto"/>
              <w:right w:val="single" w:sz="8" w:color="auto"/>
            </w:tcBorders>
          </w:tcPr>
          <w:p>
            <w:pPr>
              <w:spacing w:after="0"/>
              <w:rPr>
                <w:sz w:val="19"/>
                <w:szCs w:val="19"/>
                <w:color w:val="auto"/>
              </w:rPr>
            </w:pPr>
          </w:p>
        </w:tc>
        <w:tc>
          <w:tcPr>
            <w:tcW w:w="2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officers.</w:t>
            </w:r>
          </w:p>
        </w:tc>
        <w:tc>
          <w:tcPr>
            <w:tcW w:w="4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shd w:val="clear" w:color="auto" w:fill="000000"/>
          </w:tcPr>
          <w:p>
            <w:pPr>
              <w:spacing w:after="0"/>
              <w:rPr>
                <w:sz w:val="19"/>
                <w:szCs w:val="19"/>
                <w:color w:val="auto"/>
              </w:rPr>
            </w:pPr>
          </w:p>
        </w:tc>
        <w:tc>
          <w:tcPr>
            <w:tcW w:w="20" w:type="dxa"/>
            <w:vAlign w:val="bottom"/>
            <w:shd w:val="clear" w:color="auto" w:fill="000000"/>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6235065</wp:posOffset>
            </wp:positionH>
            <wp:positionV relativeFrom="paragraph">
              <wp:posOffset>-3590925</wp:posOffset>
            </wp:positionV>
            <wp:extent cx="342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2233295</wp:posOffset>
            </wp:positionV>
            <wp:extent cx="683196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sectPr>
      </w:pPr>
    </w:p>
    <w:bookmarkStart w:id="161" w:name="page162"/>
    <w:bookmarkEnd w:id="16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544195</wp:posOffset>
            </wp:positionV>
            <wp:extent cx="5760720" cy="331787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760720" cy="3317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820" w:type="dxa"/>
        <w:tblCellMar>
          <w:top w:w="0" w:type="dxa"/>
          <w:left w:w="0" w:type="dxa"/>
          <w:bottom w:w="0" w:type="dxa"/>
          <w:right w:w="0" w:type="dxa"/>
        </w:tblCellMar>
      </w:tblPr>
      <w:tr>
        <w:trPr>
          <w:trHeight w:val="243"/>
        </w:trPr>
        <w:tc>
          <w:tcPr>
            <w:tcW w:w="402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b w:val="1"/>
                <w:bCs w:val="1"/>
                <w:color w:val="auto"/>
              </w:rPr>
              <w:t>Ordinary Resolutions</w:t>
            </w:r>
          </w:p>
        </w:tc>
        <w:tc>
          <w:tcPr>
            <w:tcW w:w="38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FOR AGAINST  WITHHELD  DISCRETION</w:t>
            </w:r>
          </w:p>
        </w:tc>
        <w:tc>
          <w:tcPr>
            <w:tcW w:w="1200" w:type="dxa"/>
            <w:vAlign w:val="bottom"/>
            <w:tcBorders>
              <w:bottom w:val="single" w:sz="8" w:color="auto"/>
            </w:tcBorders>
            <w:shd w:val="clear" w:color="auto" w:fill="000000"/>
          </w:tcPr>
          <w:p>
            <w:pPr>
              <w:spacing w:after="0"/>
              <w:rPr>
                <w:sz w:val="21"/>
                <w:szCs w:val="21"/>
                <w:color w:val="auto"/>
              </w:rPr>
            </w:pPr>
          </w:p>
        </w:tc>
      </w:tr>
      <w:tr>
        <w:trPr>
          <w:trHeight w:val="193"/>
        </w:trPr>
        <w:tc>
          <w:tcPr>
            <w:tcW w:w="4020" w:type="dxa"/>
            <w:vAlign w:val="bottom"/>
          </w:tcPr>
          <w:p>
            <w:pPr>
              <w:ind w:left="80"/>
              <w:spacing w:after="0" w:line="193" w:lineRule="exact"/>
              <w:rPr>
                <w:sz w:val="20"/>
                <w:szCs w:val="20"/>
                <w:color w:val="auto"/>
              </w:rPr>
            </w:pPr>
            <w:r>
              <w:rPr>
                <w:rFonts w:ascii="Times New Roman" w:cs="Times New Roman" w:eastAsia="Times New Roman" w:hAnsi="Times New Roman"/>
                <w:sz w:val="18"/>
                <w:szCs w:val="18"/>
                <w:color w:val="auto"/>
              </w:rPr>
              <w:t>Resolution 9   To authorize the Board of Directors</w:t>
            </w:r>
          </w:p>
        </w:tc>
        <w:tc>
          <w:tcPr>
            <w:tcW w:w="3840" w:type="dxa"/>
            <w:vAlign w:val="bottom"/>
          </w:tcPr>
          <w:p>
            <w:pPr>
              <w:spacing w:after="0"/>
              <w:rPr>
                <w:sz w:val="16"/>
                <w:szCs w:val="16"/>
                <w:color w:val="auto"/>
              </w:rPr>
            </w:pPr>
          </w:p>
        </w:tc>
        <w:tc>
          <w:tcPr>
            <w:tcW w:w="1200" w:type="dxa"/>
            <w:vAlign w:val="bottom"/>
            <w:shd w:val="clear" w:color="auto" w:fill="000000"/>
          </w:tcPr>
          <w:p>
            <w:pPr>
              <w:spacing w:after="0"/>
              <w:rPr>
                <w:sz w:val="16"/>
                <w:szCs w:val="16"/>
                <w:color w:val="auto"/>
              </w:rPr>
            </w:pPr>
          </w:p>
        </w:tc>
      </w:tr>
      <w:tr>
        <w:trPr>
          <w:trHeight w:val="216"/>
        </w:trPr>
        <w:tc>
          <w:tcPr>
            <w:tcW w:w="40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to exercise all the powers of the</w:t>
            </w:r>
          </w:p>
        </w:tc>
        <w:tc>
          <w:tcPr>
            <w:tcW w:w="3840" w:type="dxa"/>
            <w:vAlign w:val="bottom"/>
          </w:tcPr>
          <w:p>
            <w:pPr>
              <w:spacing w:after="0"/>
              <w:rPr>
                <w:sz w:val="18"/>
                <w:szCs w:val="18"/>
                <w:color w:val="auto"/>
              </w:rPr>
            </w:pPr>
          </w:p>
        </w:tc>
        <w:tc>
          <w:tcPr>
            <w:tcW w:w="1200" w:type="dxa"/>
            <w:vAlign w:val="bottom"/>
            <w:shd w:val="clear" w:color="auto" w:fill="000000"/>
          </w:tcPr>
          <w:p>
            <w:pPr>
              <w:spacing w:after="0"/>
              <w:rPr>
                <w:sz w:val="18"/>
                <w:szCs w:val="18"/>
                <w:color w:val="auto"/>
              </w:rPr>
            </w:pPr>
          </w:p>
        </w:tc>
      </w:tr>
      <w:tr>
        <w:trPr>
          <w:trHeight w:val="216"/>
        </w:trPr>
        <w:tc>
          <w:tcPr>
            <w:tcW w:w="40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Company to allot shares in the</w:t>
            </w:r>
          </w:p>
        </w:tc>
        <w:tc>
          <w:tcPr>
            <w:tcW w:w="3840" w:type="dxa"/>
            <w:vAlign w:val="bottom"/>
          </w:tcPr>
          <w:p>
            <w:pPr>
              <w:spacing w:after="0"/>
              <w:rPr>
                <w:sz w:val="18"/>
                <w:szCs w:val="18"/>
                <w:color w:val="auto"/>
              </w:rPr>
            </w:pPr>
          </w:p>
        </w:tc>
        <w:tc>
          <w:tcPr>
            <w:tcW w:w="1200" w:type="dxa"/>
            <w:vAlign w:val="bottom"/>
            <w:shd w:val="clear" w:color="auto" w:fill="000000"/>
          </w:tcPr>
          <w:p>
            <w:pPr>
              <w:spacing w:after="0"/>
              <w:rPr>
                <w:sz w:val="18"/>
                <w:szCs w:val="18"/>
                <w:color w:val="auto"/>
              </w:rPr>
            </w:pPr>
          </w:p>
        </w:tc>
      </w:tr>
      <w:tr>
        <w:trPr>
          <w:trHeight w:val="216"/>
        </w:trPr>
        <w:tc>
          <w:tcPr>
            <w:tcW w:w="40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Company or grant rights to</w:t>
            </w:r>
          </w:p>
        </w:tc>
        <w:tc>
          <w:tcPr>
            <w:tcW w:w="3840" w:type="dxa"/>
            <w:vAlign w:val="bottom"/>
          </w:tcPr>
          <w:p>
            <w:pPr>
              <w:spacing w:after="0"/>
              <w:rPr>
                <w:sz w:val="18"/>
                <w:szCs w:val="18"/>
                <w:color w:val="auto"/>
              </w:rPr>
            </w:pPr>
          </w:p>
        </w:tc>
        <w:tc>
          <w:tcPr>
            <w:tcW w:w="1200" w:type="dxa"/>
            <w:vAlign w:val="bottom"/>
            <w:shd w:val="clear" w:color="auto" w:fill="000000"/>
          </w:tcPr>
          <w:p>
            <w:pPr>
              <w:spacing w:after="0"/>
              <w:rPr>
                <w:sz w:val="18"/>
                <w:szCs w:val="18"/>
                <w:color w:val="auto"/>
              </w:rPr>
            </w:pPr>
          </w:p>
        </w:tc>
      </w:tr>
      <w:tr>
        <w:trPr>
          <w:trHeight w:val="203"/>
        </w:trPr>
        <w:tc>
          <w:tcPr>
            <w:tcW w:w="4020" w:type="dxa"/>
            <w:vAlign w:val="bottom"/>
          </w:tcPr>
          <w:p>
            <w:pPr>
              <w:ind w:left="1260"/>
              <w:spacing w:after="0" w:line="202" w:lineRule="exact"/>
              <w:rPr>
                <w:sz w:val="20"/>
                <w:szCs w:val="20"/>
                <w:color w:val="auto"/>
              </w:rPr>
            </w:pPr>
            <w:r>
              <w:rPr>
                <w:rFonts w:ascii="Times New Roman" w:cs="Times New Roman" w:eastAsia="Times New Roman" w:hAnsi="Times New Roman"/>
                <w:sz w:val="18"/>
                <w:szCs w:val="18"/>
                <w:color w:val="auto"/>
              </w:rPr>
              <w:t>subscribe for or to convert any</w:t>
            </w:r>
          </w:p>
        </w:tc>
        <w:tc>
          <w:tcPr>
            <w:tcW w:w="3840" w:type="dxa"/>
            <w:vAlign w:val="bottom"/>
          </w:tcPr>
          <w:p>
            <w:pPr>
              <w:spacing w:after="0"/>
              <w:rPr>
                <w:sz w:val="17"/>
                <w:szCs w:val="17"/>
                <w:color w:val="auto"/>
              </w:rPr>
            </w:pPr>
          </w:p>
        </w:tc>
        <w:tc>
          <w:tcPr>
            <w:tcW w:w="1200" w:type="dxa"/>
            <w:vAlign w:val="bottom"/>
            <w:shd w:val="clear" w:color="auto" w:fill="000000"/>
          </w:tcPr>
          <w:p>
            <w:pPr>
              <w:spacing w:after="0"/>
              <w:rPr>
                <w:sz w:val="17"/>
                <w:szCs w:val="17"/>
                <w:color w:val="auto"/>
              </w:rPr>
            </w:pPr>
          </w:p>
        </w:tc>
      </w:tr>
      <w:tr>
        <w:trPr>
          <w:trHeight w:val="216"/>
        </w:trPr>
        <w:tc>
          <w:tcPr>
            <w:tcW w:w="40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security into shares in the Company</w:t>
            </w:r>
          </w:p>
        </w:tc>
        <w:tc>
          <w:tcPr>
            <w:tcW w:w="3840" w:type="dxa"/>
            <w:vAlign w:val="bottom"/>
          </w:tcPr>
          <w:p>
            <w:pPr>
              <w:spacing w:after="0"/>
              <w:rPr>
                <w:sz w:val="18"/>
                <w:szCs w:val="18"/>
                <w:color w:val="auto"/>
              </w:rPr>
            </w:pPr>
          </w:p>
        </w:tc>
        <w:tc>
          <w:tcPr>
            <w:tcW w:w="1200" w:type="dxa"/>
            <w:vAlign w:val="bottom"/>
            <w:shd w:val="clear" w:color="auto" w:fill="000000"/>
          </w:tcPr>
          <w:p>
            <w:pPr>
              <w:spacing w:after="0"/>
              <w:rPr>
                <w:sz w:val="18"/>
                <w:szCs w:val="18"/>
                <w:color w:val="auto"/>
              </w:rPr>
            </w:pPr>
          </w:p>
        </w:tc>
      </w:tr>
      <w:tr>
        <w:trPr>
          <w:trHeight w:val="216"/>
        </w:trPr>
        <w:tc>
          <w:tcPr>
            <w:tcW w:w="40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up to an aggregate nominal amount</w:t>
            </w:r>
          </w:p>
        </w:tc>
        <w:tc>
          <w:tcPr>
            <w:tcW w:w="3840" w:type="dxa"/>
            <w:vAlign w:val="bottom"/>
          </w:tcPr>
          <w:p>
            <w:pPr>
              <w:spacing w:after="0"/>
              <w:rPr>
                <w:sz w:val="18"/>
                <w:szCs w:val="18"/>
                <w:color w:val="auto"/>
              </w:rPr>
            </w:pPr>
          </w:p>
        </w:tc>
        <w:tc>
          <w:tcPr>
            <w:tcW w:w="1200" w:type="dxa"/>
            <w:vAlign w:val="bottom"/>
            <w:shd w:val="clear" w:color="auto" w:fill="000000"/>
          </w:tcPr>
          <w:p>
            <w:pPr>
              <w:spacing w:after="0"/>
              <w:rPr>
                <w:sz w:val="18"/>
                <w:szCs w:val="18"/>
                <w:color w:val="auto"/>
              </w:rPr>
            </w:pPr>
          </w:p>
        </w:tc>
      </w:tr>
      <w:tr>
        <w:trPr>
          <w:trHeight w:val="216"/>
        </w:trPr>
        <w:tc>
          <w:tcPr>
            <w:tcW w:w="40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of £7,031,895 (being up to a</w:t>
            </w:r>
          </w:p>
        </w:tc>
        <w:tc>
          <w:tcPr>
            <w:tcW w:w="3840" w:type="dxa"/>
            <w:vAlign w:val="bottom"/>
          </w:tcPr>
          <w:p>
            <w:pPr>
              <w:spacing w:after="0"/>
              <w:rPr>
                <w:sz w:val="18"/>
                <w:szCs w:val="18"/>
                <w:color w:val="auto"/>
              </w:rPr>
            </w:pPr>
          </w:p>
        </w:tc>
        <w:tc>
          <w:tcPr>
            <w:tcW w:w="1200" w:type="dxa"/>
            <w:vAlign w:val="bottom"/>
            <w:shd w:val="clear" w:color="auto" w:fill="000000"/>
          </w:tcPr>
          <w:p>
            <w:pPr>
              <w:spacing w:after="0"/>
              <w:rPr>
                <w:sz w:val="18"/>
                <w:szCs w:val="18"/>
                <w:color w:val="auto"/>
              </w:rPr>
            </w:pPr>
          </w:p>
        </w:tc>
      </w:tr>
      <w:tr>
        <w:trPr>
          <w:trHeight w:val="216"/>
        </w:trPr>
        <w:tc>
          <w:tcPr>
            <w:tcW w:w="40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maximum of 140,637,892 shares</w:t>
            </w:r>
          </w:p>
        </w:tc>
        <w:tc>
          <w:tcPr>
            <w:tcW w:w="3840" w:type="dxa"/>
            <w:vAlign w:val="bottom"/>
          </w:tcPr>
          <w:p>
            <w:pPr>
              <w:spacing w:after="0"/>
              <w:rPr>
                <w:sz w:val="18"/>
                <w:szCs w:val="18"/>
                <w:color w:val="auto"/>
              </w:rPr>
            </w:pPr>
          </w:p>
        </w:tc>
        <w:tc>
          <w:tcPr>
            <w:tcW w:w="1200" w:type="dxa"/>
            <w:vAlign w:val="bottom"/>
            <w:shd w:val="clear" w:color="auto" w:fill="000000"/>
          </w:tcPr>
          <w:p>
            <w:pPr>
              <w:spacing w:after="0"/>
              <w:rPr>
                <w:sz w:val="18"/>
                <w:szCs w:val="18"/>
                <w:color w:val="auto"/>
              </w:rPr>
            </w:pPr>
          </w:p>
        </w:tc>
      </w:tr>
      <w:tr>
        <w:trPr>
          <w:trHeight w:val="203"/>
        </w:trPr>
        <w:tc>
          <w:tcPr>
            <w:tcW w:w="4020" w:type="dxa"/>
            <w:vAlign w:val="bottom"/>
          </w:tcPr>
          <w:p>
            <w:pPr>
              <w:ind w:left="1260"/>
              <w:spacing w:after="0" w:line="202" w:lineRule="exact"/>
              <w:rPr>
                <w:sz w:val="20"/>
                <w:szCs w:val="20"/>
                <w:color w:val="auto"/>
              </w:rPr>
            </w:pPr>
            <w:r>
              <w:rPr>
                <w:rFonts w:ascii="Times New Roman" w:cs="Times New Roman" w:eastAsia="Times New Roman" w:hAnsi="Times New Roman"/>
                <w:sz w:val="18"/>
                <w:szCs w:val="18"/>
                <w:color w:val="auto"/>
              </w:rPr>
              <w:t>representing 20% of the Company’s</w:t>
            </w:r>
          </w:p>
        </w:tc>
        <w:tc>
          <w:tcPr>
            <w:tcW w:w="3840" w:type="dxa"/>
            <w:vAlign w:val="bottom"/>
          </w:tcPr>
          <w:p>
            <w:pPr>
              <w:spacing w:after="0"/>
              <w:rPr>
                <w:sz w:val="17"/>
                <w:szCs w:val="17"/>
                <w:color w:val="auto"/>
              </w:rPr>
            </w:pPr>
          </w:p>
        </w:tc>
        <w:tc>
          <w:tcPr>
            <w:tcW w:w="1200" w:type="dxa"/>
            <w:vAlign w:val="bottom"/>
            <w:shd w:val="clear" w:color="auto" w:fill="000000"/>
          </w:tcPr>
          <w:p>
            <w:pPr>
              <w:spacing w:after="0"/>
              <w:rPr>
                <w:sz w:val="17"/>
                <w:szCs w:val="17"/>
                <w:color w:val="auto"/>
              </w:rPr>
            </w:pPr>
          </w:p>
        </w:tc>
      </w:tr>
      <w:tr>
        <w:trPr>
          <w:trHeight w:val="216"/>
        </w:trPr>
        <w:tc>
          <w:tcPr>
            <w:tcW w:w="40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existing ordinary share capital as at</w:t>
            </w:r>
          </w:p>
        </w:tc>
        <w:tc>
          <w:tcPr>
            <w:tcW w:w="3840" w:type="dxa"/>
            <w:vAlign w:val="bottom"/>
          </w:tcPr>
          <w:p>
            <w:pPr>
              <w:spacing w:after="0"/>
              <w:rPr>
                <w:sz w:val="18"/>
                <w:szCs w:val="18"/>
                <w:color w:val="auto"/>
              </w:rPr>
            </w:pPr>
          </w:p>
        </w:tc>
        <w:tc>
          <w:tcPr>
            <w:tcW w:w="1200" w:type="dxa"/>
            <w:vAlign w:val="bottom"/>
            <w:shd w:val="clear" w:color="auto" w:fill="000000"/>
          </w:tcPr>
          <w:p>
            <w:pPr>
              <w:spacing w:after="0"/>
              <w:rPr>
                <w:sz w:val="18"/>
                <w:szCs w:val="18"/>
                <w:color w:val="auto"/>
              </w:rPr>
            </w:pPr>
          </w:p>
        </w:tc>
      </w:tr>
      <w:tr>
        <w:trPr>
          <w:trHeight w:val="216"/>
        </w:trPr>
        <w:tc>
          <w:tcPr>
            <w:tcW w:w="40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the close of business on March 11,</w:t>
            </w:r>
          </w:p>
        </w:tc>
        <w:tc>
          <w:tcPr>
            <w:tcW w:w="3840" w:type="dxa"/>
            <w:vAlign w:val="bottom"/>
          </w:tcPr>
          <w:p>
            <w:pPr>
              <w:spacing w:after="0"/>
              <w:rPr>
                <w:sz w:val="18"/>
                <w:szCs w:val="18"/>
                <w:color w:val="auto"/>
              </w:rPr>
            </w:pPr>
          </w:p>
        </w:tc>
        <w:tc>
          <w:tcPr>
            <w:tcW w:w="1200" w:type="dxa"/>
            <w:vAlign w:val="bottom"/>
            <w:shd w:val="clear" w:color="auto" w:fill="000000"/>
          </w:tcPr>
          <w:p>
            <w:pPr>
              <w:spacing w:after="0"/>
              <w:rPr>
                <w:sz w:val="18"/>
                <w:szCs w:val="18"/>
                <w:color w:val="auto"/>
              </w:rPr>
            </w:pPr>
          </w:p>
        </w:tc>
      </w:tr>
      <w:tr>
        <w:trPr>
          <w:trHeight w:val="216"/>
        </w:trPr>
        <w:tc>
          <w:tcPr>
            <w:tcW w:w="40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2025 (being the latest practicable</w:t>
            </w:r>
          </w:p>
        </w:tc>
        <w:tc>
          <w:tcPr>
            <w:tcW w:w="3840" w:type="dxa"/>
            <w:vAlign w:val="bottom"/>
          </w:tcPr>
          <w:p>
            <w:pPr>
              <w:spacing w:after="0"/>
              <w:rPr>
                <w:sz w:val="18"/>
                <w:szCs w:val="18"/>
                <w:color w:val="auto"/>
              </w:rPr>
            </w:pPr>
          </w:p>
        </w:tc>
        <w:tc>
          <w:tcPr>
            <w:tcW w:w="1200" w:type="dxa"/>
            <w:vAlign w:val="bottom"/>
            <w:shd w:val="clear" w:color="auto" w:fill="000000"/>
          </w:tcPr>
          <w:p>
            <w:pPr>
              <w:spacing w:after="0"/>
              <w:rPr>
                <w:sz w:val="18"/>
                <w:szCs w:val="18"/>
                <w:color w:val="auto"/>
              </w:rPr>
            </w:pPr>
          </w:p>
        </w:tc>
      </w:tr>
      <w:tr>
        <w:trPr>
          <w:trHeight w:val="216"/>
        </w:trPr>
        <w:tc>
          <w:tcPr>
            <w:tcW w:w="40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date prior to publication of this</w:t>
            </w:r>
          </w:p>
        </w:tc>
        <w:tc>
          <w:tcPr>
            <w:tcW w:w="3840" w:type="dxa"/>
            <w:vAlign w:val="bottom"/>
          </w:tcPr>
          <w:p>
            <w:pPr>
              <w:spacing w:after="0"/>
              <w:rPr>
                <w:sz w:val="18"/>
                <w:szCs w:val="18"/>
                <w:color w:val="auto"/>
              </w:rPr>
            </w:pPr>
          </w:p>
        </w:tc>
        <w:tc>
          <w:tcPr>
            <w:tcW w:w="1200" w:type="dxa"/>
            <w:vAlign w:val="bottom"/>
            <w:shd w:val="clear" w:color="auto" w:fill="000000"/>
          </w:tcPr>
          <w:p>
            <w:pPr>
              <w:spacing w:after="0"/>
              <w:rPr>
                <w:sz w:val="18"/>
                <w:szCs w:val="18"/>
                <w:color w:val="auto"/>
              </w:rPr>
            </w:pPr>
          </w:p>
        </w:tc>
      </w:tr>
      <w:tr>
        <w:trPr>
          <w:trHeight w:val="219"/>
        </w:trPr>
        <w:tc>
          <w:tcPr>
            <w:tcW w:w="40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document)).</w:t>
            </w:r>
          </w:p>
        </w:tc>
        <w:tc>
          <w:tcPr>
            <w:tcW w:w="3840" w:type="dxa"/>
            <w:vAlign w:val="bottom"/>
          </w:tcPr>
          <w:p>
            <w:pPr>
              <w:spacing w:after="0"/>
              <w:rPr>
                <w:sz w:val="19"/>
                <w:szCs w:val="19"/>
                <w:color w:val="auto"/>
              </w:rPr>
            </w:pPr>
          </w:p>
        </w:tc>
        <w:tc>
          <w:tcPr>
            <w:tcW w:w="1200" w:type="dxa"/>
            <w:vAlign w:val="bottom"/>
            <w:shd w:val="clear" w:color="auto" w:fill="000000"/>
          </w:tcPr>
          <w:p>
            <w:pPr>
              <w:spacing w:after="0"/>
              <w:rPr>
                <w:sz w:val="19"/>
                <w:szCs w:val="19"/>
                <w:color w:val="auto"/>
              </w:rPr>
            </w:pPr>
          </w:p>
        </w:tc>
      </w:tr>
    </w:tbl>
    <w:p>
      <w:pPr>
        <w:spacing w:after="0" w:line="20" w:lineRule="exact"/>
        <w:rPr>
          <w:sz w:val="20"/>
          <w:szCs w:val="20"/>
          <w:color w:val="auto"/>
        </w:rPr>
      </w:pPr>
    </w:p>
    <w:tbl>
      <w:tblPr>
        <w:tblLayout w:type="fixed"/>
        <w:tblInd w:w="820" w:type="dxa"/>
        <w:tblCellMar>
          <w:top w:w="0" w:type="dxa"/>
          <w:left w:w="0" w:type="dxa"/>
          <w:bottom w:w="0" w:type="dxa"/>
          <w:right w:w="0" w:type="dxa"/>
        </w:tblCellMar>
      </w:tblPr>
      <w:tr>
        <w:trPr>
          <w:trHeight w:val="209"/>
        </w:trPr>
        <w:tc>
          <w:tcPr>
            <w:tcW w:w="42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Special Resolutions</w:t>
            </w:r>
          </w:p>
        </w:tc>
        <w:tc>
          <w:tcPr>
            <w:tcW w:w="38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FOR AGAINST  WITHHELD  DISCRETION</w:t>
            </w:r>
          </w:p>
        </w:tc>
        <w:tc>
          <w:tcPr>
            <w:tcW w:w="1160" w:type="dxa"/>
            <w:vAlign w:val="bottom"/>
            <w:tcBorders>
              <w:bottom w:val="single" w:sz="8" w:color="auto"/>
            </w:tcBorders>
            <w:shd w:val="clear" w:color="auto" w:fill="000000"/>
          </w:tcPr>
          <w:p>
            <w:pPr>
              <w:spacing w:after="0"/>
              <w:rPr>
                <w:sz w:val="18"/>
                <w:szCs w:val="18"/>
                <w:color w:val="auto"/>
              </w:rPr>
            </w:pPr>
          </w:p>
        </w:tc>
      </w:tr>
      <w:tr>
        <w:trPr>
          <w:trHeight w:val="193"/>
        </w:trPr>
        <w:tc>
          <w:tcPr>
            <w:tcW w:w="4020" w:type="dxa"/>
            <w:vAlign w:val="bottom"/>
            <w:gridSpan w:val="3"/>
          </w:tcPr>
          <w:p>
            <w:pPr>
              <w:ind w:left="80"/>
              <w:spacing w:after="0" w:line="193" w:lineRule="exact"/>
              <w:rPr>
                <w:sz w:val="20"/>
                <w:szCs w:val="20"/>
                <w:color w:val="auto"/>
              </w:rPr>
            </w:pPr>
            <w:r>
              <w:rPr>
                <w:rFonts w:ascii="Times New Roman" w:cs="Times New Roman" w:eastAsia="Times New Roman" w:hAnsi="Times New Roman"/>
                <w:sz w:val="18"/>
                <w:szCs w:val="18"/>
                <w:color w:val="auto"/>
              </w:rPr>
              <w:t>Resolution 10  To authorize the Board of Directors</w:t>
            </w:r>
          </w:p>
        </w:tc>
        <w:tc>
          <w:tcPr>
            <w:tcW w:w="3880" w:type="dxa"/>
            <w:vAlign w:val="bottom"/>
          </w:tcPr>
          <w:p>
            <w:pPr>
              <w:spacing w:after="0"/>
              <w:rPr>
                <w:sz w:val="16"/>
                <w:szCs w:val="16"/>
                <w:color w:val="auto"/>
              </w:rPr>
            </w:pPr>
          </w:p>
        </w:tc>
        <w:tc>
          <w:tcPr>
            <w:tcW w:w="1160" w:type="dxa"/>
            <w:vAlign w:val="bottom"/>
            <w:shd w:val="clear" w:color="auto" w:fill="000000"/>
          </w:tcPr>
          <w:p>
            <w:pPr>
              <w:spacing w:after="0"/>
              <w:rPr>
                <w:sz w:val="16"/>
                <w:szCs w:val="16"/>
                <w:color w:val="auto"/>
              </w:rPr>
            </w:pPr>
          </w:p>
        </w:tc>
      </w:tr>
      <w:tr>
        <w:trPr>
          <w:trHeight w:val="216"/>
        </w:trPr>
        <w:tc>
          <w:tcPr>
            <w:tcW w:w="420" w:type="dxa"/>
            <w:vAlign w:val="bottom"/>
          </w:tcPr>
          <w:p>
            <w:pPr>
              <w:spacing w:after="0"/>
              <w:rPr>
                <w:sz w:val="18"/>
                <w:szCs w:val="18"/>
                <w:color w:val="auto"/>
              </w:rPr>
            </w:pPr>
          </w:p>
        </w:tc>
        <w:tc>
          <w:tcPr>
            <w:tcW w:w="36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to allot equity securities for cash</w:t>
            </w:r>
          </w:p>
        </w:tc>
        <w:tc>
          <w:tcPr>
            <w:tcW w:w="3880" w:type="dxa"/>
            <w:vAlign w:val="bottom"/>
          </w:tcPr>
          <w:p>
            <w:pPr>
              <w:spacing w:after="0"/>
              <w:rPr>
                <w:sz w:val="18"/>
                <w:szCs w:val="18"/>
                <w:color w:val="auto"/>
              </w:rPr>
            </w:pPr>
          </w:p>
        </w:tc>
        <w:tc>
          <w:tcPr>
            <w:tcW w:w="1160" w:type="dxa"/>
            <w:vAlign w:val="bottom"/>
            <w:shd w:val="clear" w:color="auto" w:fill="000000"/>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6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and/or to sell ordinary shares held</w:t>
            </w:r>
          </w:p>
        </w:tc>
        <w:tc>
          <w:tcPr>
            <w:tcW w:w="3880" w:type="dxa"/>
            <w:vAlign w:val="bottom"/>
          </w:tcPr>
          <w:p>
            <w:pPr>
              <w:spacing w:after="0"/>
              <w:rPr>
                <w:sz w:val="18"/>
                <w:szCs w:val="18"/>
                <w:color w:val="auto"/>
              </w:rPr>
            </w:pPr>
          </w:p>
        </w:tc>
        <w:tc>
          <w:tcPr>
            <w:tcW w:w="1160" w:type="dxa"/>
            <w:vAlign w:val="bottom"/>
            <w:shd w:val="clear" w:color="auto" w:fill="000000"/>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6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by the Company as treasury shares</w:t>
            </w:r>
          </w:p>
        </w:tc>
        <w:tc>
          <w:tcPr>
            <w:tcW w:w="3880" w:type="dxa"/>
            <w:vAlign w:val="bottom"/>
          </w:tcPr>
          <w:p>
            <w:pPr>
              <w:spacing w:after="0"/>
              <w:rPr>
                <w:sz w:val="18"/>
                <w:szCs w:val="18"/>
                <w:color w:val="auto"/>
              </w:rPr>
            </w:pPr>
          </w:p>
        </w:tc>
        <w:tc>
          <w:tcPr>
            <w:tcW w:w="1160" w:type="dxa"/>
            <w:vAlign w:val="bottom"/>
            <w:shd w:val="clear" w:color="auto" w:fill="000000"/>
          </w:tcPr>
          <w:p>
            <w:pPr>
              <w:spacing w:after="0"/>
              <w:rPr>
                <w:sz w:val="18"/>
                <w:szCs w:val="18"/>
                <w:color w:val="auto"/>
              </w:rPr>
            </w:pPr>
          </w:p>
        </w:tc>
      </w:tr>
      <w:tr>
        <w:trPr>
          <w:trHeight w:val="203"/>
        </w:trPr>
        <w:tc>
          <w:tcPr>
            <w:tcW w:w="420" w:type="dxa"/>
            <w:vAlign w:val="bottom"/>
          </w:tcPr>
          <w:p>
            <w:pPr>
              <w:spacing w:after="0"/>
              <w:rPr>
                <w:sz w:val="17"/>
                <w:szCs w:val="17"/>
                <w:color w:val="auto"/>
              </w:rPr>
            </w:pPr>
          </w:p>
        </w:tc>
        <w:tc>
          <w:tcPr>
            <w:tcW w:w="3600" w:type="dxa"/>
            <w:vAlign w:val="bottom"/>
            <w:gridSpan w:val="2"/>
          </w:tcPr>
          <w:p>
            <w:pPr>
              <w:ind w:left="840"/>
              <w:spacing w:after="0" w:line="202" w:lineRule="exact"/>
              <w:rPr>
                <w:sz w:val="20"/>
                <w:szCs w:val="20"/>
                <w:color w:val="auto"/>
              </w:rPr>
            </w:pPr>
            <w:r>
              <w:rPr>
                <w:rFonts w:ascii="Times New Roman" w:cs="Times New Roman" w:eastAsia="Times New Roman" w:hAnsi="Times New Roman"/>
                <w:sz w:val="18"/>
                <w:szCs w:val="18"/>
                <w:color w:val="auto"/>
              </w:rPr>
              <w:t>for cash as if section 561(1) of the</w:t>
            </w:r>
          </w:p>
        </w:tc>
        <w:tc>
          <w:tcPr>
            <w:tcW w:w="3880" w:type="dxa"/>
            <w:vAlign w:val="bottom"/>
          </w:tcPr>
          <w:p>
            <w:pPr>
              <w:spacing w:after="0"/>
              <w:rPr>
                <w:sz w:val="17"/>
                <w:szCs w:val="17"/>
                <w:color w:val="auto"/>
              </w:rPr>
            </w:pPr>
          </w:p>
        </w:tc>
        <w:tc>
          <w:tcPr>
            <w:tcW w:w="1160" w:type="dxa"/>
            <w:vAlign w:val="bottom"/>
            <w:shd w:val="clear" w:color="auto" w:fill="000000"/>
          </w:tcPr>
          <w:p>
            <w:pPr>
              <w:spacing w:after="0"/>
              <w:rPr>
                <w:sz w:val="17"/>
                <w:szCs w:val="17"/>
                <w:color w:val="auto"/>
              </w:rPr>
            </w:pPr>
          </w:p>
        </w:tc>
      </w:tr>
      <w:tr>
        <w:trPr>
          <w:trHeight w:val="216"/>
        </w:trPr>
        <w:tc>
          <w:tcPr>
            <w:tcW w:w="420" w:type="dxa"/>
            <w:vAlign w:val="bottom"/>
          </w:tcPr>
          <w:p>
            <w:pPr>
              <w:spacing w:after="0"/>
              <w:rPr>
                <w:sz w:val="18"/>
                <w:szCs w:val="18"/>
                <w:color w:val="auto"/>
              </w:rPr>
            </w:pPr>
          </w:p>
        </w:tc>
        <w:tc>
          <w:tcPr>
            <w:tcW w:w="36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Companies Act does not apply to</w:t>
            </w:r>
          </w:p>
        </w:tc>
        <w:tc>
          <w:tcPr>
            <w:tcW w:w="3880" w:type="dxa"/>
            <w:vAlign w:val="bottom"/>
          </w:tcPr>
          <w:p>
            <w:pPr>
              <w:spacing w:after="0"/>
              <w:rPr>
                <w:sz w:val="18"/>
                <w:szCs w:val="18"/>
                <w:color w:val="auto"/>
              </w:rPr>
            </w:pPr>
          </w:p>
        </w:tc>
        <w:tc>
          <w:tcPr>
            <w:tcW w:w="1160" w:type="dxa"/>
            <w:vAlign w:val="bottom"/>
            <w:shd w:val="clear" w:color="auto" w:fill="000000"/>
          </w:tcPr>
          <w:p>
            <w:pPr>
              <w:spacing w:after="0"/>
              <w:rPr>
                <w:sz w:val="18"/>
                <w:szCs w:val="18"/>
                <w:color w:val="auto"/>
              </w:rPr>
            </w:pPr>
          </w:p>
        </w:tc>
      </w:tr>
      <w:tr>
        <w:trPr>
          <w:trHeight w:val="240"/>
        </w:trPr>
        <w:tc>
          <w:tcPr>
            <w:tcW w:w="42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2"/>
          </w:tcPr>
          <w:p>
            <w:pPr>
              <w:ind w:left="840"/>
              <w:spacing w:after="0"/>
              <w:rPr>
                <w:sz w:val="20"/>
                <w:szCs w:val="20"/>
                <w:color w:val="auto"/>
              </w:rPr>
            </w:pPr>
            <w:r>
              <w:rPr>
                <w:rFonts w:ascii="Times New Roman" w:cs="Times New Roman" w:eastAsia="Times New Roman" w:hAnsi="Times New Roman"/>
                <w:sz w:val="18"/>
                <w:szCs w:val="18"/>
                <w:color w:val="auto"/>
              </w:rPr>
              <w:t>any such allotment.</w:t>
            </w:r>
          </w:p>
        </w:tc>
        <w:tc>
          <w:tcPr>
            <w:tcW w:w="38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shd w:val="clear" w:color="auto" w:fill="000000"/>
          </w:tcPr>
          <w:p>
            <w:pPr>
              <w:spacing w:after="0"/>
              <w:rPr>
                <w:sz w:val="20"/>
                <w:szCs w:val="20"/>
                <w:color w:val="auto"/>
              </w:rPr>
            </w:pPr>
          </w:p>
        </w:tc>
      </w:tr>
      <w:tr>
        <w:trPr>
          <w:trHeight w:val="36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60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 2025</w:t>
            </w:r>
          </w:p>
        </w:tc>
        <w:tc>
          <w:tcPr>
            <w:tcW w:w="38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979805</wp:posOffset>
            </wp:positionH>
            <wp:positionV relativeFrom="paragraph">
              <wp:posOffset>-16510</wp:posOffset>
            </wp:positionV>
            <wp:extent cx="165417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93" w:lineRule="exact"/>
        <w:rPr>
          <w:sz w:val="20"/>
          <w:szCs w:val="20"/>
          <w:color w:val="auto"/>
        </w:rPr>
      </w:pPr>
    </w:p>
    <w:p>
      <w:pPr>
        <w:ind w:left="1180" w:hanging="352"/>
        <w:spacing w:after="0"/>
        <w:tabs>
          <w:tab w:leader="none" w:pos="1180" w:val="left"/>
        </w:tabs>
        <w:numPr>
          <w:ilvl w:val="0"/>
          <w:numId w:val="50"/>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Please tick here if you are appointing more than one proxy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2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(1) Resolutions and voting</w:t>
      </w:r>
    </w:p>
    <w:p>
      <w:pPr>
        <w:spacing w:after="0" w:line="162" w:lineRule="exact"/>
        <w:rPr>
          <w:sz w:val="20"/>
          <w:szCs w:val="20"/>
          <w:color w:val="auto"/>
        </w:rPr>
      </w:pPr>
    </w:p>
    <w:p>
      <w:pPr>
        <w:ind w:left="1100" w:right="40"/>
        <w:spacing w:after="0" w:line="258" w:lineRule="auto"/>
        <w:rPr>
          <w:sz w:val="20"/>
          <w:szCs w:val="20"/>
          <w:color w:val="auto"/>
        </w:rPr>
      </w:pPr>
      <w:r>
        <w:rPr>
          <w:rFonts w:ascii="Times New Roman" w:cs="Times New Roman" w:eastAsia="Times New Roman" w:hAnsi="Times New Roman"/>
          <w:sz w:val="18"/>
          <w:szCs w:val="18"/>
          <w:color w:val="auto"/>
        </w:rPr>
        <w:t>The proposed resolutions will be put to vote on a poll. This results in a more accurate reflection of the views of Shareholders ensuring that votes by proxy will be fully-counted. On a poll, each Shareholder has one vote for every share held. The Board of Directors recommends you vote FOR each the above proposed resolutions.</w:t>
      </w:r>
    </w:p>
    <w:p>
      <w:pPr>
        <w:spacing w:after="0" w:line="102" w:lineRule="exact"/>
        <w:rPr>
          <w:sz w:val="20"/>
          <w:szCs w:val="20"/>
          <w:color w:val="auto"/>
        </w:rPr>
      </w:pPr>
    </w:p>
    <w:p>
      <w:pPr>
        <w:ind w:left="1100" w:right="100"/>
        <w:spacing w:after="0" w:line="246" w:lineRule="auto"/>
        <w:rPr>
          <w:sz w:val="20"/>
          <w:szCs w:val="20"/>
          <w:color w:val="auto"/>
        </w:rPr>
      </w:pPr>
      <w:r>
        <w:rPr>
          <w:rFonts w:ascii="Times New Roman" w:cs="Times New Roman" w:eastAsia="Times New Roman" w:hAnsi="Times New Roman"/>
          <w:sz w:val="18"/>
          <w:szCs w:val="18"/>
          <w:color w:val="auto"/>
        </w:rPr>
        <w:t>Resolutions 1 to 9 are proposed as ordinary resolutions. On a poll, an ordinary resolution is passed if it is approved by holders representing a simple majority of the total voting rights of shareholders present (in person or by proxy) who (being entitled to vote) vote on the resolution. Resolution 10 is proposed as a special resolution. On a poll, a special resolution is passed if it is approved by holders representing not less than 75% of the total voting rights of shareholders present (in person or by proxy) who (being entitled to vote) vote on the resolution.</w:t>
      </w:r>
    </w:p>
    <w:p>
      <w:pPr>
        <w:spacing w:after="0" w:line="114" w:lineRule="exact"/>
        <w:rPr>
          <w:sz w:val="20"/>
          <w:szCs w:val="20"/>
          <w:color w:val="auto"/>
        </w:rPr>
      </w:pPr>
    </w:p>
    <w:p>
      <w:pPr>
        <w:ind w:left="1100" w:right="40"/>
        <w:spacing w:after="0" w:line="246" w:lineRule="auto"/>
        <w:rPr>
          <w:sz w:val="20"/>
          <w:szCs w:val="20"/>
          <w:color w:val="auto"/>
        </w:rPr>
      </w:pPr>
      <w:r>
        <w:rPr>
          <w:rFonts w:ascii="Times New Roman" w:cs="Times New Roman" w:eastAsia="Times New Roman" w:hAnsi="Times New Roman"/>
          <w:sz w:val="18"/>
          <w:szCs w:val="18"/>
          <w:color w:val="auto"/>
        </w:rPr>
        <w:t>If you select “Discretion” or if no voting indication is given, this proxy will be voted in accordance with the Board of Directors’ recommendations. The vote “Withheld” option is to enable you to abstain on any particular resolution. A vote withheld is not a vote in law, which means that the vote will not be counted in the calculation of votes for or against the resolution. The proxy may vote or abstain from voting as he/she thinks fit with respect to any other resolution that is put to the meeting.</w:t>
      </w:r>
    </w:p>
    <w:p>
      <w:pPr>
        <w:spacing w:after="0" w:line="114" w:lineRule="exact"/>
        <w:rPr>
          <w:sz w:val="20"/>
          <w:szCs w:val="20"/>
          <w:color w:val="auto"/>
        </w:rPr>
      </w:pPr>
    </w:p>
    <w:p>
      <w:pPr>
        <w:ind w:left="1100" w:right="260"/>
        <w:spacing w:after="0" w:line="258" w:lineRule="auto"/>
        <w:rPr>
          <w:sz w:val="20"/>
          <w:szCs w:val="20"/>
          <w:color w:val="auto"/>
        </w:rPr>
      </w:pPr>
      <w:r>
        <w:rPr>
          <w:rFonts w:ascii="Times New Roman" w:cs="Times New Roman" w:eastAsia="Times New Roman" w:hAnsi="Times New Roman"/>
          <w:sz w:val="18"/>
          <w:szCs w:val="18"/>
          <w:color w:val="auto"/>
        </w:rPr>
        <w:t>The results of the voting and any other information required by the U.K. Companies Act 2006 will be made available on our website (https://www.veronapharma.com) as soon as reasonably practicable following the AGM and for the required period thereafter.</w:t>
      </w:r>
    </w:p>
    <w:p>
      <w:pPr>
        <w:spacing w:after="0" w:line="16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(2) Appointment of proxies</w:t>
      </w:r>
    </w:p>
    <w:p>
      <w:pPr>
        <w:spacing w:after="0" w:line="162" w:lineRule="exact"/>
        <w:rPr>
          <w:sz w:val="20"/>
          <w:szCs w:val="20"/>
          <w:color w:val="auto"/>
        </w:rPr>
      </w:pPr>
    </w:p>
    <w:p>
      <w:pPr>
        <w:ind w:left="1100" w:right="220"/>
        <w:spacing w:after="0" w:line="266" w:lineRule="auto"/>
        <w:rPr>
          <w:sz w:val="20"/>
          <w:szCs w:val="20"/>
          <w:color w:val="auto"/>
        </w:rPr>
      </w:pPr>
      <w:r>
        <w:rPr>
          <w:rFonts w:ascii="Times New Roman" w:cs="Times New Roman" w:eastAsia="Times New Roman" w:hAnsi="Times New Roman"/>
          <w:sz w:val="18"/>
          <w:szCs w:val="18"/>
          <w:color w:val="auto"/>
        </w:rPr>
        <w:t>Generally, members are entitled to appoint a proxy to exercise all or any of their rights to attend and to speak and vote on their behalf at the AGM. A proxy need not be a Shareholder of the Company. A Shareholder may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573405</wp:posOffset>
            </wp:positionV>
            <wp:extent cx="683196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bookmarkStart w:id="162" w:name="page163"/>
    <w:bookmarkEnd w:id="1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100" w:right="60"/>
        <w:spacing w:after="0" w:line="253" w:lineRule="auto"/>
        <w:rPr>
          <w:sz w:val="20"/>
          <w:szCs w:val="20"/>
          <w:color w:val="auto"/>
        </w:rPr>
      </w:pPr>
      <w:r>
        <w:rPr>
          <w:rFonts w:ascii="Times New Roman" w:cs="Times New Roman" w:eastAsia="Times New Roman" w:hAnsi="Times New Roman"/>
          <w:sz w:val="18"/>
          <w:szCs w:val="18"/>
          <w:color w:val="auto"/>
        </w:rPr>
        <w:t xml:space="preserve">more than one proxy in relation to the AGM provided that each proxy is appointed to exercise the rights attached to a different share or shares held by that Shareholder. </w:t>
      </w:r>
      <w:r>
        <w:rPr>
          <w:rFonts w:ascii="Times New Roman" w:cs="Times New Roman" w:eastAsia="Times New Roman" w:hAnsi="Times New Roman"/>
          <w:sz w:val="18"/>
          <w:szCs w:val="18"/>
          <w:b w:val="1"/>
          <w:bCs w:val="1"/>
          <w:color w:val="auto"/>
        </w:rPr>
        <w:t>To be valid, the form of proxy and the power of attorney or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authority (if any) under which it is signed or a certified copy of such power or authority must be lodged at the office of the Company Secretary, Verona Pharma plc, c/o Shakespeare Martineau LLP, 6th Floor, 60 Gracechurch Street, London EC3V 0HR BY HAND or BY POST, or BY EMAIL to ben.harber@shma.co.uk, so as to be received not less than 48 hours before the time fixed for the holding of the AGM or any adjournment thereof (as the case may be), excluding any part of a day which is not a working day. </w:t>
      </w:r>
      <w:r>
        <w:rPr>
          <w:rFonts w:ascii="Times New Roman" w:cs="Times New Roman" w:eastAsia="Times New Roman" w:hAnsi="Times New Roman"/>
          <w:sz w:val="18"/>
          <w:szCs w:val="18"/>
          <w:color w:val="auto"/>
        </w:rPr>
        <w:t>The attached proxy statement explains proxy voting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matters to be voted on in more detail. Please read the proxy statement carefully. For specific information regarding the voting of your ordinary shares, please refer to the proxy statement under the section entitled “</w:t>
      </w:r>
      <w:r>
        <w:rPr>
          <w:rFonts w:ascii="Times New Roman" w:cs="Times New Roman" w:eastAsia="Times New Roman" w:hAnsi="Times New Roman"/>
          <w:sz w:val="18"/>
          <w:szCs w:val="18"/>
          <w:i w:val="1"/>
          <w:iCs w:val="1"/>
          <w:color w:val="auto"/>
        </w:rPr>
        <w:t>Questions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Answers About the Annual General Meeting</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ind w:left="1100"/>
        <w:spacing w:after="0" w:line="261" w:lineRule="auto"/>
        <w:rPr>
          <w:sz w:val="20"/>
          <w:szCs w:val="20"/>
          <w:color w:val="auto"/>
        </w:rPr>
      </w:pPr>
      <w:r>
        <w:rPr>
          <w:rFonts w:ascii="Times New Roman" w:cs="Times New Roman" w:eastAsia="Times New Roman" w:hAnsi="Times New Roman"/>
          <w:sz w:val="18"/>
          <w:szCs w:val="18"/>
          <w:color w:val="auto"/>
        </w:rPr>
        <w:t>In the case of a member that is a corporation, the form of proxy must be executed under its common seal or executed on its behalf by a duly authorized officer or attorney for the company. Any corporation that is a member may also appoint one or more representatives who may exercise on its behalf all of its powers as a member provided they do not do so in relation to the same shares.</w:t>
      </w:r>
    </w:p>
    <w:p>
      <w:pPr>
        <w:spacing w:after="0" w:line="112" w:lineRule="exact"/>
        <w:rPr>
          <w:sz w:val="20"/>
          <w:szCs w:val="20"/>
          <w:color w:val="auto"/>
        </w:rPr>
      </w:pPr>
    </w:p>
    <w:p>
      <w:pPr>
        <w:ind w:left="1100" w:right="60"/>
        <w:spacing w:after="0" w:line="255" w:lineRule="auto"/>
        <w:rPr>
          <w:sz w:val="20"/>
          <w:szCs w:val="20"/>
          <w:color w:val="auto"/>
        </w:rPr>
      </w:pPr>
      <w:r>
        <w:rPr>
          <w:rFonts w:ascii="Times New Roman" w:cs="Times New Roman" w:eastAsia="Times New Roman" w:hAnsi="Times New Roman"/>
          <w:sz w:val="18"/>
          <w:szCs w:val="18"/>
          <w:color w:val="auto"/>
        </w:rPr>
        <w:t>To change your proxy instructions, simply submit a new form of proxy as set out above. Note that the cut-off times for receipt of proxy appointments (see above) also apply in relation to amended instructions; any amended proxy instructions received after the relevant cut-off time will be disregarded. Please contact the Company Secretary (as noted above) to obtain a new form of proxy. If you submit more than one valid proxy appointment, the appointment validly received last before the latest time for receipt of forms of proxy will take precedence. If the Company is unable to determine which form of proxy was last validly received, none of them shall be treated as valid in respect of that Ordinary Share.</w:t>
      </w:r>
    </w:p>
    <w:p>
      <w:pPr>
        <w:spacing w:after="0" w:line="108" w:lineRule="exact"/>
        <w:rPr>
          <w:sz w:val="20"/>
          <w:szCs w:val="20"/>
          <w:color w:val="auto"/>
        </w:rPr>
      </w:pPr>
    </w:p>
    <w:p>
      <w:pPr>
        <w:ind w:left="1100" w:right="80"/>
        <w:spacing w:after="0" w:line="258" w:lineRule="auto"/>
        <w:rPr>
          <w:sz w:val="20"/>
          <w:szCs w:val="20"/>
          <w:color w:val="auto"/>
        </w:rPr>
      </w:pPr>
      <w:r>
        <w:rPr>
          <w:rFonts w:ascii="Times New Roman" w:cs="Times New Roman" w:eastAsia="Times New Roman" w:hAnsi="Times New Roman"/>
          <w:sz w:val="18"/>
          <w:szCs w:val="18"/>
          <w:color w:val="auto"/>
        </w:rPr>
        <w:t>Further, the appointment under the form of proxy may be terminated by the member prior to the commencement of the AGM (or any adjournment of the AGM). To be valid, the notice of termination of the authority of the person appointed to act as proxy must be deposited at the offices of the Company Secretary, Verona Pharma plc, 6th Floor, 60 Gracechurch Street, London EC3V 0HR, no less than 48 hours (excluding non-working days) before the time fixed for the holding of the AGM or any adjournment thereof (as the case may be).</w:t>
      </w:r>
    </w:p>
    <w:p>
      <w:pPr>
        <w:spacing w:after="0" w:line="17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(3) Appointment of proxy by joint members</w:t>
      </w:r>
    </w:p>
    <w:p>
      <w:pPr>
        <w:spacing w:after="0" w:line="162" w:lineRule="exact"/>
        <w:rPr>
          <w:sz w:val="20"/>
          <w:szCs w:val="20"/>
          <w:color w:val="auto"/>
        </w:rPr>
      </w:pPr>
    </w:p>
    <w:p>
      <w:pPr>
        <w:ind w:left="1100" w:right="20"/>
        <w:spacing w:after="0" w:line="261" w:lineRule="auto"/>
        <w:rPr>
          <w:sz w:val="20"/>
          <w:szCs w:val="20"/>
          <w:color w:val="auto"/>
        </w:rPr>
      </w:pPr>
      <w:r>
        <w:rPr>
          <w:rFonts w:ascii="Times New Roman" w:cs="Times New Roman" w:eastAsia="Times New Roman" w:hAnsi="Times New Roman"/>
          <w:sz w:val="18"/>
          <w:szCs w:val="18"/>
          <w:color w:val="auto"/>
        </w:rPr>
        <w:t>In the case of joint holders, where more than one of the joint holders purports to appoint a proxy, only the appointment submitted by the most senior holder will be accepted. Seniority is determined by the order in which the names of the joint holders appear in the Company’s register of members in respect of the joint holding (the first-named being the most senior).</w:t>
      </w:r>
    </w:p>
    <w:p>
      <w:pPr>
        <w:spacing w:after="0" w:line="17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(4) Issued shares and total voting rights</w:t>
      </w:r>
    </w:p>
    <w:p>
      <w:pPr>
        <w:spacing w:after="0" w:line="162" w:lineRule="exact"/>
        <w:rPr>
          <w:sz w:val="20"/>
          <w:szCs w:val="20"/>
          <w:color w:val="auto"/>
        </w:rPr>
      </w:pPr>
    </w:p>
    <w:p>
      <w:pPr>
        <w:ind w:left="1100"/>
        <w:spacing w:after="0" w:line="261" w:lineRule="auto"/>
        <w:rPr>
          <w:sz w:val="20"/>
          <w:szCs w:val="20"/>
          <w:color w:val="auto"/>
        </w:rPr>
      </w:pPr>
      <w:r>
        <w:rPr>
          <w:rFonts w:ascii="Times New Roman" w:cs="Times New Roman" w:eastAsia="Times New Roman" w:hAnsi="Times New Roman"/>
          <w:sz w:val="18"/>
          <w:szCs w:val="18"/>
          <w:color w:val="auto"/>
        </w:rPr>
        <w:t>As at the close of business on March 11, 2025 (being the latest practicable date prior to publication of this document), the Company’s issued ordinary share capital comprised 632,885,126 voting ordinary shares. Each voting ordinary share carries the right to one vote at the AGM and therefore the total number of voting rights at the close of business on March 11, 2025 is 632,885,126.</w:t>
      </w:r>
    </w:p>
    <w:p>
      <w:pPr>
        <w:spacing w:after="0" w:line="95" w:lineRule="exact"/>
        <w:rPr>
          <w:sz w:val="20"/>
          <w:szCs w:val="20"/>
          <w:color w:val="auto"/>
        </w:rPr>
      </w:pPr>
    </w:p>
    <w:p>
      <w:pPr>
        <w:ind w:left="820" w:right="120"/>
        <w:spacing w:after="0" w:line="268" w:lineRule="auto"/>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 The shares represented by this proxy, when properly executed, will be voted in accordance with the specifications indicated herein. If no such direction is made, this proxy will be voted in accordance with the Board of Directors’ recommendations.</w:t>
      </w:r>
    </w:p>
    <w:p>
      <w:pPr>
        <w:spacing w:after="0" w:line="103" w:lineRule="exact"/>
        <w:rPr>
          <w:sz w:val="20"/>
          <w:szCs w:val="20"/>
          <w:color w:val="auto"/>
        </w:rPr>
      </w:pPr>
    </w:p>
    <w:p>
      <w:pPr>
        <w:ind w:left="820" w:right="40"/>
        <w:spacing w:after="0" w:line="259" w:lineRule="auto"/>
        <w:rPr>
          <w:sz w:val="20"/>
          <w:szCs w:val="20"/>
          <w:color w:val="auto"/>
        </w:rPr>
      </w:pPr>
      <w:r>
        <w:rPr>
          <w:rFonts w:ascii="Times New Roman" w:cs="Times New Roman" w:eastAsia="Times New Roman" w:hAnsi="Times New Roman"/>
          <w:sz w:val="18"/>
          <w:szCs w:val="18"/>
          <w:b w:val="1"/>
          <w:bCs w:val="1"/>
          <w:color w:val="auto"/>
        </w:rPr>
        <w:t>In accordance with the terms of the deposit agreement by and among the Company, Citibank, N.A. as depositary and holders and beneficial owners of American Depositary Shares (“ADSs”) issued thereunder dated as of May 2, 2017, holders of ADSs who do not provide the depositary bank with voting instructions on or before the record date for ADS holders will be deemed to have instructed the depositary bank to give a discretionary proxy to a person designated by the Company to vote the underlying ordinary shares at the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1177925</wp:posOffset>
            </wp:positionV>
            <wp:extent cx="683196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80"/>
      </w:cols>
      <w:pgMar w:left="580" w:top="97" w:right="1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1."/>
      <w:numFmt w:val="decimal"/>
      <w:start w:val="4"/>
    </w:lvl>
  </w:abstractNum>
  <w:abstractNum w:abstractNumId="7">
    <w:nsid w:val="2901D82"/>
    <w:multiLevelType w:val="hybridMultilevel"/>
    <w:lvl w:ilvl="0">
      <w:lvlJc w:val="left"/>
      <w:lvlText w:val="%1."/>
      <w:numFmt w:val="decimal"/>
      <w:start w:val="5"/>
    </w:lvl>
  </w:abstractNum>
  <w:abstractNum w:abstractNumId="8">
    <w:nsid w:val="3A95F874"/>
    <w:multiLevelType w:val="hybridMultilevel"/>
    <w:lvl w:ilvl="0">
      <w:lvlJc w:val="left"/>
      <w:lvlText w:val="%1."/>
      <w:numFmt w:val="decimal"/>
      <w:start w:val="6"/>
    </w:lvl>
  </w:abstractNum>
  <w:abstractNum w:abstractNumId="9">
    <w:nsid w:val="8138641"/>
    <w:multiLevelType w:val="hybridMultilevel"/>
    <w:lvl w:ilvl="0">
      <w:lvlJc w:val="left"/>
      <w:lvlText w:val="%1."/>
      <w:numFmt w:val="decimal"/>
      <w:start w:val="8"/>
    </w:lvl>
  </w:abstractNum>
  <w:abstractNum w:abstractNumId="10">
    <w:nsid w:val="1E7FF521"/>
    <w:multiLevelType w:val="hybridMultilevel"/>
    <w:lvl w:ilvl="0">
      <w:lvlJc w:val="left"/>
      <w:lvlText w:val="%1."/>
      <w:numFmt w:val="decimal"/>
      <w:start w:val="9"/>
    </w:lvl>
  </w:abstractNum>
  <w:abstractNum w:abstractNumId="11">
    <w:nsid w:val="7C3DBD3D"/>
    <w:multiLevelType w:val="hybridMultilevel"/>
    <w:lvl w:ilvl="0">
      <w:lvlJc w:val="left"/>
      <w:lvlText w:val="%1."/>
      <w:numFmt w:val="decimal"/>
      <w:start w:val="10"/>
    </w:lvl>
  </w:abstractNum>
  <w:abstractNum w:abstractNumId="12">
    <w:nsid w:val="737B8DDC"/>
    <w:multiLevelType w:val="hybridMultilevel"/>
    <w:lvl w:ilvl="0">
      <w:lvlJc w:val="left"/>
      <w:lvlText w:val="(%1)"/>
      <w:numFmt w:val="decimal"/>
      <w:start w:val="1"/>
    </w:lvl>
  </w:abstractNum>
  <w:abstractNum w:abstractNumId="13">
    <w:nsid w:val="6CEAF087"/>
    <w:multiLevelType w:val="hybridMultilevel"/>
    <w:lvl w:ilvl="0">
      <w:lvlJc w:val="left"/>
      <w:lvlText w:val="(%1)"/>
      <w:numFmt w:val="decimal"/>
      <w:start w:val="2"/>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1)"/>
      <w:numFmt w:val="lowerLetter"/>
      <w:start w:val="2"/>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amp;"/>
      <w:numFmt w:val="bullet"/>
      <w:start w:val="1"/>
    </w:lvl>
  </w:abstractNum>
  <w:abstractNum w:abstractNumId="18">
    <w:nsid w:val="419AC241"/>
    <w:multiLevelType w:val="hybridMultilevel"/>
    <w:lvl w:ilvl="0">
      <w:lvlJc w:val="left"/>
      <w:lvlText w:val="(%1)"/>
      <w:numFmt w:val="decimal"/>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1)"/>
      <w:numFmt w:val="lowerRoman"/>
      <w:start w:val="3"/>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1)"/>
      <w:numFmt w:val="lowerRoman"/>
      <w:start w:val="2"/>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1)"/>
      <w:numFmt w:val="decimal"/>
      <w:start w:val="1"/>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decimal"/>
      <w:start w:val="1"/>
    </w:lvl>
  </w:abstractNum>
  <w:abstractNum w:abstractNumId="35">
    <w:nsid w:val="2A487CB0"/>
    <w:multiLevelType w:val="hybridMultilevel"/>
    <w:lvl w:ilvl="0">
      <w:lvlJc w:val="left"/>
      <w:lvlText w:val="(%1)"/>
      <w:numFmt w:val="decimal"/>
      <w:start w:val="4"/>
    </w:lvl>
  </w:abstractNum>
  <w:abstractNum w:abstractNumId="36">
    <w:nsid w:val="1D4ED43B"/>
    <w:multiLevelType w:val="hybridMultilevel"/>
    <w:lvl w:ilvl="0">
      <w:lvlJc w:val="left"/>
      <w:lvlText w:val="(%1)"/>
      <w:numFmt w:val="decimal"/>
      <w:start w:val="1"/>
    </w:lvl>
  </w:abstractNum>
  <w:abstractNum w:abstractNumId="37">
    <w:nsid w:val="725A06FB"/>
    <w:multiLevelType w:val="hybridMultilevel"/>
    <w:lvl w:ilvl="0">
      <w:lvlJc w:val="left"/>
      <w:lvlText w:val="(%1)"/>
      <w:numFmt w:val="lowerRoman"/>
      <w:start w:val="4"/>
    </w:lvl>
  </w:abstractNum>
  <w:abstractNum w:abstractNumId="38">
    <w:nsid w:val="2CD89A32"/>
    <w:multiLevelType w:val="hybridMultilevel"/>
    <w:lvl w:ilvl="0">
      <w:lvlJc w:val="left"/>
      <w:lvlText w:val="(%1)"/>
      <w:numFmt w:val="decimal"/>
      <w:start w:val="1"/>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1)"/>
      <w:numFmt w:val="decimal"/>
      <w:start w:val="2"/>
    </w:lvl>
  </w:abstractNum>
  <w:abstractNum w:abstractNumId="41">
    <w:nsid w:val="4B588F54"/>
    <w:multiLevelType w:val="hybridMultilevel"/>
    <w:lvl w:ilvl="0">
      <w:lvlJc w:val="left"/>
      <w:lvlText w:val="•"/>
      <w:numFmt w:val="bullet"/>
      <w:start w:val="1"/>
    </w:lvl>
    <w:lvl w:ilvl="1">
      <w:lvlJc w:val="left"/>
      <w:lvlText w:val="•"/>
      <w:numFmt w:val="bullet"/>
      <w:start w:val="1"/>
    </w:lvl>
  </w:abstractNum>
  <w:abstractNum w:abstractNumId="42">
    <w:nsid w:val="542289EC"/>
    <w:multiLevelType w:val="hybridMultilevel"/>
    <w:lvl w:ilvl="0">
      <w:lvlJc w:val="left"/>
      <w:lvlText w:val="(%1)"/>
      <w:numFmt w:val="decimal"/>
      <w:start w:val="1"/>
    </w:lvl>
  </w:abstractNum>
  <w:abstractNum w:abstractNumId="43">
    <w:nsid w:val="6DE91B18"/>
    <w:multiLevelType w:val="hybridMultilevel"/>
    <w:lvl w:ilvl="0">
      <w:lvlJc w:val="left"/>
      <w:lvlText w:val="(%1)"/>
      <w:numFmt w:val="decimal"/>
      <w:start w:val="3"/>
    </w:lvl>
    <w:lvl w:ilvl="1">
      <w:lvlJc w:val="left"/>
      <w:lvlText w:val="*"/>
      <w:numFmt w:val="bullet"/>
      <w:start w:val="1"/>
    </w:lvl>
  </w:abstractNum>
  <w:abstractNum w:abstractNumId="44">
    <w:nsid w:val="38437FDB"/>
    <w:multiLevelType w:val="hybridMultilevel"/>
    <w:lvl w:ilvl="0">
      <w:lvlJc w:val="left"/>
      <w:lvlText w:val="(%1)"/>
      <w:numFmt w:val="decimal"/>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1)"/>
      <w:numFmt w:val="decimal"/>
      <w:start w:val="1"/>
    </w:lvl>
  </w:abstractNum>
  <w:abstractNum w:abstractNumId="48">
    <w:nsid w:val="579478FE"/>
    <w:multiLevelType w:val="hybridMultilevel"/>
    <w:lvl w:ilvl="0">
      <w:lvlJc w:val="left"/>
      <w:lvlText w:val="(%1)"/>
      <w:numFmt w:val="decimal"/>
      <w:start w:val="3"/>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2025-03-18T15:49:03Z</dcterms:created>
  <dcterms:modified xsi:type="dcterms:W3CDTF">2025-03-18T15:49:03Z</dcterms:modified>
</cp:coreProperties>
</file>