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0000FF"/>
        </w:rPr>
        <w:t>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JERSEY</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6,134,405.00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6,134,405.00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6,134,405.00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MORE LONDON RIVERSIDE LONDON, UNITED KINGDOM SE12RE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Bishopsgate EC2M 3AE, United Kingdom</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Y9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American Depositary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107"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JHIUS may be deemed to be the beneficial owner of 6,062,624 shares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7.1 %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6062624</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6062624</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945"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JHIUS, JHIUKL and JHIAIFML are indirect subsidiaries of Janus Henderson and are registered investment advisers furnishing investment advice to Managed Portfolios.</w:t>
      </w: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945" w:orient="portrait"/>
          <w:cols w:equalWidth="0" w:num="2">
            <w:col w:w="620" w:space="300"/>
            <w:col w:w="10220"/>
          </w:cols>
          <w:pgMar w:left="360" w:top="126" w:right="399" w:bottom="0"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21"/>
          <w:szCs w:val="21"/>
          <w:color w:val="auto"/>
        </w:rPr>
        <w:t>Notice of dissolution of a group may be furnished as an exhibit stating the date of the dissolution and that all further filings with respect to transactions in the security reported on will be filed, if required, by members of the group, in</w:t>
      </w:r>
    </w:p>
    <w:p>
      <w:pPr>
        <w:sectPr>
          <w:pgSz w:w="11900" w:h="16945" w:orient="portrait"/>
          <w:cols w:equalWidth="0" w:num="1">
            <w:col w:w="11140"/>
          </w:cols>
          <w:pgMar w:left="360" w:top="126" w:right="399" w:bottom="0" w:gutter="0" w:footer="0" w:header="0"/>
          <w:type w:val="continuous"/>
        </w:sectPr>
      </w:pPr>
    </w:p>
    <w:bookmarkStart w:id="3" w:name="page4"/>
    <w:bookmarkEnd w:id="3"/>
    <w:p>
      <w:pPr>
        <w:ind w:left="920"/>
        <w:spacing w:after="0"/>
        <w:rPr>
          <w:sz w:val="20"/>
          <w:szCs w:val="20"/>
          <w:color w:val="auto"/>
        </w:rPr>
      </w:pPr>
      <w:r>
        <w:rPr>
          <w:rFonts w:ascii="Times New Roman" w:cs="Times New Roman" w:eastAsia="Times New Roman" w:hAnsi="Times New Roman"/>
          <w:sz w:val="22"/>
          <w:szCs w:val="22"/>
          <w:color w:val="auto"/>
        </w:rPr>
        <w:t>their individual capacity. See Item 5.</w:t>
      </w:r>
    </w:p>
    <w:p>
      <w:pPr>
        <w:spacing w:after="0" w:line="200" w:lineRule="exact"/>
        <w:rPr>
          <w:sz w:val="20"/>
          <w:szCs w:val="20"/>
          <w:color w:val="auto"/>
        </w:rPr>
      </w:pPr>
    </w:p>
    <w:p>
      <w:pPr>
        <w:spacing w:after="0" w:line="277" w:lineRule="exact"/>
        <w:rPr>
          <w:sz w:val="20"/>
          <w:szCs w:val="20"/>
          <w:color w:val="auto"/>
        </w:rPr>
      </w:pPr>
    </w:p>
    <w:p>
      <w:pPr>
        <w:jc w:val="center"/>
        <w:ind w:right="8920"/>
        <w:spacing w:after="0"/>
        <w:rPr>
          <w:sz w:val="20"/>
          <w:szCs w:val="20"/>
          <w:color w:val="auto"/>
        </w:rPr>
      </w:pPr>
      <w:r>
        <w:rPr>
          <w:rFonts w:ascii="Times New Roman" w:cs="Times New Roman" w:eastAsia="Times New Roman" w:hAnsi="Times New Roman"/>
          <w:sz w:val="22"/>
          <w:szCs w:val="22"/>
          <w:color w:val="auto"/>
        </w:rPr>
        <w:t>N/A</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JANUS HENDERSON GROUP PLC</w:t>
      </w:r>
    </w:p>
    <w:p>
      <w:pPr>
        <w:spacing w:after="0" w:line="152"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Kristin Mariani</w:t>
      </w:r>
    </w:p>
    <w:p>
      <w:pPr>
        <w:spacing w:after="0" w:line="4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color w:val="auto"/>
        </w:rPr>
        <w:t>Name/Title: Head of North America Compliance, CCO</w:t>
      </w:r>
    </w:p>
    <w:p>
      <w:pPr>
        <w:spacing w:after="0" w:line="44" w:lineRule="exact"/>
        <w:rPr>
          <w:sz w:val="20"/>
          <w:szCs w:val="20"/>
          <w:color w:val="auto"/>
        </w:rPr>
      </w:pPr>
    </w:p>
    <w:p>
      <w:pPr>
        <w:ind w:left="498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08/14/2025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1"/>
          <w:szCs w:val="21"/>
          <w:color w:val="auto"/>
        </w:rPr>
        <w:t>POWER OF ATTORNEY The undersigned, Janus Henderson Group plc ("the Company"), does hereby make, constitute and appoint each of Kristin Mariani and Caroline Barotti acting severally, as its true and lawful attorneys in-fact, for the purpose of, from time to time, executing in its name and on its behalf, whether the Company individually or as representative of others, any and all documents, certificates, instruments, statements, other filings and amendments to the foregoing (collectively, "documents") determined by such person to be necessary or appropriate to comply with ownership or control-person reporting requirements imposed by any United States or non-United States governmental or regulatory authority, including, without limitation, Forms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IN WITNESS WHEREOF, the undersigned has caused this power of attorney to be executed as of this 9th day of December, 2022. Janus Henderson Group plc By: /s/ Michelle Rosenberg Name: Michelle Rosenberg Title: General Counsel and Company Secretary</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2025-08-14T10:31:58Z</dcterms:created>
  <dcterms:modified xsi:type="dcterms:W3CDTF">2025-08-14T10:31:58Z</dcterms:modified>
</cp:coreProperties>
</file>