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8-K/A</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July 15, 2021 (June 9,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Verona Pharma plc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4" w:right="339" w:bottom="954" w:gutter="0" w:footer="0" w:header="0"/>
        </w:sectPr>
      </w:pPr>
    </w:p>
    <w:p>
      <w:pPr>
        <w:spacing w:after="0" w:line="200" w:lineRule="exact"/>
        <w:rPr>
          <w:sz w:val="24"/>
          <w:szCs w:val="24"/>
          <w:color w:val="auto"/>
        </w:rPr>
      </w:pPr>
    </w:p>
    <w:p>
      <w:pPr>
        <w:spacing w:after="0" w:line="289" w:lineRule="exact"/>
        <w:rPr>
          <w:sz w:val="24"/>
          <w:szCs w:val="24"/>
          <w:color w:val="auto"/>
        </w:rPr>
      </w:pPr>
    </w:p>
    <w:p>
      <w:pPr>
        <w:ind w:left="1280"/>
        <w:spacing w:after="0"/>
        <w:rPr>
          <w:sz w:val="20"/>
          <w:szCs w:val="20"/>
          <w:color w:val="auto"/>
        </w:rPr>
      </w:pPr>
      <w:r>
        <w:rPr>
          <w:rFonts w:ascii="Arial" w:cs="Arial" w:eastAsia="Arial" w:hAnsi="Arial"/>
          <w:sz w:val="18"/>
          <w:szCs w:val="18"/>
          <w:b w:val="1"/>
          <w:bCs w:val="1"/>
          <w:color w:val="auto"/>
        </w:rPr>
        <w:t>United Kingdom</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b w:val="1"/>
          <w:bCs w:val="1"/>
          <w:color w:val="auto"/>
        </w:rPr>
        <w:t>(State or other jurisdiction</w:t>
      </w:r>
    </w:p>
    <w:p>
      <w:pPr>
        <w:spacing w:after="0" w:line="32" w:lineRule="exact"/>
        <w:rPr>
          <w:sz w:val="24"/>
          <w:szCs w:val="24"/>
          <w:color w:val="auto"/>
        </w:rPr>
      </w:pPr>
    </w:p>
    <w:p>
      <w:pPr>
        <w:ind w:left="1260"/>
        <w:spacing w:after="0"/>
        <w:rPr>
          <w:sz w:val="20"/>
          <w:szCs w:val="20"/>
          <w:color w:val="auto"/>
        </w:rPr>
      </w:pPr>
      <w:r>
        <w:rPr>
          <w:rFonts w:ascii="Arial" w:cs="Arial" w:eastAsia="Arial" w:hAnsi="Arial"/>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9" w:lineRule="exact"/>
        <w:rPr>
          <w:sz w:val="24"/>
          <w:szCs w:val="24"/>
          <w:color w:val="auto"/>
        </w:rPr>
      </w:pPr>
    </w:p>
    <w:p>
      <w:pPr>
        <w:jc w:val="center"/>
        <w:ind w:right="1760"/>
        <w:spacing w:after="0"/>
        <w:rPr>
          <w:sz w:val="20"/>
          <w:szCs w:val="20"/>
          <w:color w:val="auto"/>
        </w:rPr>
      </w:pPr>
      <w:r>
        <w:rPr>
          <w:rFonts w:ascii="Arial" w:cs="Arial" w:eastAsia="Arial" w:hAnsi="Arial"/>
          <w:sz w:val="18"/>
          <w:szCs w:val="18"/>
          <w:b w:val="1"/>
          <w:bCs w:val="1"/>
          <w:color w:val="auto"/>
        </w:rPr>
        <w:t>001-39067</w:t>
      </w:r>
    </w:p>
    <w:p>
      <w:pPr>
        <w:spacing w:after="0" w:line="27" w:lineRule="exact"/>
        <w:rPr>
          <w:sz w:val="24"/>
          <w:szCs w:val="24"/>
          <w:color w:val="auto"/>
        </w:rPr>
      </w:pPr>
    </w:p>
    <w:p>
      <w:pPr>
        <w:jc w:val="center"/>
        <w:ind w:right="1760"/>
        <w:spacing w:after="0"/>
        <w:rPr>
          <w:sz w:val="20"/>
          <w:szCs w:val="20"/>
          <w:color w:val="auto"/>
        </w:rPr>
      </w:pPr>
      <w:r>
        <w:rPr>
          <w:rFonts w:ascii="Arial" w:cs="Arial" w:eastAsia="Arial" w:hAnsi="Arial"/>
          <w:sz w:val="16"/>
          <w:szCs w:val="16"/>
          <w:b w:val="1"/>
          <w:bCs w:val="1"/>
          <w:color w:val="auto"/>
        </w:rPr>
        <w:t>(Commission</w:t>
      </w:r>
    </w:p>
    <w:p>
      <w:pPr>
        <w:spacing w:after="0" w:line="32" w:lineRule="exact"/>
        <w:rPr>
          <w:sz w:val="24"/>
          <w:szCs w:val="24"/>
          <w:color w:val="auto"/>
        </w:rPr>
      </w:pPr>
    </w:p>
    <w:p>
      <w:pPr>
        <w:jc w:val="center"/>
        <w:ind w:right="1760"/>
        <w:spacing w:after="0"/>
        <w:rPr>
          <w:sz w:val="20"/>
          <w:szCs w:val="20"/>
          <w:color w:val="auto"/>
        </w:rPr>
      </w:pPr>
      <w:r>
        <w:rPr>
          <w:rFonts w:ascii="Arial" w:cs="Arial" w:eastAsia="Arial" w:hAnsi="Arial"/>
          <w:sz w:val="17"/>
          <w:szCs w:val="17"/>
          <w:b w:val="1"/>
          <w:bCs w:val="1"/>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(IRS Employer</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Identification No.)</w:t>
      </w:r>
    </w:p>
    <w:p>
      <w:pPr>
        <w:spacing w:after="0" w:line="222" w:lineRule="exact"/>
        <w:rPr>
          <w:sz w:val="24"/>
          <w:szCs w:val="24"/>
          <w:color w:val="auto"/>
        </w:rPr>
      </w:pPr>
    </w:p>
    <w:p>
      <w:pPr>
        <w:sectPr>
          <w:pgSz w:w="11900" w:h="16838" w:orient="portrait"/>
          <w:cols w:equalWidth="0" w:num="3">
            <w:col w:w="4500" w:space="720"/>
            <w:col w:w="2800" w:space="720"/>
            <w:col w:w="2500"/>
          </w:cols>
          <w:pgMar w:left="320" w:top="544" w:right="339" w:bottom="954" w:gutter="0" w:footer="0" w:header="0"/>
          <w:type w:val="continuous"/>
        </w:sectPr>
      </w:pP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 More London Riverside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London SE1 2RE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Kingdom</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of principal executive offices)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+44 203 283 4200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4" w:right="339" w:bottom="954" w:gutter="0" w:footer="0" w:header="0"/>
          <w:type w:val="continuous"/>
        </w:sectPr>
      </w:pPr>
    </w:p>
    <w:p>
      <w:pPr>
        <w:spacing w:after="0" w:line="200" w:lineRule="exact"/>
        <w:rPr>
          <w:sz w:val="24"/>
          <w:szCs w:val="24"/>
          <w:color w:val="auto"/>
        </w:rPr>
      </w:pPr>
    </w:p>
    <w:p>
      <w:pPr>
        <w:spacing w:after="0" w:line="317"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38" w:lineRule="exact"/>
        <w:rPr>
          <w:sz w:val="24"/>
          <w:szCs w:val="24"/>
          <w:color w:val="auto"/>
        </w:rPr>
      </w:pPr>
    </w:p>
    <w:p>
      <w:pPr>
        <w:ind w:left="460"/>
        <w:spacing w:after="0" w:line="207" w:lineRule="exact"/>
        <w:tabs>
          <w:tab w:leader="none" w:pos="88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Written communications pursuant to Rule 425 under the Securities Act (17 CFR 230.425)</w:t>
      </w:r>
    </w:p>
    <w:p>
      <w:pPr>
        <w:spacing w:after="0" w:line="232" w:lineRule="exact"/>
        <w:rPr>
          <w:sz w:val="24"/>
          <w:szCs w:val="24"/>
          <w:color w:val="auto"/>
        </w:rPr>
      </w:pPr>
    </w:p>
    <w:p>
      <w:pPr>
        <w:ind w:left="460"/>
        <w:spacing w:after="0" w:line="207" w:lineRule="exact"/>
        <w:tabs>
          <w:tab w:leader="none" w:pos="88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Soliciting material pursuant to Rule 14a-12 under the Exchange Act (17 CFR 240.14a-12)</w:t>
      </w:r>
    </w:p>
    <w:p>
      <w:pPr>
        <w:spacing w:after="0" w:line="218" w:lineRule="exact"/>
        <w:rPr>
          <w:sz w:val="24"/>
          <w:szCs w:val="24"/>
          <w:color w:val="auto"/>
        </w:rPr>
      </w:pPr>
    </w:p>
    <w:p>
      <w:pPr>
        <w:ind w:left="460"/>
        <w:spacing w:after="0" w:line="207" w:lineRule="exact"/>
        <w:tabs>
          <w:tab w:leader="none" w:pos="88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Pre-commencement communications pursuant to Rule 14d-2(b) under the Exchange Act (17 CFR 240.14d-2(b))</w:t>
      </w:r>
    </w:p>
    <w:p>
      <w:pPr>
        <w:spacing w:after="0" w:line="232" w:lineRule="exact"/>
        <w:rPr>
          <w:sz w:val="24"/>
          <w:szCs w:val="24"/>
          <w:color w:val="auto"/>
        </w:rPr>
      </w:pPr>
    </w:p>
    <w:p>
      <w:pPr>
        <w:ind w:left="460"/>
        <w:spacing w:after="0" w:line="207" w:lineRule="exact"/>
        <w:tabs>
          <w:tab w:leader="none" w:pos="88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Pre-commencement communications pursuant to Rule 13e-4(c) under the Exchange Act (17 CFR 240.13e-4(c))</w:t>
      </w:r>
    </w:p>
    <w:p>
      <w:pPr>
        <w:spacing w:after="0" w:line="24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7" w:lineRule="exact"/>
        <w:rPr>
          <w:sz w:val="24"/>
          <w:szCs w:val="24"/>
          <w:color w:val="auto"/>
        </w:rPr>
      </w:pPr>
    </w:p>
    <w:tbl>
      <w:tblPr>
        <w:tblLayout w:type="fixed"/>
        <w:tblInd w:w="10" w:type="dxa"/>
        <w:tblCellMar>
          <w:top w:w="0" w:type="dxa"/>
          <w:left w:w="0" w:type="dxa"/>
          <w:bottom w:w="0" w:type="dxa"/>
          <w:right w:w="0" w:type="dxa"/>
        </w:tblCellMar>
      </w:tblPr>
      <w:tr>
        <w:trPr>
          <w:trHeight w:val="195"/>
        </w:trPr>
        <w:tc>
          <w:tcPr>
            <w:tcW w:w="4180" w:type="dxa"/>
            <w:vAlign w:val="bottom"/>
            <w:tcBorders>
              <w:top w:val="single" w:sz="8" w:color="auto"/>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Title of each class</w:t>
            </w:r>
          </w:p>
        </w:tc>
        <w:tc>
          <w:tcPr>
            <w:tcW w:w="3700" w:type="dxa"/>
            <w:vAlign w:val="bottom"/>
            <w:tcBorders>
              <w:top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Trading Symbol(s)</w:t>
            </w:r>
          </w:p>
        </w:tc>
        <w:tc>
          <w:tcPr>
            <w:tcW w:w="3360" w:type="dxa"/>
            <w:vAlign w:val="bottom"/>
            <w:tcBorders>
              <w:top w:val="single" w:sz="8" w:color="auto"/>
              <w:right w:val="single" w:sz="8" w:color="auto"/>
            </w:tcBorders>
          </w:tcPr>
          <w:p>
            <w:pPr>
              <w:ind w:left="440"/>
              <w:spacing w:after="0" w:line="195" w:lineRule="exact"/>
              <w:rPr>
                <w:sz w:val="20"/>
                <w:szCs w:val="20"/>
                <w:color w:val="auto"/>
              </w:rPr>
            </w:pPr>
            <w:r>
              <w:rPr>
                <w:rFonts w:ascii="Arial" w:cs="Arial" w:eastAsia="Arial" w:hAnsi="Arial"/>
                <w:sz w:val="18"/>
                <w:szCs w:val="18"/>
                <w:color w:val="auto"/>
              </w:rPr>
              <w:t>Name of each exchange on which</w:t>
            </w:r>
          </w:p>
        </w:tc>
      </w:tr>
      <w:tr>
        <w:trPr>
          <w:trHeight w:val="230"/>
        </w:trPr>
        <w:tc>
          <w:tcPr>
            <w:tcW w:w="4180" w:type="dxa"/>
            <w:vAlign w:val="bottom"/>
            <w:tcBorders>
              <w:left w:val="single" w:sz="8" w:color="auto"/>
              <w:bottom w:val="single" w:sz="8" w:color="auto"/>
              <w:right w:val="single" w:sz="8" w:color="auto"/>
            </w:tcBorders>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3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registered</w:t>
            </w:r>
          </w:p>
        </w:tc>
      </w:tr>
      <w:tr>
        <w:trPr>
          <w:trHeight w:val="209"/>
        </w:trPr>
        <w:tc>
          <w:tcPr>
            <w:tcW w:w="4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Ordinary shares, nominal value £0.05 per share*</w:t>
            </w:r>
          </w:p>
        </w:tc>
        <w:tc>
          <w:tcPr>
            <w:tcW w:w="3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VRNA</w:t>
            </w:r>
          </w:p>
        </w:tc>
        <w:tc>
          <w:tcPr>
            <w:tcW w:w="3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The Nasdaq Global Market</w:t>
            </w:r>
          </w:p>
        </w:tc>
      </w:tr>
    </w:tbl>
    <w:p>
      <w:pPr>
        <w:spacing w:after="0" w:line="202" w:lineRule="exact"/>
        <w:rPr>
          <w:sz w:val="24"/>
          <w:szCs w:val="24"/>
          <w:color w:val="auto"/>
        </w:rPr>
      </w:pPr>
    </w:p>
    <w:p>
      <w:pPr>
        <w:jc w:val="both"/>
        <w:ind w:right="480"/>
        <w:spacing w:after="0" w:line="277" w:lineRule="auto"/>
        <w:rPr>
          <w:sz w:val="20"/>
          <w:szCs w:val="20"/>
          <w:color w:val="auto"/>
        </w:rPr>
      </w:pPr>
      <w:r>
        <w:rPr>
          <w:rFonts w:ascii="Arial" w:cs="Arial" w:eastAsia="Arial" w:hAnsi="Arial"/>
          <w:sz w:val="18"/>
          <w:szCs w:val="18"/>
          <w:i w:val="1"/>
          <w:iCs w:val="1"/>
          <w:color w:val="auto"/>
        </w:rPr>
        <w:t>* The ordinary shares are represented by American Depositary Shares (each representing 8 ordinary shares), which are exempt from the operation of Section 12(a) of the Securities Exchange Act of 1934, as amended, pursuant to Rule 12a-8 thereunder.</w:t>
      </w:r>
    </w:p>
    <w:p>
      <w:pPr>
        <w:spacing w:after="0" w:line="170" w:lineRule="exact"/>
        <w:rPr>
          <w:sz w:val="24"/>
          <w:szCs w:val="24"/>
          <w:color w:val="auto"/>
        </w:rPr>
      </w:pPr>
    </w:p>
    <w:p>
      <w:pPr>
        <w:jc w:val="both"/>
        <w:ind w:right="4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510540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4" w:right="339" w:bottom="954"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On June 11, 2021, Verona Pharma plc (the “Company”) filed a Current Report on Form 8-K (the “Original 8-K”) reporting the entry into a collaboration and license agreement (the “Original Agreement”) under Item 1.01, which incorrectly disclosed that the Original Agreement had been entered into with Nuance Pharma Limited, a Shanghai-based specialty pharmaceutical company (“Nuance Pharma”), rather than Nuance (Shanghai) Pharma Co Ltd (“Nuance Shanghai”). On July 15, 2021, the Original Agreement was amended and restated to add Nuance Pharma as a party and to make certain other changes (the “Agreement”). The Company is amending the Original 8-K for the purpose of amending and restating the disclosures under Item 1.01 of the Original 8-K to reflect the Company’s entry into the Agreement. As a result of entering into the Agreement, the Original Agreement is deemed null and void ab initio.</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On July 15, 2021, the Company, Nuance Pharma and Nuance Shanghai entered into the Agreement.</w:t>
      </w:r>
    </w:p>
    <w:p>
      <w:pPr>
        <w:spacing w:after="0" w:line="22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Under the terms of the Agreement, the Company granted Nuance Pharma the exclusive rights to develop and commercialize products containing ensifentrine (the “Licensed Products”) in Greater China (mainland China, Taiwan, Hong Kong and Macau). Pursuant to the Agreement, Nuance Pharma agreed to make an upfront payment to the Company of $25 million in cash and grant to the Company an equity interest valued at $15 million as of June 9, 2021, the deemed effective date of the Agreement, in Nuance Biotech, the parent company of Nuance Pharma. Pursuant to the Agreement, the Company is eligible to receive future milestone payments of up to $179 million upon achievement of certain clinical, regulatory, and commercial milestones related to the Licensed Products in Greater China. The Company is also entitled to tiered double-digit royalties as a percentage of net sales of the Licensed Products in Greater China.</w:t>
      </w:r>
    </w:p>
    <w:p>
      <w:pPr>
        <w:spacing w:after="0" w:line="195"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Nuance Pharma will be responsible for all costs related to clinical development and commercialization of the Licensed Products in Greater China. Under the Agreement, the Company and Nuance Pharma agreed to establish a joint steering committee to oversee and coordinate the overall conduct of the clinical development and commercialization of the Licensed Products in Greater China. The Company intends to use the joint steering committee to help ensure the clinical development of ensifentrine in the region aligns with the Company’s overall global development and commercialization strategy.</w:t>
      </w:r>
    </w:p>
    <w:p>
      <w:pPr>
        <w:spacing w:after="0" w:line="15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Pursuant to the Agreement, at any time until three (3) months prior to the expected submission of the first New Drug Application for a Licensed Product in Greater China, if (i) a third party is interested in partnering with the Company, either globally or in territory covering at least the United States or Europe, for the development and/or commercialization of the Licensed Products, or (ii) the Company undergoes a change of control, the Company will have an exclusive option right to buy back the license granted to Nuance Pharma pursuant to the Agreement and all related assets, at a price equal to the aggregate of (i) all prior amounts paid by Nuance Pharma to the Company in cash under the Agreement and (ii) all development and regulatory costs incurred and paid by Nuance Pharma in connection with the development and commercialization of the Licensed Products under the Agreement multiplied by a single-digit factor range dependent upon achievement of certain milestones, subject to a specified maximum amount.</w:t>
      </w:r>
    </w:p>
    <w:p>
      <w:pPr>
        <w:spacing w:after="0" w:line="166"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Agreement will continue on a jurisdiction-by-jurisdiction and product-by-product basis until the expiration of royalty payment obligations with respect to such product in such jurisdiction unless earlier terminated by the parties. Either party may terminate the Agreement for an uncured material breach or bankruptcy of the other party. Nuance Pharma may also terminate the Agreement at will upon 90 days' prior written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spacing w:after="0" w:line="285" w:lineRule="auto"/>
        <w:rPr>
          <w:sz w:val="20"/>
          <w:szCs w:val="20"/>
          <w:color w:val="auto"/>
        </w:rPr>
      </w:pPr>
      <w:r>
        <w:rPr>
          <w:rFonts w:ascii="Arial" w:cs="Arial" w:eastAsia="Arial" w:hAnsi="Arial"/>
          <w:sz w:val="16"/>
          <w:szCs w:val="16"/>
          <w:i w:val="1"/>
          <w:iCs w:val="1"/>
          <w:color w:val="auto"/>
        </w:rPr>
        <w:t>This Current Report on Form 8-K/A (the “Form 8-K”) contains forward-looking statements within the meaning of the Private Securities Litigation Reform Act of 1995. All statements contained in this Form 8-K that do not relate to matters of historical fact should be considered forward-looking statements, including, but not limited to, statements regarding milestone payments, royalties and other financial terms and activities under the Agreement with Nuance Pharma. These forward-looking statements are based on management's current expectations. These statements are neither promises nor guarantees, but involve known and unknown risks, uncertainties and other important factors that may cause our actual results, performance or achievements to be materially different from our expectations expressed or implied by the forward-looking statements, including, but not limited to, the following: the reliance of our business on the success of ensifentrine, our only product candidate under development; if we, and any collaborators with whom we may enter into agreements for the development and commercialization of ensifentrine, are unable to commercialize ensifentrine, or experience significant delays in doing so, our ability to generate revenue and our financial condition will be adversely affected; the lengthy and expensive process of clinical drug development, which has an uncertain outcome; our reliance on third parties, including clinical research organizations, clinical investigators, manufacturers and suppliers, and the risks related to these parties’ ability to successfully develop and commercialize ensifentrine; lawsuits related to patents covering ensifentrine and the potential for our patents to be found invalid or unenforceable; and our vulnerability to natural disasters, global economic factors and other unexpected events, including health epidemics or pandemics like the COVID-19 pandemic, which has and may continue to adversely impact our business. These and other important factors under the caption “Risk Factors” in our Annual Report on Form 10-K for the year ended December 31, 2020, and our other reports filed with the SEC, could cause actual results to differ materially from those indicated by the forward-looking statements made in this Form 8-K. Any such forward-looking statements represent management's estimates as of the date of this Form 8-K. While we may elect to update such forward-looking statements at some point in the future, we disclaim any obligation to do so, even if subsequent events cause our views to change. These forward-looking statements should not be relied upon as representing our views as of any date subsequent to the date of this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409575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7720" w:type="dxa"/>
            <w:vAlign w:val="bottom"/>
            <w:gridSpan w:val="2"/>
          </w:tcPr>
          <w:p>
            <w:pPr>
              <w:ind w:left="2120"/>
              <w:spacing w:after="0"/>
              <w:rPr>
                <w:sz w:val="20"/>
                <w:szCs w:val="20"/>
                <w:color w:val="auto"/>
              </w:rPr>
            </w:pPr>
            <w:r>
              <w:rPr>
                <w:rFonts w:ascii="Arial" w:cs="Arial" w:eastAsia="Arial" w:hAnsi="Arial"/>
                <w:sz w:val="18"/>
                <w:szCs w:val="18"/>
                <w:b w:val="1"/>
                <w:bCs w:val="1"/>
                <w:color w:val="auto"/>
              </w:rPr>
              <w:t>VERONA PHARMA PLC</w:t>
            </w:r>
          </w:p>
        </w:tc>
      </w:tr>
      <w:tr>
        <w:trPr>
          <w:trHeight w:val="432"/>
        </w:trPr>
        <w:tc>
          <w:tcPr>
            <w:tcW w:w="3520" w:type="dxa"/>
            <w:vAlign w:val="bottom"/>
          </w:tcPr>
          <w:p>
            <w:pPr>
              <w:spacing w:after="0"/>
              <w:rPr>
                <w:sz w:val="20"/>
                <w:szCs w:val="20"/>
                <w:color w:val="auto"/>
              </w:rPr>
            </w:pPr>
            <w:r>
              <w:rPr>
                <w:rFonts w:ascii="Arial" w:cs="Arial" w:eastAsia="Arial" w:hAnsi="Arial"/>
                <w:sz w:val="18"/>
                <w:szCs w:val="18"/>
                <w:color w:val="auto"/>
              </w:rPr>
              <w:t>Date: July 20, 2021</w:t>
            </w:r>
          </w:p>
        </w:tc>
        <w:tc>
          <w:tcPr>
            <w:tcW w:w="2680" w:type="dxa"/>
            <w:vAlign w:val="bottom"/>
          </w:tcPr>
          <w:p>
            <w:pPr>
              <w:ind w:left="212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David Zaccardelli, Pharm. D.</w:t>
            </w:r>
          </w:p>
        </w:tc>
      </w:tr>
      <w:tr>
        <w:trPr>
          <w:trHeight w:val="195"/>
        </w:trPr>
        <w:tc>
          <w:tcPr>
            <w:tcW w:w="3520" w:type="dxa"/>
            <w:vAlign w:val="bottom"/>
          </w:tcPr>
          <w:p>
            <w:pPr>
              <w:spacing w:after="0"/>
              <w:rPr>
                <w:sz w:val="16"/>
                <w:szCs w:val="16"/>
                <w:color w:val="auto"/>
              </w:rPr>
            </w:pPr>
          </w:p>
        </w:tc>
        <w:tc>
          <w:tcPr>
            <w:tcW w:w="2680" w:type="dxa"/>
            <w:vAlign w:val="bottom"/>
          </w:tcPr>
          <w:p>
            <w:pPr>
              <w:ind w:left="2120"/>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ind w:left="40"/>
              <w:spacing w:after="0" w:line="195" w:lineRule="exact"/>
              <w:rPr>
                <w:sz w:val="20"/>
                <w:szCs w:val="20"/>
                <w:color w:val="auto"/>
              </w:rPr>
            </w:pPr>
            <w:r>
              <w:rPr>
                <w:rFonts w:ascii="Arial" w:cs="Arial" w:eastAsia="Arial" w:hAnsi="Arial"/>
                <w:sz w:val="18"/>
                <w:szCs w:val="18"/>
                <w:color w:val="auto"/>
              </w:rPr>
              <w:t>David Zaccardelli, Pharm. D.</w:t>
            </w:r>
          </w:p>
        </w:tc>
      </w:tr>
      <w:tr>
        <w:trPr>
          <w:trHeight w:val="230"/>
        </w:trPr>
        <w:tc>
          <w:tcPr>
            <w:tcW w:w="3520" w:type="dxa"/>
            <w:vAlign w:val="bottom"/>
          </w:tcPr>
          <w:p>
            <w:pPr>
              <w:spacing w:after="0"/>
              <w:rPr>
                <w:sz w:val="20"/>
                <w:szCs w:val="20"/>
                <w:color w:val="auto"/>
              </w:rPr>
            </w:pPr>
          </w:p>
        </w:tc>
        <w:tc>
          <w:tcPr>
            <w:tcW w:w="2680" w:type="dxa"/>
            <w:vAlign w:val="bottom"/>
          </w:tcPr>
          <w:p>
            <w:pPr>
              <w:ind w:left="2120"/>
              <w:spacing w:after="0"/>
              <w:rPr>
                <w:sz w:val="20"/>
                <w:szCs w:val="20"/>
                <w:color w:val="auto"/>
              </w:rPr>
            </w:pPr>
            <w:r>
              <w:rPr>
                <w:rFonts w:ascii="Arial" w:cs="Arial" w:eastAsia="Arial" w:hAnsi="Arial"/>
                <w:sz w:val="18"/>
                <w:szCs w:val="18"/>
                <w:color w:val="auto"/>
              </w:rPr>
              <w:t>Title:</w:t>
            </w:r>
          </w:p>
        </w:tc>
        <w:tc>
          <w:tcPr>
            <w:tcW w:w="5040" w:type="dxa"/>
            <w:vAlign w:val="bottom"/>
          </w:tcPr>
          <w:p>
            <w:pPr>
              <w:ind w:left="40"/>
              <w:spacing w:after="0"/>
              <w:rPr>
                <w:sz w:val="20"/>
                <w:szCs w:val="20"/>
                <w:color w:val="auto"/>
              </w:rPr>
            </w:pPr>
            <w:r>
              <w:rPr>
                <w:rFonts w:ascii="Arial" w:cs="Arial" w:eastAsia="Arial" w:hAnsi="Arial"/>
                <w:sz w:val="18"/>
                <w:szCs w:val="18"/>
                <w:color w:val="auto"/>
              </w:rPr>
              <w:t>Chief Executive Officer</w:t>
            </w:r>
          </w:p>
        </w:tc>
      </w:tr>
      <w:tr>
        <w:trPr>
          <w:trHeight w:val="675"/>
        </w:trPr>
        <w:tc>
          <w:tcPr>
            <w:tcW w:w="35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2021-07-20T15:02:57Z</dcterms:created>
  <dcterms:modified xsi:type="dcterms:W3CDTF">2021-07-20T15:02:57Z</dcterms:modified>
</cp:coreProperties>
</file>