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143510</wp:posOffset>
            </wp:positionH>
            <wp:positionV relativeFrom="page">
              <wp:posOffset>561340</wp:posOffset>
            </wp:positionV>
            <wp:extent cx="727456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1397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WASHINGTON, D.C. 20549</w:t>
      </w:r>
    </w:p>
    <w:p>
      <w:pPr>
        <w:spacing w:after="0" w:line="3" w:lineRule="exact"/>
        <w:rPr>
          <w:sz w:val="24"/>
          <w:szCs w:val="24"/>
          <w:color w:val="auto"/>
        </w:rPr>
      </w:pPr>
    </w:p>
    <w:p>
      <w:pPr>
        <w:ind w:left="3500"/>
        <w:spacing w:after="0"/>
        <w:rPr>
          <w:sz w:val="20"/>
          <w:szCs w:val="20"/>
          <w:color w:val="auto"/>
        </w:rPr>
      </w:pPr>
      <w:r>
        <w:rPr>
          <w:rFonts w:ascii="Arial" w:cs="Arial" w:eastAsia="Arial" w:hAnsi="Arial"/>
          <w:sz w:val="11"/>
          <w:szCs w:val="11"/>
          <w:color w:val="auto"/>
        </w:rPr>
        <w:t>______________________________________________________________________</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Form 20-F</w:t>
      </w:r>
    </w:p>
    <w:p>
      <w:pPr>
        <w:spacing w:after="0" w:line="34" w:lineRule="exact"/>
        <w:rPr>
          <w:sz w:val="24"/>
          <w:szCs w:val="24"/>
          <w:color w:val="auto"/>
        </w:rPr>
      </w:pPr>
    </w:p>
    <w:p>
      <w:pPr>
        <w:ind w:left="3500"/>
        <w:spacing w:after="0"/>
        <w:rPr>
          <w:sz w:val="20"/>
          <w:szCs w:val="20"/>
          <w:color w:val="auto"/>
        </w:rPr>
      </w:pPr>
      <w:r>
        <w:rPr>
          <w:rFonts w:ascii="Arial" w:cs="Arial" w:eastAsia="Arial" w:hAnsi="Arial"/>
          <w:sz w:val="11"/>
          <w:szCs w:val="11"/>
          <w:color w:val="auto"/>
        </w:rPr>
        <w:t>______________________________________________________________________</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(Mark One)</w:t>
      </w:r>
    </w:p>
    <w:p>
      <w:pPr>
        <w:spacing w:after="0" w:line="49" w:lineRule="exact"/>
        <w:rPr>
          <w:sz w:val="24"/>
          <w:szCs w:val="24"/>
          <w:color w:val="auto"/>
        </w:rPr>
      </w:pPr>
    </w:p>
    <w:p>
      <w:pPr>
        <w:ind w:left="5480" w:right="4540" w:hanging="5463"/>
        <w:spacing w:after="0" w:line="309" w:lineRule="auto"/>
        <w:tabs>
          <w:tab w:leader="none" w:pos="359"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REGISTRATION STATEMENT PURSUANT TO SECTION 12(b) OR (g) OF THE SECURITIES EXCHANGE ACT OF 1934</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OR</w:t>
      </w:r>
    </w:p>
    <w:p>
      <w:pPr>
        <w:spacing w:after="0" w:line="49" w:lineRule="exact"/>
        <w:rPr>
          <w:sz w:val="24"/>
          <w:szCs w:val="24"/>
          <w:color w:val="auto"/>
        </w:rPr>
      </w:pPr>
    </w:p>
    <w:p>
      <w:pPr>
        <w:ind w:left="360" w:hanging="343"/>
        <w:spacing w:after="0"/>
        <w:tabs>
          <w:tab w:leader="none" w:pos="3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For the fiscal year ended December 31, 2019</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OR</w:t>
      </w:r>
    </w:p>
    <w:p>
      <w:pPr>
        <w:spacing w:after="0" w:line="49" w:lineRule="exact"/>
        <w:rPr>
          <w:sz w:val="24"/>
          <w:szCs w:val="24"/>
          <w:color w:val="auto"/>
        </w:rPr>
      </w:pPr>
    </w:p>
    <w:p>
      <w:pPr>
        <w:ind w:left="360" w:hanging="343"/>
        <w:spacing w:after="0"/>
        <w:tabs>
          <w:tab w:leader="none" w:pos="360" w:val="left"/>
        </w:tabs>
        <w:numPr>
          <w:ilvl w:val="0"/>
          <w:numId w:val="3"/>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42" w:lineRule="exact"/>
        <w:rPr>
          <w:sz w:val="24"/>
          <w:szCs w:val="24"/>
          <w:color w:val="auto"/>
        </w:rPr>
      </w:pPr>
    </w:p>
    <w:p>
      <w:pPr>
        <w:ind w:left="4360"/>
        <w:spacing w:after="0"/>
        <w:tabs>
          <w:tab w:leader="none" w:pos="6380" w:val="left"/>
        </w:tabs>
        <w:rPr>
          <w:sz w:val="20"/>
          <w:szCs w:val="20"/>
          <w:color w:val="auto"/>
        </w:rPr>
      </w:pPr>
      <w:r>
        <w:rPr>
          <w:rFonts w:ascii="Arial" w:cs="Arial" w:eastAsia="Arial" w:hAnsi="Arial"/>
          <w:sz w:val="10"/>
          <w:szCs w:val="10"/>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3687445</wp:posOffset>
            </wp:positionH>
            <wp:positionV relativeFrom="paragraph">
              <wp:posOffset>0</wp:posOffset>
            </wp:positionV>
            <wp:extent cx="8229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6985"/>
                    </a:xfrm>
                    <a:prstGeom prst="rect">
                      <a:avLst/>
                    </a:prstGeom>
                    <a:noFill/>
                  </pic:spPr>
                </pic:pic>
              </a:graphicData>
            </a:graphic>
          </wp:anchor>
        </w:drawing>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OR</w:t>
      </w:r>
    </w:p>
    <w:p>
      <w:pPr>
        <w:spacing w:after="0" w:line="49" w:lineRule="exact"/>
        <w:rPr>
          <w:sz w:val="24"/>
          <w:szCs w:val="24"/>
          <w:color w:val="auto"/>
        </w:rPr>
      </w:pPr>
    </w:p>
    <w:p>
      <w:pPr>
        <w:ind w:left="360" w:hanging="343"/>
        <w:spacing w:after="0"/>
        <w:tabs>
          <w:tab w:leader="none" w:pos="360" w:val="left"/>
        </w:tabs>
        <w:numPr>
          <w:ilvl w:val="0"/>
          <w:numId w:val="4"/>
        </w:numPr>
        <w:rPr>
          <w:rFonts w:ascii="MS PGothic" w:cs="MS PGothic" w:eastAsia="MS PGothic" w:hAnsi="MS PGothic"/>
          <w:sz w:val="13"/>
          <w:szCs w:val="13"/>
          <w:color w:val="auto"/>
        </w:rPr>
      </w:pPr>
      <w:r>
        <w:rPr>
          <w:rFonts w:ascii="Arial" w:cs="Arial" w:eastAsia="Arial" w:hAnsi="Arial"/>
          <w:sz w:val="13"/>
          <w:szCs w:val="13"/>
          <w:b w:val="1"/>
          <w:bCs w:val="1"/>
          <w:color w:val="auto"/>
        </w:rPr>
        <w:t>SHELL COMPANY REPORT PURSUANT TO SECTION 13 OR 15(d) OF THE SECURITIES EXCHANGE ACT OF 1934</w:t>
      </w:r>
    </w:p>
    <w:p>
      <w:pPr>
        <w:spacing w:after="0" w:line="42" w:lineRule="exact"/>
        <w:rPr>
          <w:sz w:val="24"/>
          <w:szCs w:val="24"/>
          <w:color w:val="auto"/>
        </w:rPr>
      </w:pPr>
    </w:p>
    <w:p>
      <w:pPr>
        <w:jc w:val="right"/>
        <w:ind w:right="4820"/>
        <w:spacing w:after="0"/>
        <w:rPr>
          <w:sz w:val="20"/>
          <w:szCs w:val="20"/>
          <w:color w:val="auto"/>
        </w:rPr>
      </w:pPr>
      <w:r>
        <w:rPr>
          <w:rFonts w:ascii="Arial" w:cs="Arial" w:eastAsia="Arial" w:hAnsi="Arial"/>
          <w:sz w:val="10"/>
          <w:szCs w:val="10"/>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4208780</wp:posOffset>
            </wp:positionH>
            <wp:positionV relativeFrom="paragraph">
              <wp:posOffset>0</wp:posOffset>
            </wp:positionV>
            <wp:extent cx="3721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2110" cy="6985"/>
                    </a:xfrm>
                    <a:prstGeom prst="rect">
                      <a:avLst/>
                    </a:prstGeom>
                    <a:noFill/>
                  </pic:spPr>
                </pic:pic>
              </a:graphicData>
            </a:graphic>
          </wp:anchor>
        </w:drawing>
      </w:r>
    </w:p>
    <w:p>
      <w:pPr>
        <w:spacing w:after="0" w:line="27" w:lineRule="exact"/>
        <w:rPr>
          <w:sz w:val="24"/>
          <w:szCs w:val="24"/>
          <w:color w:val="auto"/>
        </w:rPr>
      </w:pPr>
    </w:p>
    <w:p>
      <w:pPr>
        <w:jc w:val="right"/>
        <w:ind w:right="4840"/>
        <w:spacing w:after="0"/>
        <w:rPr>
          <w:sz w:val="20"/>
          <w:szCs w:val="20"/>
          <w:color w:val="auto"/>
        </w:rPr>
      </w:pPr>
      <w:r>
        <w:rPr>
          <w:rFonts w:ascii="Arial" w:cs="Arial" w:eastAsia="Arial" w:hAnsi="Arial"/>
          <w:sz w:val="10"/>
          <w:szCs w:val="10"/>
          <w:b w:val="1"/>
          <w:bCs w:val="1"/>
          <w:color w:val="auto"/>
        </w:rPr>
        <w:t>Commission file number 001-38067</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VERONA PHARMA PLC</w:t>
      </w:r>
    </w:p>
    <w:p>
      <w:pPr>
        <w:spacing w:after="0" w:line="127" w:lineRule="exact"/>
        <w:rPr>
          <w:sz w:val="24"/>
          <w:szCs w:val="24"/>
          <w:color w:val="auto"/>
        </w:rPr>
      </w:pPr>
    </w:p>
    <w:p>
      <w:pPr>
        <w:ind w:left="3940"/>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111" w:lineRule="exact"/>
        <w:rPr>
          <w:sz w:val="24"/>
          <w:szCs w:val="24"/>
          <w:color w:val="auto"/>
        </w:rPr>
      </w:pPr>
    </w:p>
    <w:p>
      <w:pPr>
        <w:ind w:left="5340"/>
        <w:spacing w:after="0"/>
        <w:rPr>
          <w:sz w:val="20"/>
          <w:szCs w:val="20"/>
          <w:color w:val="auto"/>
        </w:rPr>
      </w:pPr>
      <w:r>
        <w:rPr>
          <w:rFonts w:ascii="Arial" w:cs="Arial" w:eastAsia="Arial" w:hAnsi="Arial"/>
          <w:sz w:val="11"/>
          <w:szCs w:val="11"/>
          <w:b w:val="1"/>
          <w:bCs w:val="1"/>
          <w:color w:val="auto"/>
        </w:rPr>
        <w:t>Not Applicable</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1"/>
          <w:szCs w:val="11"/>
          <w:color w:val="auto"/>
        </w:rPr>
        <w:t>(Translation of Registrant's Name into English)</w:t>
      </w:r>
    </w:p>
    <w:p>
      <w:pPr>
        <w:spacing w:after="0" w:line="133"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United Kingdom</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9"/>
          <w:szCs w:val="9"/>
          <w:b w:val="1"/>
          <w:bCs w:val="1"/>
          <w:color w:val="auto"/>
        </w:rPr>
        <w:t>(Jurisdiction of incorporation or organization)</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3 More London Riverside</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London SE1 2RE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United Kingdom</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David Zaccardelli</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Chief Executive Officer</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Verona Pharma plc</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3 More London Riverside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London SE1 2RE</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United Kingdom</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Tel: +44 303 283 4200</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9"/>
          <w:szCs w:val="9"/>
          <w:b w:val="1"/>
          <w:bCs w:val="1"/>
          <w:color w:val="auto"/>
        </w:rPr>
        <w:t>(Name, Telephone, E-mail and/or Facsimile number and Address of Company Contact Person)</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Securities registered or to be registered pursuant to Section 12(b) of the Act:</w:t>
      </w:r>
    </w:p>
    <w:p>
      <w:pPr>
        <w:spacing w:after="0" w:line="169" w:lineRule="exact"/>
        <w:rPr>
          <w:sz w:val="24"/>
          <w:szCs w:val="24"/>
          <w:color w:val="auto"/>
        </w:rPr>
      </w:pPr>
    </w:p>
    <w:tbl>
      <w:tblPr>
        <w:tblLayout w:type="fixed"/>
        <w:tblInd w:w="1540" w:type="dxa"/>
        <w:tblCellMar>
          <w:top w:w="0" w:type="dxa"/>
          <w:left w:w="0" w:type="dxa"/>
          <w:bottom w:w="0" w:type="dxa"/>
          <w:right w:w="0" w:type="dxa"/>
        </w:tblCellMar>
      </w:tblPr>
      <w:tr>
        <w:trPr>
          <w:trHeight w:val="125"/>
        </w:trPr>
        <w:tc>
          <w:tcPr>
            <w:tcW w:w="2800" w:type="dxa"/>
            <w:vAlign w:val="bottom"/>
          </w:tcPr>
          <w:p>
            <w:pPr>
              <w:jc w:val="center"/>
              <w:ind w:right="992"/>
              <w:spacing w:after="0"/>
              <w:rPr>
                <w:sz w:val="20"/>
                <w:szCs w:val="20"/>
                <w:color w:val="auto"/>
              </w:rPr>
            </w:pPr>
            <w:r>
              <w:rPr>
                <w:rFonts w:ascii="Arial" w:cs="Arial" w:eastAsia="Arial" w:hAnsi="Arial"/>
                <w:sz w:val="9"/>
                <w:szCs w:val="9"/>
                <w:b w:val="1"/>
                <w:bCs w:val="1"/>
                <w:color w:val="auto"/>
                <w:w w:val="97"/>
              </w:rPr>
              <w:t>Title of each class</w:t>
            </w:r>
          </w:p>
        </w:tc>
        <w:tc>
          <w:tcPr>
            <w:tcW w:w="2600" w:type="dxa"/>
            <w:vAlign w:val="bottom"/>
            <w:vMerge w:val="restart"/>
          </w:tcPr>
          <w:p>
            <w:pPr>
              <w:jc w:val="center"/>
              <w:ind w:left="153"/>
              <w:spacing w:after="0"/>
              <w:rPr>
                <w:sz w:val="20"/>
                <w:szCs w:val="20"/>
                <w:color w:val="auto"/>
              </w:rPr>
            </w:pPr>
            <w:r>
              <w:rPr>
                <w:rFonts w:ascii="Arial" w:cs="Arial" w:eastAsia="Arial" w:hAnsi="Arial"/>
                <w:sz w:val="9"/>
                <w:szCs w:val="9"/>
                <w:b w:val="1"/>
                <w:bCs w:val="1"/>
                <w:color w:val="auto"/>
                <w:w w:val="97"/>
              </w:rPr>
              <w:t>Trading symbol(s)</w:t>
            </w:r>
          </w:p>
        </w:tc>
        <w:tc>
          <w:tcPr>
            <w:tcW w:w="3420" w:type="dxa"/>
            <w:vAlign w:val="bottom"/>
          </w:tcPr>
          <w:p>
            <w:pPr>
              <w:jc w:val="center"/>
              <w:ind w:left="753"/>
              <w:spacing w:after="0"/>
              <w:rPr>
                <w:sz w:val="20"/>
                <w:szCs w:val="20"/>
                <w:color w:val="auto"/>
              </w:rPr>
            </w:pPr>
            <w:r>
              <w:rPr>
                <w:rFonts w:ascii="Arial" w:cs="Arial" w:eastAsia="Arial" w:hAnsi="Arial"/>
                <w:sz w:val="9"/>
                <w:szCs w:val="9"/>
                <w:b w:val="1"/>
                <w:bCs w:val="1"/>
                <w:color w:val="auto"/>
                <w:w w:val="95"/>
              </w:rPr>
              <w:t>Name of each exchange on which registered</w:t>
            </w:r>
          </w:p>
        </w:tc>
        <w:tc>
          <w:tcPr>
            <w:tcW w:w="0" w:type="dxa"/>
            <w:vAlign w:val="bottom"/>
          </w:tcPr>
          <w:p>
            <w:pPr>
              <w:spacing w:after="0"/>
              <w:rPr>
                <w:sz w:val="1"/>
                <w:szCs w:val="1"/>
                <w:color w:val="auto"/>
              </w:rPr>
            </w:pPr>
          </w:p>
        </w:tc>
      </w:tr>
      <w:tr>
        <w:trPr>
          <w:trHeight w:val="97"/>
        </w:trPr>
        <w:tc>
          <w:tcPr>
            <w:tcW w:w="280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800" w:type="dxa"/>
            <w:vAlign w:val="bottom"/>
          </w:tcPr>
          <w:p>
            <w:pPr>
              <w:jc w:val="center"/>
              <w:ind w:right="992"/>
              <w:spacing w:after="0"/>
              <w:rPr>
                <w:sz w:val="20"/>
                <w:szCs w:val="20"/>
                <w:color w:val="auto"/>
              </w:rPr>
            </w:pPr>
            <w:r>
              <w:rPr>
                <w:rFonts w:ascii="Arial" w:cs="Arial" w:eastAsia="Arial" w:hAnsi="Arial"/>
                <w:sz w:val="10"/>
                <w:szCs w:val="10"/>
                <w:b w:val="1"/>
                <w:bCs w:val="1"/>
                <w:color w:val="auto"/>
              </w:rPr>
              <w:t>American Depositary Shares,</w:t>
            </w:r>
          </w:p>
        </w:tc>
        <w:tc>
          <w:tcPr>
            <w:tcW w:w="26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jc w:val="center"/>
              <w:ind w:right="992"/>
              <w:spacing w:after="0" w:line="108" w:lineRule="exact"/>
              <w:rPr>
                <w:sz w:val="20"/>
                <w:szCs w:val="20"/>
                <w:color w:val="auto"/>
              </w:rPr>
            </w:pPr>
            <w:r>
              <w:rPr>
                <w:rFonts w:ascii="Arial" w:cs="Arial" w:eastAsia="Arial" w:hAnsi="Arial"/>
                <w:sz w:val="10"/>
                <w:szCs w:val="10"/>
                <w:b w:val="1"/>
                <w:bCs w:val="1"/>
                <w:color w:val="auto"/>
              </w:rPr>
              <w:t>each representing 8 ordinary shares,</w:t>
            </w:r>
          </w:p>
        </w:tc>
        <w:tc>
          <w:tcPr>
            <w:tcW w:w="26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800" w:type="dxa"/>
            <w:vAlign w:val="bottom"/>
          </w:tcPr>
          <w:p>
            <w:pPr>
              <w:jc w:val="center"/>
              <w:ind w:right="992"/>
              <w:spacing w:after="0"/>
              <w:rPr>
                <w:sz w:val="20"/>
                <w:szCs w:val="20"/>
                <w:color w:val="auto"/>
              </w:rPr>
            </w:pPr>
            <w:r>
              <w:rPr>
                <w:rFonts w:ascii="Arial" w:cs="Arial" w:eastAsia="Arial" w:hAnsi="Arial"/>
                <w:sz w:val="10"/>
                <w:szCs w:val="10"/>
                <w:b w:val="1"/>
                <w:bCs w:val="1"/>
                <w:color w:val="auto"/>
              </w:rPr>
              <w:t>nominal value £0.05 per share</w:t>
            </w:r>
          </w:p>
        </w:tc>
        <w:tc>
          <w:tcPr>
            <w:tcW w:w="2600" w:type="dxa"/>
            <w:vAlign w:val="bottom"/>
          </w:tcPr>
          <w:p>
            <w:pPr>
              <w:jc w:val="center"/>
              <w:ind w:left="153"/>
              <w:spacing w:after="0"/>
              <w:rPr>
                <w:sz w:val="20"/>
                <w:szCs w:val="20"/>
                <w:color w:val="auto"/>
              </w:rPr>
            </w:pPr>
            <w:r>
              <w:rPr>
                <w:rFonts w:ascii="Arial" w:cs="Arial" w:eastAsia="Arial" w:hAnsi="Arial"/>
                <w:sz w:val="10"/>
                <w:szCs w:val="10"/>
                <w:b w:val="1"/>
                <w:bCs w:val="1"/>
                <w:color w:val="auto"/>
                <w:w w:val="98"/>
              </w:rPr>
              <w:t>VRNA</w:t>
            </w:r>
          </w:p>
        </w:tc>
        <w:tc>
          <w:tcPr>
            <w:tcW w:w="3420" w:type="dxa"/>
            <w:vAlign w:val="bottom"/>
          </w:tcPr>
          <w:p>
            <w:pPr>
              <w:jc w:val="center"/>
              <w:ind w:left="773"/>
              <w:spacing w:after="0"/>
              <w:rPr>
                <w:sz w:val="20"/>
                <w:szCs w:val="20"/>
                <w:color w:val="auto"/>
              </w:rPr>
            </w:pPr>
            <w:r>
              <w:rPr>
                <w:rFonts w:ascii="Arial" w:cs="Arial" w:eastAsia="Arial" w:hAnsi="Arial"/>
                <w:sz w:val="10"/>
                <w:szCs w:val="10"/>
                <w:b w:val="1"/>
                <w:bCs w:val="1"/>
                <w:color w:val="auto"/>
              </w:rPr>
              <w:t>The Nasdaq Stock Market LLC (Nasdaq Global Market)</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3760"/>
        <w:spacing w:after="0"/>
        <w:rPr>
          <w:sz w:val="20"/>
          <w:szCs w:val="20"/>
          <w:color w:val="auto"/>
        </w:rPr>
      </w:pPr>
      <w:r>
        <w:rPr>
          <w:rFonts w:ascii="Arial" w:cs="Arial" w:eastAsia="Arial" w:hAnsi="Arial"/>
          <w:sz w:val="10"/>
          <w:szCs w:val="10"/>
          <w:b w:val="1"/>
          <w:bCs w:val="1"/>
          <w:color w:val="auto"/>
        </w:rPr>
        <w:t>Securities registered or to be registered pursuant to Section 12(g) of the Act: None</w:t>
      </w:r>
    </w:p>
    <w:p>
      <w:pPr>
        <w:spacing w:after="0" w:line="47" w:lineRule="exact"/>
        <w:rPr>
          <w:sz w:val="24"/>
          <w:szCs w:val="24"/>
          <w:color w:val="auto"/>
        </w:rPr>
      </w:pPr>
    </w:p>
    <w:p>
      <w:pPr>
        <w:ind w:left="3520"/>
        <w:spacing w:after="0"/>
        <w:rPr>
          <w:sz w:val="20"/>
          <w:szCs w:val="20"/>
          <w:color w:val="auto"/>
        </w:rPr>
      </w:pPr>
      <w:r>
        <w:rPr>
          <w:rFonts w:ascii="Arial" w:cs="Arial" w:eastAsia="Arial" w:hAnsi="Arial"/>
          <w:sz w:val="10"/>
          <w:szCs w:val="10"/>
          <w:b w:val="1"/>
          <w:bCs w:val="1"/>
          <w:color w:val="auto"/>
        </w:rPr>
        <w:t>Securities for which there is a reporting obligation pursuant to Section 15(d) of the Act: None</w:t>
      </w:r>
    </w:p>
    <w:p>
      <w:pPr>
        <w:spacing w:after="0" w:line="59" w:lineRule="exact"/>
        <w:rPr>
          <w:sz w:val="24"/>
          <w:szCs w:val="24"/>
          <w:color w:val="auto"/>
        </w:rPr>
      </w:pPr>
    </w:p>
    <w:p>
      <w:pPr>
        <w:ind w:left="260"/>
        <w:spacing w:after="0"/>
        <w:rPr>
          <w:sz w:val="20"/>
          <w:szCs w:val="20"/>
          <w:color w:val="auto"/>
        </w:rPr>
      </w:pPr>
      <w:r>
        <w:rPr>
          <w:rFonts w:ascii="Arial" w:cs="Arial" w:eastAsia="Arial" w:hAnsi="Arial"/>
          <w:sz w:val="10"/>
          <w:szCs w:val="10"/>
          <w:color w:val="auto"/>
        </w:rPr>
        <w:t>Indicate the number of outstanding shares of each of the issuer’s classes of capital or common stock as of the close of the period covered by the annual report.</w:t>
      </w:r>
    </w:p>
    <w:p>
      <w:pPr>
        <w:spacing w:after="0" w:line="35" w:lineRule="exact"/>
        <w:rPr>
          <w:sz w:val="24"/>
          <w:szCs w:val="24"/>
          <w:color w:val="auto"/>
        </w:rPr>
      </w:pPr>
    </w:p>
    <w:p>
      <w:pPr>
        <w:ind w:left="3700"/>
        <w:spacing w:after="0"/>
        <w:rPr>
          <w:sz w:val="20"/>
          <w:szCs w:val="20"/>
          <w:color w:val="auto"/>
        </w:rPr>
      </w:pPr>
      <w:r>
        <w:rPr>
          <w:rFonts w:ascii="Arial" w:cs="Arial" w:eastAsia="Arial" w:hAnsi="Arial"/>
          <w:sz w:val="10"/>
          <w:szCs w:val="10"/>
          <w:b w:val="1"/>
          <w:bCs w:val="1"/>
          <w:color w:val="auto"/>
        </w:rPr>
        <w:t>Ordinary shares, nominal value £0.05 per share: 105,326,638 as of December 31, 2019</w:t>
      </w:r>
    </w:p>
    <w:p>
      <w:pPr>
        <w:spacing w:after="0" w:line="119" w:lineRule="exact"/>
        <w:rPr>
          <w:sz w:val="24"/>
          <w:szCs w:val="24"/>
          <w:color w:val="auto"/>
        </w:rPr>
      </w:pPr>
    </w:p>
    <w:p>
      <w:pPr>
        <w:spacing w:after="0" w:line="115" w:lineRule="exact"/>
        <w:tabs>
          <w:tab w:leader="none" w:pos="5280" w:val="left"/>
        </w:tabs>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0"/>
          <w:szCs w:val="10"/>
          <w:color w:val="auto"/>
        </w:rPr>
        <w:t xml:space="preserve">☐ </w:t>
      </w:r>
      <w:r>
        <w:rPr>
          <w:rFonts w:ascii="Arial" w:cs="Arial" w:eastAsia="Arial" w:hAnsi="Arial"/>
          <w:sz w:val="10"/>
          <w:szCs w:val="10"/>
          <w:color w:val="auto"/>
        </w:rPr>
        <w:t>Yes</w:t>
      </w:r>
      <w:r>
        <w:rPr>
          <w:rFonts w:ascii="MS PGothic" w:cs="MS PGothic" w:eastAsia="MS PGothic" w:hAnsi="MS PGothic"/>
          <w:sz w:val="10"/>
          <w:szCs w:val="10"/>
          <w:color w:val="auto"/>
        </w:rPr>
        <w:t xml:space="preserve">  ☒ </w:t>
      </w:r>
      <w:r>
        <w:rPr>
          <w:rFonts w:ascii="Arial" w:cs="Arial" w:eastAsia="Arial" w:hAnsi="Arial"/>
          <w:sz w:val="10"/>
          <w:szCs w:val="10"/>
          <w:color w:val="auto"/>
        </w:rPr>
        <w:t>No</w:t>
      </w:r>
    </w:p>
    <w:p>
      <w:pPr>
        <w:spacing w:after="0" w:line="42" w:lineRule="exact"/>
        <w:rPr>
          <w:sz w:val="24"/>
          <w:szCs w:val="24"/>
          <w:color w:val="auto"/>
        </w:rPr>
      </w:pPr>
    </w:p>
    <w:p>
      <w:pPr>
        <w:spacing w:after="0" w:line="115" w:lineRule="exact"/>
        <w:tabs>
          <w:tab w:leader="none" w:pos="8280" w:val="left"/>
        </w:tabs>
        <w:rPr>
          <w:sz w:val="20"/>
          <w:szCs w:val="20"/>
          <w:color w:val="auto"/>
        </w:rPr>
      </w:pPr>
      <w:r>
        <w:rPr>
          <w:rFonts w:ascii="Arial" w:cs="Arial" w:eastAsia="Arial" w:hAnsi="Arial"/>
          <w:sz w:val="10"/>
          <w:szCs w:val="10"/>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MS PGothic" w:cs="MS PGothic" w:eastAsia="MS PGothic" w:hAnsi="MS PGothic"/>
          <w:sz w:val="10"/>
          <w:szCs w:val="10"/>
          <w:color w:val="auto"/>
        </w:rPr>
        <w:t xml:space="preserve">☐ </w:t>
      </w:r>
      <w:r>
        <w:rPr>
          <w:rFonts w:ascii="Arial" w:cs="Arial" w:eastAsia="Arial" w:hAnsi="Arial"/>
          <w:sz w:val="10"/>
          <w:szCs w:val="10"/>
          <w:color w:val="auto"/>
        </w:rPr>
        <w:t>Yes</w:t>
      </w:r>
      <w:r>
        <w:rPr>
          <w:rFonts w:ascii="MS PGothic" w:cs="MS PGothic" w:eastAsia="MS PGothic" w:hAnsi="MS PGothic"/>
          <w:sz w:val="10"/>
          <w:szCs w:val="10"/>
          <w:color w:val="auto"/>
        </w:rPr>
        <w:t xml:space="preserve">  ☒ </w:t>
      </w:r>
      <w:r>
        <w:rPr>
          <w:rFonts w:ascii="Arial" w:cs="Arial" w:eastAsia="Arial" w:hAnsi="Arial"/>
          <w:sz w:val="10"/>
          <w:szCs w:val="10"/>
          <w:color w:val="auto"/>
        </w:rPr>
        <w:t>No</w:t>
      </w:r>
    </w:p>
    <w:p>
      <w:pPr>
        <w:spacing w:after="0" w:line="34" w:lineRule="exact"/>
        <w:rPr>
          <w:sz w:val="24"/>
          <w:szCs w:val="24"/>
          <w:color w:val="auto"/>
        </w:rPr>
      </w:pPr>
    </w:p>
    <w:p>
      <w:pPr>
        <w:ind w:right="180"/>
        <w:spacing w:after="0" w:line="125"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0"/>
          <w:szCs w:val="10"/>
          <w:color w:val="auto"/>
        </w:rPr>
        <w:t>☒</w:t>
      </w:r>
      <w:r>
        <w:rPr>
          <w:rFonts w:ascii="Arial" w:cs="Arial" w:eastAsia="Arial" w:hAnsi="Arial"/>
          <w:sz w:val="10"/>
          <w:szCs w:val="10"/>
          <w:color w:val="auto"/>
        </w:rPr>
        <w:t xml:space="preserve"> Yes </w:t>
      </w:r>
      <w:r>
        <w:rPr>
          <w:rFonts w:ascii="MS PGothic" w:cs="MS PGothic" w:eastAsia="MS PGothic" w:hAnsi="MS PGothic"/>
          <w:sz w:val="10"/>
          <w:szCs w:val="10"/>
          <w:color w:val="auto"/>
        </w:rPr>
        <w:t>☐</w:t>
      </w:r>
      <w:r>
        <w:rPr>
          <w:rFonts w:ascii="Arial" w:cs="Arial" w:eastAsia="Arial" w:hAnsi="Arial"/>
          <w:sz w:val="10"/>
          <w:szCs w:val="10"/>
          <w:color w:val="auto"/>
        </w:rPr>
        <w:t xml:space="preserve"> No</w:t>
      </w:r>
    </w:p>
    <w:p>
      <w:pPr>
        <w:spacing w:after="0" w:line="9" w:lineRule="exact"/>
        <w:rPr>
          <w:sz w:val="24"/>
          <w:szCs w:val="24"/>
          <w:color w:val="auto"/>
        </w:rPr>
      </w:pPr>
    </w:p>
    <w:p>
      <w:pPr>
        <w:ind w:right="40"/>
        <w:spacing w:after="0" w:line="125"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0"/>
          <w:szCs w:val="10"/>
          <w:color w:val="auto"/>
        </w:rPr>
        <w:t>☒</w:t>
      </w:r>
      <w:r>
        <w:rPr>
          <w:rFonts w:ascii="Arial" w:cs="Arial" w:eastAsia="Arial" w:hAnsi="Arial"/>
          <w:sz w:val="10"/>
          <w:szCs w:val="10"/>
          <w:color w:val="auto"/>
        </w:rPr>
        <w:t xml:space="preserve"> Yes </w:t>
      </w:r>
      <w:r>
        <w:rPr>
          <w:rFonts w:ascii="MS PGothic" w:cs="MS PGothic" w:eastAsia="MS PGothic" w:hAnsi="MS PGothic"/>
          <w:sz w:val="10"/>
          <w:szCs w:val="10"/>
          <w:color w:val="auto"/>
        </w:rPr>
        <w:t>☐</w:t>
      </w:r>
      <w:r>
        <w:rPr>
          <w:rFonts w:ascii="Arial" w:cs="Arial" w:eastAsia="Arial" w:hAnsi="Arial"/>
          <w:sz w:val="10"/>
          <w:szCs w:val="10"/>
          <w:color w:val="auto"/>
        </w:rPr>
        <w:t xml:space="preserve"> No</w:t>
      </w:r>
    </w:p>
    <w:p>
      <w:pPr>
        <w:spacing w:after="0" w:line="9" w:lineRule="exact"/>
        <w:rPr>
          <w:sz w:val="24"/>
          <w:szCs w:val="24"/>
          <w:color w:val="auto"/>
        </w:rPr>
      </w:pPr>
    </w:p>
    <w:p>
      <w:pPr>
        <w:spacing w:after="0" w:line="249"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 w:lineRule="exact"/>
        <w:rPr>
          <w:sz w:val="24"/>
          <w:szCs w:val="24"/>
          <w:color w:val="auto"/>
        </w:rPr>
      </w:pPr>
    </w:p>
    <w:p>
      <w:pPr>
        <w:ind w:left="2980"/>
        <w:spacing w:after="0" w:line="115" w:lineRule="exact"/>
        <w:tabs>
          <w:tab w:leader="none" w:pos="4460" w:val="left"/>
          <w:tab w:leader="none" w:pos="5680" w:val="left"/>
          <w:tab w:leader="none" w:pos="7120" w:val="left"/>
        </w:tabs>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44" w:lineRule="exact"/>
        <w:rPr>
          <w:sz w:val="24"/>
          <w:szCs w:val="24"/>
          <w:color w:val="auto"/>
        </w:rPr>
      </w:pPr>
    </w:p>
    <w:p>
      <w:pPr>
        <w:ind w:right="220"/>
        <w:spacing w:after="0" w:line="125" w:lineRule="exact"/>
        <w:rPr>
          <w:sz w:val="20"/>
          <w:szCs w:val="20"/>
          <w:color w:val="auto"/>
        </w:rPr>
      </w:pPr>
      <w:r>
        <w:rPr>
          <w:rFonts w:ascii="Arial" w:cs="Arial" w:eastAsia="Arial" w:hAnsi="Arial"/>
          <w:sz w:val="10"/>
          <w:szCs w:val="10"/>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which basis of accounting the registrant has used to prepare the financial statements included in this filing:</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980" w:type="dxa"/>
            <w:vAlign w:val="bottom"/>
          </w:tcPr>
          <w:p>
            <w:pPr>
              <w:spacing w:after="0"/>
              <w:rPr>
                <w:sz w:val="10"/>
                <w:szCs w:val="10"/>
                <w:color w:val="auto"/>
              </w:rPr>
            </w:pPr>
          </w:p>
        </w:tc>
        <w:tc>
          <w:tcPr>
            <w:tcW w:w="4580" w:type="dxa"/>
            <w:vAlign w:val="bottom"/>
            <w:gridSpan w:val="2"/>
          </w:tcPr>
          <w:p>
            <w:pPr>
              <w:ind w:left="1780"/>
              <w:spacing w:after="0"/>
              <w:rPr>
                <w:sz w:val="20"/>
                <w:szCs w:val="20"/>
                <w:color w:val="auto"/>
              </w:rPr>
            </w:pPr>
            <w:r>
              <w:rPr>
                <w:rFonts w:ascii="Arial" w:cs="Arial" w:eastAsia="Arial" w:hAnsi="Arial"/>
                <w:sz w:val="10"/>
                <w:szCs w:val="10"/>
                <w:color w:val="auto"/>
              </w:rPr>
              <w:t>International Financial Reporting Standards as issued</w:t>
            </w:r>
          </w:p>
        </w:tc>
        <w:tc>
          <w:tcPr>
            <w:tcW w:w="3360" w:type="dxa"/>
            <w:vAlign w:val="bottom"/>
          </w:tcPr>
          <w:p>
            <w:pPr>
              <w:spacing w:after="0"/>
              <w:rPr>
                <w:sz w:val="10"/>
                <w:szCs w:val="10"/>
                <w:color w:val="auto"/>
              </w:rPr>
            </w:pPr>
          </w:p>
        </w:tc>
      </w:tr>
      <w:tr>
        <w:trPr>
          <w:trHeight w:val="168"/>
        </w:trPr>
        <w:tc>
          <w:tcPr>
            <w:tcW w:w="2980" w:type="dxa"/>
            <w:vAlign w:val="bottom"/>
          </w:tcPr>
          <w:p>
            <w:pPr>
              <w:ind w:left="560"/>
              <w:spacing w:after="0" w:line="115" w:lineRule="exact"/>
              <w:rPr>
                <w:sz w:val="20"/>
                <w:szCs w:val="20"/>
                <w:color w:val="auto"/>
              </w:rPr>
            </w:pPr>
            <w:r>
              <w:rPr>
                <w:rFonts w:ascii="Arial" w:cs="Arial" w:eastAsia="Arial" w:hAnsi="Arial"/>
                <w:sz w:val="10"/>
                <w:szCs w:val="10"/>
                <w:color w:val="auto"/>
              </w:rPr>
              <w:t xml:space="preserve">U.S. GAAP </w:t>
            </w:r>
            <w:r>
              <w:rPr>
                <w:rFonts w:ascii="MS PGothic" w:cs="MS PGothic" w:eastAsia="MS PGothic" w:hAnsi="MS PGothic"/>
                <w:sz w:val="10"/>
                <w:szCs w:val="10"/>
                <w:color w:val="auto"/>
              </w:rPr>
              <w:t>☐</w:t>
            </w:r>
          </w:p>
        </w:tc>
        <w:tc>
          <w:tcPr>
            <w:tcW w:w="4020" w:type="dxa"/>
            <w:vAlign w:val="bottom"/>
          </w:tcPr>
          <w:p>
            <w:pPr>
              <w:ind w:left="1820"/>
              <w:spacing w:after="0"/>
              <w:rPr>
                <w:sz w:val="20"/>
                <w:szCs w:val="20"/>
                <w:color w:val="auto"/>
              </w:rPr>
            </w:pPr>
            <w:r>
              <w:rPr>
                <w:rFonts w:ascii="Arial" w:cs="Arial" w:eastAsia="Arial" w:hAnsi="Arial"/>
                <w:sz w:val="10"/>
                <w:szCs w:val="10"/>
                <w:color w:val="auto"/>
              </w:rPr>
              <w:t>by the International Accounting Standards Board</w:t>
            </w:r>
          </w:p>
        </w:tc>
        <w:tc>
          <w:tcPr>
            <w:tcW w:w="560" w:type="dxa"/>
            <w:vAlign w:val="bottom"/>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3360" w:type="dxa"/>
            <w:vAlign w:val="bottom"/>
          </w:tcPr>
          <w:p>
            <w:pPr>
              <w:ind w:left="2960"/>
              <w:spacing w:after="0" w:line="115" w:lineRule="exact"/>
              <w:rPr>
                <w:sz w:val="20"/>
                <w:szCs w:val="20"/>
                <w:color w:val="auto"/>
              </w:rPr>
            </w:pPr>
            <w:r>
              <w:rPr>
                <w:rFonts w:ascii="Arial" w:cs="Arial" w:eastAsia="Arial" w:hAnsi="Arial"/>
                <w:sz w:val="10"/>
                <w:szCs w:val="10"/>
                <w:color w:val="auto"/>
              </w:rPr>
              <w:t xml:space="preserve">Other </w:t>
            </w:r>
            <w:r>
              <w:rPr>
                <w:rFonts w:ascii="MS PGothic" w:cs="MS PGothic" w:eastAsia="MS PGothic" w:hAnsi="MS PGothic"/>
                <w:sz w:val="10"/>
                <w:szCs w:val="10"/>
                <w:color w:val="auto"/>
              </w:rPr>
              <w:t>☐</w:t>
            </w:r>
          </w:p>
        </w:tc>
      </w:tr>
      <w:tr>
        <w:trPr>
          <w:trHeight w:val="172"/>
        </w:trPr>
        <w:tc>
          <w:tcPr>
            <w:tcW w:w="7000" w:type="dxa"/>
            <w:vAlign w:val="bottom"/>
            <w:gridSpan w:val="2"/>
          </w:tcPr>
          <w:p>
            <w:pPr>
              <w:spacing w:after="0"/>
              <w:rPr>
                <w:sz w:val="20"/>
                <w:szCs w:val="20"/>
                <w:color w:val="auto"/>
              </w:rPr>
            </w:pPr>
            <w:r>
              <w:rPr>
                <w:rFonts w:ascii="Arial" w:cs="Arial" w:eastAsia="Arial" w:hAnsi="Arial"/>
                <w:sz w:val="10"/>
                <w:szCs w:val="10"/>
                <w:color w:val="auto"/>
              </w:rPr>
              <w:t>If “Other” has been checked in response to the previous question, indicate by check mark which financial statement item the registrant has elected to follow.</w:t>
            </w:r>
          </w:p>
        </w:tc>
        <w:tc>
          <w:tcPr>
            <w:tcW w:w="560" w:type="dxa"/>
            <w:vAlign w:val="bottom"/>
          </w:tcPr>
          <w:p>
            <w:pPr>
              <w:ind w:left="40"/>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Item 17</w:t>
            </w:r>
          </w:p>
        </w:tc>
        <w:tc>
          <w:tcPr>
            <w:tcW w:w="3360" w:type="dxa"/>
            <w:vAlign w:val="bottom"/>
          </w:tcPr>
          <w:p>
            <w:pPr>
              <w:ind w:left="60"/>
              <w:spacing w:after="0" w:line="11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Item 18</w:t>
            </w:r>
          </w:p>
        </w:tc>
      </w:tr>
      <w:tr>
        <w:trPr>
          <w:trHeight w:val="162"/>
        </w:trPr>
        <w:tc>
          <w:tcPr>
            <w:tcW w:w="7000" w:type="dxa"/>
            <w:vAlign w:val="bottom"/>
            <w:gridSpan w:val="2"/>
          </w:tcPr>
          <w:p>
            <w:pPr>
              <w:spacing w:after="0" w:line="115" w:lineRule="exact"/>
              <w:rPr>
                <w:sz w:val="20"/>
                <w:szCs w:val="20"/>
                <w:color w:val="auto"/>
              </w:rPr>
            </w:pPr>
            <w:r>
              <w:rPr>
                <w:rFonts w:ascii="Arial" w:cs="Arial" w:eastAsia="Arial" w:hAnsi="Arial"/>
                <w:sz w:val="10"/>
                <w:szCs w:val="10"/>
                <w:color w:val="auto"/>
              </w:rPr>
              <w:t xml:space="preserve">If this is an annual report, indicate by check mark whether the registrant is a shell company (as defined in Rule 12b-2 of the Exchange Act).  </w:t>
            </w:r>
            <w:r>
              <w:rPr>
                <w:rFonts w:ascii="MS PGothic" w:cs="MS PGothic" w:eastAsia="MS PGothic" w:hAnsi="MS PGothic"/>
                <w:sz w:val="10"/>
                <w:szCs w:val="10"/>
                <w:color w:val="auto"/>
              </w:rPr>
              <w:t>☐</w:t>
            </w:r>
            <w:r>
              <w:rPr>
                <w:rFonts w:ascii="Arial" w:cs="Arial" w:eastAsia="Arial" w:hAnsi="Arial"/>
                <w:sz w:val="10"/>
                <w:szCs w:val="10"/>
                <w:color w:val="auto"/>
              </w:rPr>
              <w:t xml:space="preserve"> Yes  </w:t>
            </w:r>
            <w:r>
              <w:rPr>
                <w:rFonts w:ascii="MS PGothic" w:cs="MS PGothic" w:eastAsia="MS PGothic" w:hAnsi="MS PGothic"/>
                <w:sz w:val="10"/>
                <w:szCs w:val="10"/>
                <w:color w:val="auto"/>
              </w:rPr>
              <w:t>☒</w:t>
            </w:r>
            <w:r>
              <w:rPr>
                <w:rFonts w:ascii="Arial" w:cs="Arial" w:eastAsia="Arial" w:hAnsi="Arial"/>
                <w:sz w:val="10"/>
                <w:szCs w:val="10"/>
                <w:color w:val="auto"/>
              </w:rPr>
              <w:t xml:space="preserve"> No</w:t>
            </w:r>
          </w:p>
        </w:tc>
        <w:tc>
          <w:tcPr>
            <w:tcW w:w="560" w:type="dxa"/>
            <w:vAlign w:val="bottom"/>
          </w:tcPr>
          <w:p>
            <w:pPr>
              <w:spacing w:after="0"/>
              <w:rPr>
                <w:sz w:val="14"/>
                <w:szCs w:val="14"/>
                <w:color w:val="auto"/>
              </w:rPr>
            </w:pPr>
          </w:p>
        </w:tc>
        <w:tc>
          <w:tcPr>
            <w:tcW w:w="3360" w:type="dxa"/>
            <w:vAlign w:val="bottom"/>
          </w:tcPr>
          <w:p>
            <w:pPr>
              <w:spacing w:after="0"/>
              <w:rPr>
                <w:sz w:val="14"/>
                <w:szCs w:val="14"/>
                <w:color w:val="auto"/>
              </w:rPr>
            </w:pPr>
          </w:p>
        </w:tc>
      </w:tr>
    </w:tbl>
    <w:p>
      <w:pPr>
        <w:sectPr>
          <w:pgSz w:w="11900" w:h="16838" w:orient="portrait"/>
          <w:cols w:equalWidth="0" w:num="1">
            <w:col w:w="11420"/>
          </w:cols>
          <w:pgMar w:left="220" w:top="990" w:right="25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4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auto"/>
              </w:rPr>
              <w:t>TABLE OF CONTENTS</w:t>
            </w: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15"/>
        </w:trPr>
        <w:tc>
          <w:tcPr>
            <w:tcW w:w="460" w:type="dxa"/>
            <w:vAlign w:val="bottom"/>
          </w:tcPr>
          <w:p>
            <w:pPr>
              <w:spacing w:after="0"/>
              <w:rPr>
                <w:rFonts w:ascii="Arial" w:cs="Arial" w:eastAsia="Arial" w:hAnsi="Arial"/>
                <w:sz w:val="14"/>
                <w:szCs w:val="14"/>
                <w:color w:val="0000EE"/>
                <w:w w:val="97"/>
              </w:rPr>
            </w:pPr>
            <w:hyperlink w:anchor="page4">
              <w:r>
                <w:rPr>
                  <w:rFonts w:ascii="Arial" w:cs="Arial" w:eastAsia="Arial" w:hAnsi="Arial"/>
                  <w:sz w:val="14"/>
                  <w:szCs w:val="14"/>
                  <w:color w:val="0000EE"/>
                  <w:w w:val="97"/>
                </w:rPr>
                <w:t>PART I</w:t>
              </w:r>
            </w:hyperlink>
          </w:p>
        </w:tc>
        <w:tc>
          <w:tcPr>
            <w:tcW w:w="8360" w:type="dxa"/>
            <w:vAlign w:val="bottom"/>
            <w:gridSpan w:val="24"/>
          </w:tcPr>
          <w:p>
            <w:pPr>
              <w:spacing w:after="0"/>
              <w:rPr>
                <w:sz w:val="24"/>
                <w:szCs w:val="24"/>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5"/>
        </w:trPr>
        <w:tc>
          <w:tcPr>
            <w:tcW w:w="8820" w:type="dxa"/>
            <w:vAlign w:val="bottom"/>
            <w:gridSpan w:val="25"/>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Item 1 Identity of Directors, Senior Management and Advisors</w:t>
              </w:r>
            </w:hyperlink>
          </w:p>
        </w:tc>
        <w:tc>
          <w:tcPr>
            <w:tcW w:w="2580" w:type="dxa"/>
            <w:vAlign w:val="bottom"/>
            <w:gridSpan w:val="4"/>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5"/>
        </w:trPr>
        <w:tc>
          <w:tcPr>
            <w:tcW w:w="3900" w:type="dxa"/>
            <w:vAlign w:val="bottom"/>
            <w:gridSpan w:val="20"/>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Item 2 Offer Statistics and Expected Timetable</w:t>
              </w:r>
            </w:hyperlink>
          </w:p>
        </w:tc>
        <w:tc>
          <w:tcPr>
            <w:tcW w:w="4920" w:type="dxa"/>
            <w:vAlign w:val="bottom"/>
            <w:gridSpan w:val="5"/>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5"/>
        </w:trPr>
        <w:tc>
          <w:tcPr>
            <w:tcW w:w="1460" w:type="dxa"/>
            <w:vAlign w:val="bottom"/>
            <w:gridSpan w:val="6"/>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Item 3 Key Information</w:t>
              </w:r>
            </w:hyperlink>
          </w:p>
        </w:tc>
        <w:tc>
          <w:tcPr>
            <w:tcW w:w="1500" w:type="dxa"/>
            <w:vAlign w:val="bottom"/>
            <w:gridSpan w:val="8"/>
          </w:tcPr>
          <w:p>
            <w:pPr>
              <w:spacing w:after="0"/>
              <w:rPr>
                <w:sz w:val="16"/>
                <w:szCs w:val="16"/>
                <w:color w:val="auto"/>
              </w:rPr>
            </w:pPr>
          </w:p>
        </w:tc>
        <w:tc>
          <w:tcPr>
            <w:tcW w:w="5860" w:type="dxa"/>
            <w:vAlign w:val="bottom"/>
            <w:gridSpan w:val="11"/>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4">
              <w:r>
                <w:rPr>
                  <w:rFonts w:ascii="Arial" w:cs="Arial" w:eastAsia="Arial" w:hAnsi="Arial"/>
                  <w:sz w:val="14"/>
                  <w:szCs w:val="14"/>
                  <w:color w:val="0000EE"/>
                </w:rPr>
                <w:t>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5"/>
        </w:trPr>
        <w:tc>
          <w:tcPr>
            <w:tcW w:w="2260" w:type="dxa"/>
            <w:vAlign w:val="bottom"/>
            <w:gridSpan w:val="11"/>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Item 4 Information on the Company</w:t>
              </w:r>
            </w:hyperlink>
          </w:p>
        </w:tc>
        <w:tc>
          <w:tcPr>
            <w:tcW w:w="6560" w:type="dxa"/>
            <w:vAlign w:val="bottom"/>
            <w:gridSpan w:val="14"/>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44">
              <w:r>
                <w:rPr>
                  <w:rFonts w:ascii="Arial" w:cs="Arial" w:eastAsia="Arial" w:hAnsi="Arial"/>
                  <w:sz w:val="14"/>
                  <w:szCs w:val="14"/>
                  <w:color w:val="0000EE"/>
                </w:rPr>
                <w:t>43</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5"/>
        </w:trPr>
        <w:tc>
          <w:tcPr>
            <w:tcW w:w="2380" w:type="dxa"/>
            <w:vAlign w:val="bottom"/>
            <w:gridSpan w:val="12"/>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Item 4A. Unresolved Staff Comments</w:t>
              </w:r>
            </w:hyperlink>
          </w:p>
        </w:tc>
        <w:tc>
          <w:tcPr>
            <w:tcW w:w="6440" w:type="dxa"/>
            <w:vAlign w:val="bottom"/>
            <w:gridSpan w:val="13"/>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72">
              <w:r>
                <w:rPr>
                  <w:rFonts w:ascii="Arial" w:cs="Arial" w:eastAsia="Arial" w:hAnsi="Arial"/>
                  <w:sz w:val="14"/>
                  <w:szCs w:val="14"/>
                  <w:color w:val="0000EE"/>
                </w:rPr>
                <w:t>71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5"/>
        </w:trPr>
        <w:tc>
          <w:tcPr>
            <w:tcW w:w="8820" w:type="dxa"/>
            <w:vAlign w:val="bottom"/>
            <w:gridSpan w:val="25"/>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Item 5 Operating and Financial Review and Prospects</w:t>
              </w:r>
            </w:hyperlink>
          </w:p>
        </w:tc>
        <w:tc>
          <w:tcPr>
            <w:tcW w:w="2580" w:type="dxa"/>
            <w:vAlign w:val="bottom"/>
            <w:gridSpan w:val="4"/>
          </w:tcPr>
          <w:p>
            <w:pPr>
              <w:jc w:val="right"/>
              <w:spacing w:after="0"/>
              <w:rPr>
                <w:rFonts w:ascii="Arial" w:cs="Arial" w:eastAsia="Arial" w:hAnsi="Arial"/>
                <w:sz w:val="14"/>
                <w:szCs w:val="14"/>
                <w:color w:val="0000EE"/>
              </w:rPr>
            </w:pPr>
            <w:hyperlink w:anchor="page73">
              <w:r>
                <w:rPr>
                  <w:rFonts w:ascii="Arial" w:cs="Arial" w:eastAsia="Arial" w:hAnsi="Arial"/>
                  <w:sz w:val="14"/>
                  <w:szCs w:val="14"/>
                  <w:color w:val="0000EE"/>
                </w:rPr>
                <w:t>72</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5"/>
        </w:trPr>
        <w:tc>
          <w:tcPr>
            <w:tcW w:w="3420" w:type="dxa"/>
            <w:vAlign w:val="bottom"/>
            <w:gridSpan w:val="16"/>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Item 6 Directors, Senior Management and Employees</w:t>
              </w:r>
            </w:hyperlink>
          </w:p>
        </w:tc>
        <w:tc>
          <w:tcPr>
            <w:tcW w:w="5400" w:type="dxa"/>
            <w:vAlign w:val="bottom"/>
            <w:gridSpan w:val="9"/>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85">
              <w:r>
                <w:rPr>
                  <w:rFonts w:ascii="Arial" w:cs="Arial" w:eastAsia="Arial" w:hAnsi="Arial"/>
                  <w:sz w:val="14"/>
                  <w:szCs w:val="14"/>
                  <w:color w:val="0000EE"/>
                </w:rPr>
                <w:t>84</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5"/>
        </w:trPr>
        <w:tc>
          <w:tcPr>
            <w:tcW w:w="8820" w:type="dxa"/>
            <w:vAlign w:val="bottom"/>
            <w:gridSpan w:val="25"/>
          </w:tcPr>
          <w:p>
            <w:pPr>
              <w:spacing w:after="0"/>
              <w:rPr>
                <w:rFonts w:ascii="Arial" w:cs="Arial" w:eastAsia="Arial" w:hAnsi="Arial"/>
                <w:sz w:val="14"/>
                <w:szCs w:val="14"/>
                <w:color w:val="0000EE"/>
              </w:rPr>
            </w:pPr>
            <w:hyperlink w:anchor="page98">
              <w:r>
                <w:rPr>
                  <w:rFonts w:ascii="Arial" w:cs="Arial" w:eastAsia="Arial" w:hAnsi="Arial"/>
                  <w:sz w:val="14"/>
                  <w:szCs w:val="14"/>
                  <w:color w:val="0000EE"/>
                </w:rPr>
                <w:t>Item 7 Major Shareholders and Related Party Transactions</w:t>
              </w:r>
            </w:hyperlink>
          </w:p>
        </w:tc>
        <w:tc>
          <w:tcPr>
            <w:tcW w:w="2580" w:type="dxa"/>
            <w:vAlign w:val="bottom"/>
            <w:gridSpan w:val="4"/>
          </w:tcPr>
          <w:p>
            <w:pPr>
              <w:jc w:val="right"/>
              <w:spacing w:after="0"/>
              <w:rPr>
                <w:rFonts w:ascii="Arial" w:cs="Arial" w:eastAsia="Arial" w:hAnsi="Arial"/>
                <w:sz w:val="14"/>
                <w:szCs w:val="14"/>
                <w:color w:val="0000EE"/>
              </w:rPr>
            </w:pPr>
            <w:hyperlink w:anchor="page98">
              <w:r>
                <w:rPr>
                  <w:rFonts w:ascii="Arial" w:cs="Arial" w:eastAsia="Arial" w:hAnsi="Arial"/>
                  <w:sz w:val="14"/>
                  <w:szCs w:val="14"/>
                  <w:color w:val="0000EE"/>
                </w:rPr>
                <w:t>97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85"/>
        </w:trPr>
        <w:tc>
          <w:tcPr>
            <w:tcW w:w="1780" w:type="dxa"/>
            <w:vAlign w:val="bottom"/>
            <w:gridSpan w:val="8"/>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Item 8 Financial Information</w:t>
              </w:r>
            </w:hyperlink>
          </w:p>
        </w:tc>
        <w:tc>
          <w:tcPr>
            <w:tcW w:w="1960" w:type="dxa"/>
            <w:vAlign w:val="bottom"/>
            <w:gridSpan w:val="11"/>
          </w:tcPr>
          <w:p>
            <w:pPr>
              <w:spacing w:after="0"/>
              <w:rPr>
                <w:sz w:val="16"/>
                <w:szCs w:val="16"/>
                <w:color w:val="auto"/>
              </w:rPr>
            </w:pPr>
          </w:p>
        </w:tc>
        <w:tc>
          <w:tcPr>
            <w:tcW w:w="5080" w:type="dxa"/>
            <w:vAlign w:val="bottom"/>
            <w:gridSpan w:val="6"/>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02">
              <w:r>
                <w:rPr>
                  <w:rFonts w:ascii="Arial" w:cs="Arial" w:eastAsia="Arial" w:hAnsi="Arial"/>
                  <w:sz w:val="14"/>
                  <w:szCs w:val="14"/>
                  <w:color w:val="0000EE"/>
                </w:rPr>
                <w:t>101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1860" w:type="dxa"/>
            <w:vAlign w:val="bottom"/>
            <w:gridSpan w:val="9"/>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Item 9 The Offer and Listing</w:t>
              </w:r>
            </w:hyperlink>
          </w:p>
        </w:tc>
        <w:tc>
          <w:tcPr>
            <w:tcW w:w="6960" w:type="dxa"/>
            <w:vAlign w:val="bottom"/>
            <w:gridSpan w:val="16"/>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02">
              <w:r>
                <w:rPr>
                  <w:rFonts w:ascii="Arial" w:cs="Arial" w:eastAsia="Arial" w:hAnsi="Arial"/>
                  <w:sz w:val="14"/>
                  <w:szCs w:val="14"/>
                  <w:color w:val="0000EE"/>
                </w:rPr>
                <w:t>101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1860" w:type="dxa"/>
            <w:vAlign w:val="bottom"/>
            <w:gridSpan w:val="9"/>
          </w:tcPr>
          <w:p>
            <w:pPr>
              <w:spacing w:after="0"/>
              <w:rPr>
                <w:rFonts w:ascii="Arial" w:cs="Arial" w:eastAsia="Arial" w:hAnsi="Arial"/>
                <w:sz w:val="14"/>
                <w:szCs w:val="14"/>
                <w:color w:val="0000EE"/>
                <w:w w:val="97"/>
              </w:rPr>
            </w:pPr>
            <w:hyperlink w:anchor="page103">
              <w:r>
                <w:rPr>
                  <w:rFonts w:ascii="Arial" w:cs="Arial" w:eastAsia="Arial" w:hAnsi="Arial"/>
                  <w:sz w:val="14"/>
                  <w:szCs w:val="14"/>
                  <w:color w:val="0000EE"/>
                  <w:w w:val="97"/>
                </w:rPr>
                <w:t>Item 10 Additional Information</w:t>
              </w:r>
            </w:hyperlink>
          </w:p>
        </w:tc>
        <w:tc>
          <w:tcPr>
            <w:tcW w:w="6960" w:type="dxa"/>
            <w:vAlign w:val="bottom"/>
            <w:gridSpan w:val="16"/>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03">
              <w:r>
                <w:rPr>
                  <w:rFonts w:ascii="Arial" w:cs="Arial" w:eastAsia="Arial" w:hAnsi="Arial"/>
                  <w:sz w:val="14"/>
                  <w:szCs w:val="14"/>
                  <w:color w:val="0000EE"/>
                </w:rPr>
                <w:t>102</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8820" w:type="dxa"/>
            <w:vAlign w:val="bottom"/>
            <w:gridSpan w:val="25"/>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Item 11 Quantitative and Qualitative Disclosures About Market Risk</w:t>
              </w:r>
            </w:hyperlink>
          </w:p>
        </w:tc>
        <w:tc>
          <w:tcPr>
            <w:tcW w:w="2580" w:type="dxa"/>
            <w:vAlign w:val="bottom"/>
            <w:gridSpan w:val="4"/>
          </w:tcPr>
          <w:p>
            <w:pPr>
              <w:jc w:val="right"/>
              <w:spacing w:after="0"/>
              <w:rPr>
                <w:rFonts w:ascii="Arial" w:cs="Arial" w:eastAsia="Arial" w:hAnsi="Arial"/>
                <w:sz w:val="14"/>
                <w:szCs w:val="14"/>
                <w:color w:val="0000EE"/>
              </w:rPr>
            </w:pPr>
            <w:hyperlink w:anchor="page109">
              <w:r>
                <w:rPr>
                  <w:rFonts w:ascii="Arial" w:cs="Arial" w:eastAsia="Arial" w:hAnsi="Arial"/>
                  <w:sz w:val="14"/>
                  <w:szCs w:val="14"/>
                  <w:color w:val="0000EE"/>
                </w:rPr>
                <w:t>108</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4280" w:type="dxa"/>
            <w:vAlign w:val="bottom"/>
            <w:gridSpan w:val="21"/>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Item 12 Description of Securities Other than Equity Securities</w:t>
              </w:r>
            </w:hyperlink>
          </w:p>
        </w:tc>
        <w:tc>
          <w:tcPr>
            <w:tcW w:w="4540" w:type="dxa"/>
            <w:vAlign w:val="bottom"/>
            <w:gridSpan w:val="4"/>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09">
              <w:r>
                <w:rPr>
                  <w:rFonts w:ascii="Arial" w:cs="Arial" w:eastAsia="Arial" w:hAnsi="Arial"/>
                  <w:sz w:val="14"/>
                  <w:szCs w:val="14"/>
                  <w:color w:val="0000EE"/>
                </w:rPr>
                <w:t>108</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500" w:type="dxa"/>
            <w:vAlign w:val="bottom"/>
            <w:gridSpan w:val="2"/>
          </w:tcPr>
          <w:p>
            <w:pPr>
              <w:spacing w:after="0"/>
              <w:rPr>
                <w:rFonts w:ascii="Arial" w:cs="Arial" w:eastAsia="Arial" w:hAnsi="Arial"/>
                <w:sz w:val="14"/>
                <w:szCs w:val="14"/>
                <w:color w:val="0000EE"/>
                <w:w w:val="97"/>
              </w:rPr>
            </w:pPr>
            <w:hyperlink w:anchor="page112">
              <w:r>
                <w:rPr>
                  <w:rFonts w:ascii="Arial" w:cs="Arial" w:eastAsia="Arial" w:hAnsi="Arial"/>
                  <w:sz w:val="14"/>
                  <w:szCs w:val="14"/>
                  <w:color w:val="0000EE"/>
                  <w:w w:val="97"/>
                </w:rPr>
                <w:t>PART II</w:t>
              </w:r>
            </w:hyperlink>
          </w:p>
        </w:tc>
        <w:tc>
          <w:tcPr>
            <w:tcW w:w="3400" w:type="dxa"/>
            <w:vAlign w:val="bottom"/>
            <w:gridSpan w:val="18"/>
          </w:tcPr>
          <w:p>
            <w:pPr>
              <w:spacing w:after="0"/>
              <w:rPr>
                <w:sz w:val="16"/>
                <w:szCs w:val="16"/>
                <w:color w:val="auto"/>
              </w:rPr>
            </w:pPr>
          </w:p>
        </w:tc>
        <w:tc>
          <w:tcPr>
            <w:tcW w:w="4920" w:type="dxa"/>
            <w:vAlign w:val="bottom"/>
            <w:gridSpan w:val="5"/>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2">
              <w:r>
                <w:rPr>
                  <w:rFonts w:ascii="Arial" w:cs="Arial" w:eastAsia="Arial" w:hAnsi="Arial"/>
                  <w:sz w:val="14"/>
                  <w:szCs w:val="14"/>
                  <w:color w:val="0000EE"/>
                </w:rPr>
                <w:t>111</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8820" w:type="dxa"/>
            <w:vAlign w:val="bottom"/>
            <w:gridSpan w:val="25"/>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Item 13 Defaults, Dividend Arrearages and Delinquencies</w:t>
              </w:r>
            </w:hyperlink>
          </w:p>
        </w:tc>
        <w:tc>
          <w:tcPr>
            <w:tcW w:w="2580" w:type="dxa"/>
            <w:vAlign w:val="bottom"/>
            <w:gridSpan w:val="4"/>
          </w:tcPr>
          <w:p>
            <w:pPr>
              <w:jc w:val="right"/>
              <w:spacing w:after="0"/>
              <w:rPr>
                <w:rFonts w:ascii="Arial" w:cs="Arial" w:eastAsia="Arial" w:hAnsi="Arial"/>
                <w:sz w:val="14"/>
                <w:szCs w:val="14"/>
                <w:color w:val="0000EE"/>
              </w:rPr>
            </w:pPr>
            <w:hyperlink w:anchor="page112">
              <w:r>
                <w:rPr>
                  <w:rFonts w:ascii="Arial" w:cs="Arial" w:eastAsia="Arial" w:hAnsi="Arial"/>
                  <w:sz w:val="14"/>
                  <w:szCs w:val="14"/>
                  <w:color w:val="0000EE"/>
                </w:rPr>
                <w:t>111</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5400" w:type="dxa"/>
            <w:vAlign w:val="bottom"/>
            <w:gridSpan w:val="24"/>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Item 14 Material Modifications to the Rights of Security Holders and Use of Proceeds</w:t>
              </w:r>
            </w:hyperlink>
          </w:p>
        </w:tc>
        <w:tc>
          <w:tcPr>
            <w:tcW w:w="3420" w:type="dxa"/>
            <w:vAlign w:val="bottom"/>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2">
              <w:r>
                <w:rPr>
                  <w:rFonts w:ascii="Arial" w:cs="Arial" w:eastAsia="Arial" w:hAnsi="Arial"/>
                  <w:sz w:val="14"/>
                  <w:szCs w:val="14"/>
                  <w:color w:val="0000EE"/>
                </w:rPr>
                <w:t>111</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2100" w:type="dxa"/>
            <w:vAlign w:val="bottom"/>
            <w:gridSpan w:val="10"/>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Item 15 Controls and Procedures</w:t>
              </w:r>
            </w:hyperlink>
          </w:p>
        </w:tc>
        <w:tc>
          <w:tcPr>
            <w:tcW w:w="3300" w:type="dxa"/>
            <w:vAlign w:val="bottom"/>
            <w:gridSpan w:val="14"/>
          </w:tcPr>
          <w:p>
            <w:pPr>
              <w:spacing w:after="0"/>
              <w:rPr>
                <w:sz w:val="16"/>
                <w:szCs w:val="16"/>
                <w:color w:val="auto"/>
              </w:rPr>
            </w:pPr>
          </w:p>
        </w:tc>
        <w:tc>
          <w:tcPr>
            <w:tcW w:w="3420" w:type="dxa"/>
            <w:vAlign w:val="bottom"/>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2">
              <w:r>
                <w:rPr>
                  <w:rFonts w:ascii="Arial" w:cs="Arial" w:eastAsia="Arial" w:hAnsi="Arial"/>
                  <w:sz w:val="14"/>
                  <w:szCs w:val="14"/>
                  <w:color w:val="0000EE"/>
                </w:rPr>
                <w:t>111</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2740" w:type="dxa"/>
            <w:vAlign w:val="bottom"/>
            <w:gridSpan w:val="13"/>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Item 16A Audit committees financial expert</w:t>
              </w:r>
            </w:hyperlink>
          </w:p>
        </w:tc>
        <w:tc>
          <w:tcPr>
            <w:tcW w:w="6080" w:type="dxa"/>
            <w:vAlign w:val="bottom"/>
            <w:gridSpan w:val="12"/>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3">
              <w:r>
                <w:rPr>
                  <w:rFonts w:ascii="Arial" w:cs="Arial" w:eastAsia="Arial" w:hAnsi="Arial"/>
                  <w:sz w:val="14"/>
                  <w:szCs w:val="14"/>
                  <w:color w:val="0000EE"/>
                </w:rPr>
                <w:t>112</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1560" w:type="dxa"/>
            <w:vAlign w:val="bottom"/>
            <w:gridSpan w:val="7"/>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Item 16B Code of Ethics</w:t>
              </w:r>
            </w:hyperlink>
          </w:p>
        </w:tc>
        <w:tc>
          <w:tcPr>
            <w:tcW w:w="1180" w:type="dxa"/>
            <w:vAlign w:val="bottom"/>
            <w:gridSpan w:val="6"/>
          </w:tcPr>
          <w:p>
            <w:pPr>
              <w:spacing w:after="0"/>
              <w:rPr>
                <w:sz w:val="16"/>
                <w:szCs w:val="16"/>
                <w:color w:val="auto"/>
              </w:rPr>
            </w:pPr>
          </w:p>
        </w:tc>
        <w:tc>
          <w:tcPr>
            <w:tcW w:w="6080" w:type="dxa"/>
            <w:vAlign w:val="bottom"/>
            <w:gridSpan w:val="12"/>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3">
              <w:r>
                <w:rPr>
                  <w:rFonts w:ascii="Arial" w:cs="Arial" w:eastAsia="Arial" w:hAnsi="Arial"/>
                  <w:sz w:val="14"/>
                  <w:szCs w:val="14"/>
                  <w:color w:val="0000EE"/>
                </w:rPr>
                <w:t>112</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8820" w:type="dxa"/>
            <w:vAlign w:val="bottom"/>
            <w:gridSpan w:val="25"/>
          </w:tcPr>
          <w:p>
            <w:pPr>
              <w:spacing w:after="0"/>
              <w:rPr>
                <w:rFonts w:ascii="Arial" w:cs="Arial" w:eastAsia="Arial" w:hAnsi="Arial"/>
                <w:sz w:val="14"/>
                <w:szCs w:val="14"/>
                <w:color w:val="0000EE"/>
              </w:rPr>
            </w:pPr>
            <w:hyperlink w:anchor="page114">
              <w:r>
                <w:rPr>
                  <w:rFonts w:ascii="Arial" w:cs="Arial" w:eastAsia="Arial" w:hAnsi="Arial"/>
                  <w:sz w:val="14"/>
                  <w:szCs w:val="14"/>
                  <w:color w:val="0000EE"/>
                </w:rPr>
                <w:t>Item 16C Principal Accountant Fees and Services</w:t>
              </w:r>
            </w:hyperlink>
          </w:p>
        </w:tc>
        <w:tc>
          <w:tcPr>
            <w:tcW w:w="2580" w:type="dxa"/>
            <w:vAlign w:val="bottom"/>
            <w:gridSpan w:val="4"/>
          </w:tcPr>
          <w:p>
            <w:pPr>
              <w:jc w:val="right"/>
              <w:spacing w:after="0"/>
              <w:rPr>
                <w:rFonts w:ascii="Arial" w:cs="Arial" w:eastAsia="Arial" w:hAnsi="Arial"/>
                <w:sz w:val="14"/>
                <w:szCs w:val="14"/>
                <w:color w:val="0000EE"/>
              </w:rPr>
            </w:pPr>
            <w:hyperlink w:anchor="page114">
              <w:r>
                <w:rPr>
                  <w:rFonts w:ascii="Arial" w:cs="Arial" w:eastAsia="Arial" w:hAnsi="Arial"/>
                  <w:sz w:val="14"/>
                  <w:szCs w:val="14"/>
                  <w:color w:val="0000EE"/>
                </w:rPr>
                <w:t>113</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4480" w:type="dxa"/>
            <w:vAlign w:val="bottom"/>
            <w:gridSpan w:val="22"/>
          </w:tcPr>
          <w:p>
            <w:pPr>
              <w:spacing w:after="0"/>
              <w:rPr>
                <w:rFonts w:ascii="Arial" w:cs="Arial" w:eastAsia="Arial" w:hAnsi="Arial"/>
                <w:sz w:val="14"/>
                <w:szCs w:val="14"/>
                <w:color w:val="0000EE"/>
              </w:rPr>
            </w:pPr>
            <w:hyperlink w:anchor="page114">
              <w:r>
                <w:rPr>
                  <w:rFonts w:ascii="Arial" w:cs="Arial" w:eastAsia="Arial" w:hAnsi="Arial"/>
                  <w:sz w:val="14"/>
                  <w:szCs w:val="14"/>
                  <w:color w:val="0000EE"/>
                </w:rPr>
                <w:t>Item 16D Exemptions from the Listing Standards for Audit Committees</w:t>
              </w:r>
            </w:hyperlink>
          </w:p>
        </w:tc>
        <w:tc>
          <w:tcPr>
            <w:tcW w:w="4340" w:type="dxa"/>
            <w:vAlign w:val="bottom"/>
            <w:gridSpan w:val="3"/>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4">
              <w:r>
                <w:rPr>
                  <w:rFonts w:ascii="Arial" w:cs="Arial" w:eastAsia="Arial" w:hAnsi="Arial"/>
                  <w:sz w:val="14"/>
                  <w:szCs w:val="14"/>
                  <w:color w:val="0000EE"/>
                </w:rPr>
                <w:t>113</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tcBorders>
              <w:left w:val="single" w:sz="8" w:color="0000EE"/>
            </w:tcBorders>
            <w:gridSpan w:val="7"/>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8820" w:type="dxa"/>
            <w:vAlign w:val="bottom"/>
            <w:gridSpan w:val="25"/>
          </w:tcPr>
          <w:p>
            <w:pPr>
              <w:spacing w:after="0"/>
              <w:rPr>
                <w:rFonts w:ascii="Arial" w:cs="Arial" w:eastAsia="Arial" w:hAnsi="Arial"/>
                <w:sz w:val="14"/>
                <w:szCs w:val="14"/>
                <w:color w:val="0000EE"/>
              </w:rPr>
            </w:pPr>
            <w:hyperlink w:anchor="page114">
              <w:r>
                <w:rPr>
                  <w:rFonts w:ascii="Arial" w:cs="Arial" w:eastAsia="Arial" w:hAnsi="Arial"/>
                  <w:sz w:val="14"/>
                  <w:szCs w:val="14"/>
                  <w:color w:val="0000EE"/>
                </w:rPr>
                <w:t>Item 16E Purchases of Equity Securities by the Issuer and Affiliated Purchasers</w:t>
              </w:r>
            </w:hyperlink>
          </w:p>
        </w:tc>
        <w:tc>
          <w:tcPr>
            <w:tcW w:w="2580" w:type="dxa"/>
            <w:vAlign w:val="bottom"/>
            <w:gridSpan w:val="4"/>
          </w:tcPr>
          <w:p>
            <w:pPr>
              <w:jc w:val="right"/>
              <w:spacing w:after="0"/>
              <w:rPr>
                <w:rFonts w:ascii="Arial" w:cs="Arial" w:eastAsia="Arial" w:hAnsi="Arial"/>
                <w:sz w:val="14"/>
                <w:szCs w:val="14"/>
                <w:color w:val="0000EE"/>
              </w:rPr>
            </w:pPr>
            <w:hyperlink w:anchor="page114">
              <w:r>
                <w:rPr>
                  <w:rFonts w:ascii="Arial" w:cs="Arial" w:eastAsia="Arial" w:hAnsi="Arial"/>
                  <w:sz w:val="14"/>
                  <w:szCs w:val="14"/>
                  <w:color w:val="0000EE"/>
                </w:rPr>
                <w:t>113</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tcBorders>
              <w:left w:val="single" w:sz="8" w:color="0000EE"/>
            </w:tcBorders>
            <w:gridSpan w:val="7"/>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5060" w:type="dxa"/>
            <w:vAlign w:val="bottom"/>
            <w:gridSpan w:val="23"/>
          </w:tcPr>
          <w:p>
            <w:pPr>
              <w:spacing w:after="0"/>
              <w:rPr>
                <w:rFonts w:ascii="Arial" w:cs="Arial" w:eastAsia="Arial" w:hAnsi="Arial"/>
                <w:sz w:val="14"/>
                <w:szCs w:val="14"/>
                <w:color w:val="0000EE"/>
              </w:rPr>
            </w:pPr>
            <w:hyperlink w:anchor="page115">
              <w:r>
                <w:rPr>
                  <w:rFonts w:ascii="Arial" w:cs="Arial" w:eastAsia="Arial" w:hAnsi="Arial"/>
                  <w:sz w:val="14"/>
                  <w:szCs w:val="14"/>
                  <w:color w:val="0000EE"/>
                </w:rPr>
                <w:t>Item 16F Change in Registrant’s Certifying Accountant</w:t>
              </w:r>
            </w:hyperlink>
          </w:p>
        </w:tc>
        <w:tc>
          <w:tcPr>
            <w:tcW w:w="3760" w:type="dxa"/>
            <w:vAlign w:val="bottom"/>
            <w:gridSpan w:val="2"/>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5">
              <w:r>
                <w:rPr>
                  <w:rFonts w:ascii="Arial" w:cs="Arial" w:eastAsia="Arial" w:hAnsi="Arial"/>
                  <w:sz w:val="14"/>
                  <w:szCs w:val="14"/>
                  <w:color w:val="0000EE"/>
                </w:rPr>
                <w:t>114</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tcBorders>
              <w:left w:val="single" w:sz="8" w:color="0000EE"/>
            </w:tcBorders>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2100" w:type="dxa"/>
            <w:vAlign w:val="bottom"/>
            <w:gridSpan w:val="10"/>
          </w:tcPr>
          <w:p>
            <w:pPr>
              <w:spacing w:after="0"/>
              <w:rPr>
                <w:rFonts w:ascii="Arial" w:cs="Arial" w:eastAsia="Arial" w:hAnsi="Arial"/>
                <w:sz w:val="14"/>
                <w:szCs w:val="14"/>
                <w:color w:val="0000EE"/>
              </w:rPr>
            </w:pPr>
            <w:hyperlink w:anchor="page115">
              <w:r>
                <w:rPr>
                  <w:rFonts w:ascii="Arial" w:cs="Arial" w:eastAsia="Arial" w:hAnsi="Arial"/>
                  <w:sz w:val="14"/>
                  <w:szCs w:val="14"/>
                  <w:color w:val="0000EE"/>
                </w:rPr>
                <w:t>Item 16G Corporate Governance</w:t>
              </w:r>
            </w:hyperlink>
          </w:p>
        </w:tc>
        <w:tc>
          <w:tcPr>
            <w:tcW w:w="1360" w:type="dxa"/>
            <w:vAlign w:val="bottom"/>
            <w:gridSpan w:val="7"/>
          </w:tcPr>
          <w:p>
            <w:pPr>
              <w:spacing w:after="0"/>
              <w:rPr>
                <w:sz w:val="16"/>
                <w:szCs w:val="16"/>
                <w:color w:val="auto"/>
              </w:rPr>
            </w:pPr>
          </w:p>
        </w:tc>
        <w:tc>
          <w:tcPr>
            <w:tcW w:w="5360" w:type="dxa"/>
            <w:vAlign w:val="bottom"/>
            <w:gridSpan w:val="8"/>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5">
              <w:r>
                <w:rPr>
                  <w:rFonts w:ascii="Arial" w:cs="Arial" w:eastAsia="Arial" w:hAnsi="Arial"/>
                  <w:sz w:val="14"/>
                  <w:szCs w:val="14"/>
                  <w:color w:val="0000EE"/>
                </w:rPr>
                <w:t>114</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2100" w:type="dxa"/>
            <w:vAlign w:val="bottom"/>
            <w:gridSpan w:val="10"/>
          </w:tcPr>
          <w:p>
            <w:pPr>
              <w:spacing w:after="0"/>
              <w:rPr>
                <w:rFonts w:ascii="Arial" w:cs="Arial" w:eastAsia="Arial" w:hAnsi="Arial"/>
                <w:sz w:val="14"/>
                <w:szCs w:val="14"/>
                <w:color w:val="0000EE"/>
              </w:rPr>
            </w:pPr>
            <w:hyperlink w:anchor="page115">
              <w:r>
                <w:rPr>
                  <w:rFonts w:ascii="Arial" w:cs="Arial" w:eastAsia="Arial" w:hAnsi="Arial"/>
                  <w:sz w:val="14"/>
                  <w:szCs w:val="14"/>
                  <w:color w:val="0000EE"/>
                </w:rPr>
                <w:t>Item 16H Mine Safety Disclosure</w:t>
              </w:r>
            </w:hyperlink>
          </w:p>
        </w:tc>
        <w:tc>
          <w:tcPr>
            <w:tcW w:w="6720" w:type="dxa"/>
            <w:vAlign w:val="bottom"/>
            <w:gridSpan w:val="15"/>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5">
              <w:r>
                <w:rPr>
                  <w:rFonts w:ascii="Arial" w:cs="Arial" w:eastAsia="Arial" w:hAnsi="Arial"/>
                  <w:sz w:val="14"/>
                  <w:szCs w:val="14"/>
                  <w:color w:val="0000EE"/>
                </w:rPr>
                <w:t>114</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540" w:type="dxa"/>
            <w:vAlign w:val="bottom"/>
            <w:gridSpan w:val="3"/>
          </w:tcPr>
          <w:p>
            <w:pPr>
              <w:spacing w:after="0"/>
              <w:rPr>
                <w:rFonts w:ascii="Arial" w:cs="Arial" w:eastAsia="Arial" w:hAnsi="Arial"/>
                <w:sz w:val="14"/>
                <w:szCs w:val="14"/>
                <w:color w:val="0000EE"/>
                <w:w w:val="98"/>
              </w:rPr>
            </w:pPr>
            <w:hyperlink w:anchor="page115">
              <w:r>
                <w:rPr>
                  <w:rFonts w:ascii="Arial" w:cs="Arial" w:eastAsia="Arial" w:hAnsi="Arial"/>
                  <w:sz w:val="14"/>
                  <w:szCs w:val="14"/>
                  <w:color w:val="0000EE"/>
                  <w:w w:val="98"/>
                </w:rPr>
                <w:t>PART III</w:t>
              </w:r>
            </w:hyperlink>
          </w:p>
        </w:tc>
        <w:tc>
          <w:tcPr>
            <w:tcW w:w="1560" w:type="dxa"/>
            <w:vAlign w:val="bottom"/>
            <w:gridSpan w:val="7"/>
          </w:tcPr>
          <w:p>
            <w:pPr>
              <w:spacing w:after="0"/>
              <w:rPr>
                <w:sz w:val="16"/>
                <w:szCs w:val="16"/>
                <w:color w:val="auto"/>
              </w:rPr>
            </w:pPr>
          </w:p>
        </w:tc>
        <w:tc>
          <w:tcPr>
            <w:tcW w:w="6720" w:type="dxa"/>
            <w:vAlign w:val="bottom"/>
            <w:gridSpan w:val="15"/>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5">
              <w:r>
                <w:rPr>
                  <w:rFonts w:ascii="Arial" w:cs="Arial" w:eastAsia="Arial" w:hAnsi="Arial"/>
                  <w:sz w:val="14"/>
                  <w:szCs w:val="14"/>
                  <w:color w:val="0000EE"/>
                </w:rPr>
                <w:t>114</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1860" w:type="dxa"/>
            <w:vAlign w:val="bottom"/>
            <w:gridSpan w:val="9"/>
          </w:tcPr>
          <w:p>
            <w:pPr>
              <w:spacing w:after="0"/>
              <w:rPr>
                <w:rFonts w:ascii="Arial" w:cs="Arial" w:eastAsia="Arial" w:hAnsi="Arial"/>
                <w:sz w:val="14"/>
                <w:szCs w:val="14"/>
                <w:color w:val="0000EE"/>
              </w:rPr>
            </w:pPr>
            <w:hyperlink w:anchor="page115">
              <w:r>
                <w:rPr>
                  <w:rFonts w:ascii="Arial" w:cs="Arial" w:eastAsia="Arial" w:hAnsi="Arial"/>
                  <w:sz w:val="14"/>
                  <w:szCs w:val="14"/>
                  <w:color w:val="0000EE"/>
                </w:rPr>
                <w:t>Item 17 Financial Statements</w:t>
              </w:r>
            </w:hyperlink>
          </w:p>
        </w:tc>
        <w:tc>
          <w:tcPr>
            <w:tcW w:w="6960" w:type="dxa"/>
            <w:vAlign w:val="bottom"/>
            <w:gridSpan w:val="16"/>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5">
              <w:r>
                <w:rPr>
                  <w:rFonts w:ascii="Arial" w:cs="Arial" w:eastAsia="Arial" w:hAnsi="Arial"/>
                  <w:sz w:val="14"/>
                  <w:szCs w:val="14"/>
                  <w:color w:val="0000EE"/>
                </w:rPr>
                <w:t>114</w:t>
              </w:r>
            </w:hyperlink>
          </w:p>
        </w:tc>
      </w:tr>
      <w:tr>
        <w:trPr>
          <w:trHeight w:val="20"/>
        </w:trPr>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1860" w:type="dxa"/>
            <w:vAlign w:val="bottom"/>
            <w:gridSpan w:val="9"/>
          </w:tcPr>
          <w:p>
            <w:pPr>
              <w:spacing w:after="0"/>
              <w:rPr>
                <w:rFonts w:ascii="Arial" w:cs="Arial" w:eastAsia="Arial" w:hAnsi="Arial"/>
                <w:sz w:val="14"/>
                <w:szCs w:val="14"/>
                <w:color w:val="0000EE"/>
              </w:rPr>
            </w:pPr>
            <w:hyperlink w:anchor="page116">
              <w:r>
                <w:rPr>
                  <w:rFonts w:ascii="Arial" w:cs="Arial" w:eastAsia="Arial" w:hAnsi="Arial"/>
                  <w:sz w:val="14"/>
                  <w:szCs w:val="14"/>
                  <w:color w:val="0000EE"/>
                </w:rPr>
                <w:t>Item 18 Financial Statements</w:t>
              </w:r>
            </w:hyperlink>
          </w:p>
        </w:tc>
        <w:tc>
          <w:tcPr>
            <w:tcW w:w="6960" w:type="dxa"/>
            <w:vAlign w:val="bottom"/>
            <w:gridSpan w:val="16"/>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6">
              <w:r>
                <w:rPr>
                  <w:rFonts w:ascii="Arial" w:cs="Arial" w:eastAsia="Arial" w:hAnsi="Arial"/>
                  <w:sz w:val="14"/>
                  <w:szCs w:val="14"/>
                  <w:color w:val="0000EE"/>
                </w:rPr>
                <w:t>115</w:t>
              </w:r>
            </w:hyperlink>
          </w:p>
        </w:tc>
      </w:tr>
      <w:tr>
        <w:trPr>
          <w:trHeight w:val="20"/>
        </w:trPr>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1860" w:type="dxa"/>
            <w:vAlign w:val="bottom"/>
            <w:gridSpan w:val="9"/>
          </w:tcPr>
          <w:p>
            <w:pPr>
              <w:spacing w:after="0"/>
              <w:rPr>
                <w:rFonts w:ascii="Arial" w:cs="Arial" w:eastAsia="Arial" w:hAnsi="Arial"/>
                <w:sz w:val="14"/>
                <w:szCs w:val="14"/>
                <w:color w:val="0000EE"/>
              </w:rPr>
            </w:pPr>
            <w:hyperlink w:anchor="page116">
              <w:r>
                <w:rPr>
                  <w:rFonts w:ascii="Arial" w:cs="Arial" w:eastAsia="Arial" w:hAnsi="Arial"/>
                  <w:sz w:val="14"/>
                  <w:szCs w:val="14"/>
                  <w:color w:val="0000EE"/>
                </w:rPr>
                <w:t>Item 19 Exhibits</w:t>
              </w:r>
            </w:hyperlink>
          </w:p>
        </w:tc>
        <w:tc>
          <w:tcPr>
            <w:tcW w:w="6960" w:type="dxa"/>
            <w:vAlign w:val="bottom"/>
            <w:gridSpan w:val="16"/>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6">
              <w:r>
                <w:rPr>
                  <w:rFonts w:ascii="Arial" w:cs="Arial" w:eastAsia="Arial" w:hAnsi="Arial"/>
                  <w:sz w:val="14"/>
                  <w:szCs w:val="14"/>
                  <w:color w:val="0000EE"/>
                </w:rPr>
                <w:t>115</w:t>
              </w:r>
            </w:hyperlink>
          </w:p>
        </w:tc>
      </w:tr>
      <w:tr>
        <w:trPr>
          <w:trHeight w:val="20"/>
        </w:trPr>
        <w:tc>
          <w:tcPr>
            <w:tcW w:w="9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940" w:type="dxa"/>
            <w:vAlign w:val="bottom"/>
            <w:gridSpan w:val="4"/>
          </w:tcPr>
          <w:p>
            <w:pPr>
              <w:spacing w:after="0"/>
              <w:rPr>
                <w:rFonts w:ascii="Arial" w:cs="Arial" w:eastAsia="Arial" w:hAnsi="Arial"/>
                <w:sz w:val="14"/>
                <w:szCs w:val="14"/>
                <w:color w:val="0000EE"/>
              </w:rPr>
            </w:pPr>
            <w:hyperlink w:anchor="page119">
              <w:r>
                <w:rPr>
                  <w:rFonts w:ascii="Arial" w:cs="Arial" w:eastAsia="Arial" w:hAnsi="Arial"/>
                  <w:sz w:val="14"/>
                  <w:szCs w:val="14"/>
                  <w:color w:val="0000EE"/>
                </w:rPr>
                <w:t>SIGNATURES</w:t>
              </w:r>
            </w:hyperlink>
          </w:p>
        </w:tc>
        <w:tc>
          <w:tcPr>
            <w:tcW w:w="80" w:type="dxa"/>
            <w:vAlign w:val="bottom"/>
          </w:tcPr>
          <w:p>
            <w:pPr>
              <w:spacing w:after="0"/>
              <w:rPr>
                <w:sz w:val="16"/>
                <w:szCs w:val="16"/>
                <w:color w:val="auto"/>
              </w:rPr>
            </w:pPr>
          </w:p>
        </w:tc>
        <w:tc>
          <w:tcPr>
            <w:tcW w:w="7800" w:type="dxa"/>
            <w:vAlign w:val="bottom"/>
            <w:gridSpan w:val="20"/>
          </w:tcPr>
          <w:p>
            <w:pPr>
              <w:spacing w:after="0"/>
              <w:rPr>
                <w:sz w:val="16"/>
                <w:szCs w:val="16"/>
                <w:color w:val="auto"/>
              </w:rPr>
            </w:pPr>
          </w:p>
        </w:tc>
        <w:tc>
          <w:tcPr>
            <w:tcW w:w="2580" w:type="dxa"/>
            <w:vAlign w:val="bottom"/>
            <w:gridSpan w:val="4"/>
          </w:tcPr>
          <w:p>
            <w:pPr>
              <w:jc w:val="right"/>
              <w:spacing w:after="0"/>
              <w:rPr>
                <w:rFonts w:ascii="Arial" w:cs="Arial" w:eastAsia="Arial" w:hAnsi="Arial"/>
                <w:sz w:val="14"/>
                <w:szCs w:val="14"/>
                <w:color w:val="0000EE"/>
              </w:rPr>
            </w:pPr>
            <w:hyperlink w:anchor="page119">
              <w:r>
                <w:rPr>
                  <w:rFonts w:ascii="Arial" w:cs="Arial" w:eastAsia="Arial" w:hAnsi="Arial"/>
                  <w:sz w:val="14"/>
                  <w:szCs w:val="14"/>
                  <w:color w:val="0000EE"/>
                </w:rPr>
                <w:t>118</w:t>
              </w:r>
            </w:hyperlink>
          </w:p>
        </w:tc>
      </w:tr>
      <w:tr>
        <w:trPr>
          <w:trHeight w:val="20"/>
        </w:trPr>
        <w:tc>
          <w:tcPr>
            <w:tcW w:w="940" w:type="dxa"/>
            <w:vAlign w:val="bottom"/>
            <w:gridSpan w:val="4"/>
            <w:shd w:val="clear" w:color="auto" w:fill="0000EE"/>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85"/>
        </w:trPr>
        <w:tc>
          <w:tcPr>
            <w:tcW w:w="8820" w:type="dxa"/>
            <w:vAlign w:val="bottom"/>
            <w:gridSpan w:val="25"/>
          </w:tcPr>
          <w:p>
            <w:pPr>
              <w:spacing w:after="0"/>
              <w:rPr>
                <w:rFonts w:ascii="Arial" w:cs="Arial" w:eastAsia="Arial" w:hAnsi="Arial"/>
                <w:sz w:val="14"/>
                <w:szCs w:val="14"/>
                <w:color w:val="0000EE"/>
              </w:rPr>
            </w:pPr>
            <w:hyperlink w:anchor="page119">
              <w:r>
                <w:rPr>
                  <w:rFonts w:ascii="Arial" w:cs="Arial" w:eastAsia="Arial" w:hAnsi="Arial"/>
                  <w:sz w:val="14"/>
                  <w:szCs w:val="14"/>
                  <w:color w:val="0000EE"/>
                </w:rPr>
                <w:t>INDEX TO CONSOLIDATED FINANCIAL STATEMENTS</w:t>
              </w:r>
            </w:hyperlink>
          </w:p>
        </w:tc>
        <w:tc>
          <w:tcPr>
            <w:tcW w:w="2580" w:type="dxa"/>
            <w:vAlign w:val="bottom"/>
            <w:gridSpan w:val="4"/>
          </w:tcPr>
          <w:p>
            <w:pPr>
              <w:jc w:val="right"/>
              <w:spacing w:after="0"/>
              <w:rPr>
                <w:rFonts w:ascii="Arial" w:cs="Arial" w:eastAsia="Arial" w:hAnsi="Arial"/>
                <w:sz w:val="14"/>
                <w:szCs w:val="14"/>
                <w:color w:val="0000EE"/>
              </w:rPr>
            </w:pPr>
            <w:hyperlink w:anchor="page119">
              <w:r>
                <w:rPr>
                  <w:rFonts w:ascii="Arial" w:cs="Arial" w:eastAsia="Arial" w:hAnsi="Arial"/>
                  <w:sz w:val="14"/>
                  <w:szCs w:val="14"/>
                  <w:color w:val="0000EE"/>
                </w:rPr>
                <w:t>118</w:t>
              </w:r>
            </w:hyperlink>
          </w:p>
        </w:tc>
      </w:tr>
      <w:tr>
        <w:trPr>
          <w:trHeight w:val="539"/>
        </w:trPr>
        <w:tc>
          <w:tcPr>
            <w:tcW w:w="3660" w:type="dxa"/>
            <w:vAlign w:val="bottom"/>
            <w:tcBorders>
              <w:top w:val="single" w:sz="8" w:color="0000EE"/>
            </w:tcBorders>
            <w:gridSpan w:val="18"/>
          </w:tcPr>
          <w:p>
            <w:pPr>
              <w:spacing w:after="0"/>
              <w:rPr>
                <w:sz w:val="24"/>
                <w:szCs w:val="24"/>
                <w:color w:val="auto"/>
              </w:rPr>
            </w:pPr>
          </w:p>
        </w:tc>
        <w:tc>
          <w:tcPr>
            <w:tcW w:w="5160" w:type="dxa"/>
            <w:vAlign w:val="bottom"/>
            <w:gridSpan w:val="7"/>
          </w:tcPr>
          <w:p>
            <w:pPr>
              <w:jc w:val="right"/>
              <w:ind w:right="3060"/>
              <w:spacing w:after="0"/>
              <w:rPr>
                <w:sz w:val="20"/>
                <w:szCs w:val="20"/>
                <w:color w:val="auto"/>
              </w:rPr>
            </w:pPr>
            <w:r>
              <w:rPr>
                <w:rFonts w:ascii="Arial" w:cs="Arial" w:eastAsia="Arial" w:hAnsi="Arial"/>
                <w:sz w:val="14"/>
                <w:szCs w:val="14"/>
                <w:color w:val="auto"/>
              </w:rPr>
              <w:t>1</w:t>
            </w:r>
          </w:p>
        </w:tc>
        <w:tc>
          <w:tcPr>
            <w:tcW w:w="2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40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GENERAL INFORMATION</w:t>
      </w:r>
    </w:p>
    <w:p>
      <w:pPr>
        <w:spacing w:after="0" w:line="202"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All references in this Annual Report on Form 20-F, or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PRESENTATION OF FINANCIAL AND OTHER DATA</w:t>
      </w:r>
    </w:p>
    <w:p>
      <w:pPr>
        <w:spacing w:after="0" w:line="202"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report under International Financial Reporting Standards, or IFRS, as issued by the International Accounting Standards Board, or IASB. None of the financial statements in this Annual Report were prepared in accordance with generally accepted accounting principles in the United States. We present our financial statements in pounds sterling and in accordance with IFRS. We have made rounding adjustments to some of the figures included in this Annual Report. Accordingly, numerical figures shown as totals in some tables may not be an arithmetic aggregation of the figures that preceded them. All references in this Annual Report to “$,” “US$,” and “U.S. dollars” mean U.S. dollars and all references to “£” and “GBP” mean pounds sterling, unless otherwise noted.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TRADEMARKS, TRADENAMES AND SERVICE MARKS</w:t>
      </w:r>
    </w:p>
    <w:p>
      <w:pPr>
        <w:spacing w:after="0" w:line="202" w:lineRule="exact"/>
        <w:rPr>
          <w:sz w:val="20"/>
          <w:szCs w:val="20"/>
          <w:color w:val="auto"/>
        </w:rPr>
      </w:pPr>
    </w:p>
    <w:p>
      <w:pPr>
        <w:jc w:val="both"/>
        <w:ind w:right="400"/>
        <w:spacing w:after="0" w:line="265" w:lineRule="auto"/>
        <w:rPr>
          <w:sz w:val="20"/>
          <w:szCs w:val="20"/>
          <w:color w:val="auto"/>
        </w:rPr>
      </w:pPr>
      <w:r>
        <w:rPr>
          <w:rFonts w:ascii="Arial" w:cs="Arial" w:eastAsia="Arial" w:hAnsi="Arial"/>
          <w:sz w:val="14"/>
          <w:szCs w:val="14"/>
          <w:color w:val="auto"/>
        </w:rPr>
        <w:t xml:space="preserve">This Annual Report may include trademarks, tradenames and service marks that are the property of other organizations. Solely for convenience, trademarks and tradenames referred to in this Annual Report appear without the </w:t>
      </w:r>
      <w:r>
        <w:rPr>
          <w:rFonts w:ascii="Arial" w:cs="Arial" w:eastAsia="Arial" w:hAnsi="Arial"/>
          <w:sz w:val="11"/>
          <w:szCs w:val="11"/>
          <w:color w:val="auto"/>
        </w:rPr>
        <w:t>®</w:t>
      </w:r>
      <w:r>
        <w:rPr>
          <w:rFonts w:ascii="Arial" w:cs="Arial" w:eastAsia="Arial" w:hAnsi="Arial"/>
          <w:sz w:val="14"/>
          <w:szCs w:val="14"/>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on-going clinical trials, product candidate development plans, product approvals, research and development costs, timing and likelihood of success, plans and objectives of management for future operations and future results of anticipated products, are forward-looking statements. We make such forward-looking statements pursuant to the safe harbor provisions of the Private Securities Litigation Reform Act of 1995 and other federal securities laws. These statements involve known and unknown risks, uncertainties and other important factors, including those identified under “Risk Factors” in this Annual Report, that may cause our actual results, performance or achievements to be materially different from any future results, performance or achievements expressed or implied by the forward-looking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Forward-looking statements include, but are not limited to, statements about:</w:t>
      </w:r>
    </w:p>
    <w:p>
      <w:pPr>
        <w:spacing w:after="0" w:line="76" w:lineRule="exact"/>
        <w:rPr>
          <w:sz w:val="20"/>
          <w:szCs w:val="20"/>
          <w:color w:val="auto"/>
        </w:rPr>
      </w:pPr>
    </w:p>
    <w:p>
      <w:pPr>
        <w:ind w:left="600" w:right="480" w:hanging="249"/>
        <w:spacing w:after="0" w:line="257" w:lineRule="auto"/>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development of ensifentrine, including statements regarding the expected initiation, timing, progress and availability of data from our clinical trials and regulatory approval;</w:t>
      </w:r>
    </w:p>
    <w:p>
      <w:pPr>
        <w:ind w:left="600" w:hanging="249"/>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potential attributes and benefit of ensifentrine and its competitive position;</w:t>
      </w:r>
    </w:p>
    <w:p>
      <w:pPr>
        <w:spacing w:after="0" w:line="11" w:lineRule="exact"/>
        <w:rPr>
          <w:rFonts w:ascii="Arial" w:cs="Arial" w:eastAsia="Arial" w:hAnsi="Arial"/>
          <w:sz w:val="14"/>
          <w:szCs w:val="14"/>
          <w:color w:val="auto"/>
        </w:rPr>
      </w:pPr>
    </w:p>
    <w:p>
      <w:pPr>
        <w:ind w:left="600" w:hanging="249"/>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successfully commercialize ensifentrine, if approved;</w:t>
      </w:r>
    </w:p>
    <w:p>
      <w:pPr>
        <w:spacing w:after="0" w:line="11" w:lineRule="exact"/>
        <w:rPr>
          <w:rFonts w:ascii="Arial" w:cs="Arial" w:eastAsia="Arial" w:hAnsi="Arial"/>
          <w:sz w:val="14"/>
          <w:szCs w:val="14"/>
          <w:color w:val="auto"/>
        </w:rPr>
      </w:pPr>
    </w:p>
    <w:p>
      <w:pPr>
        <w:ind w:left="600" w:hanging="249"/>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estimates regarding expenses, future revenues, capital requirements and our need for additional financing;</w:t>
      </w:r>
    </w:p>
    <w:p>
      <w:pPr>
        <w:spacing w:after="0" w:line="11" w:lineRule="exact"/>
        <w:rPr>
          <w:rFonts w:ascii="Arial" w:cs="Arial" w:eastAsia="Arial" w:hAnsi="Arial"/>
          <w:sz w:val="14"/>
          <w:szCs w:val="14"/>
          <w:color w:val="auto"/>
        </w:rPr>
      </w:pPr>
    </w:p>
    <w:p>
      <w:pPr>
        <w:ind w:left="600" w:hanging="249"/>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acquire or in license new product candidates;</w:t>
      </w:r>
    </w:p>
    <w:p>
      <w:pPr>
        <w:spacing w:after="0" w:line="11" w:lineRule="exact"/>
        <w:rPr>
          <w:rFonts w:ascii="Arial" w:cs="Arial" w:eastAsia="Arial" w:hAnsi="Arial"/>
          <w:sz w:val="14"/>
          <w:szCs w:val="14"/>
          <w:color w:val="auto"/>
        </w:rPr>
      </w:pPr>
    </w:p>
    <w:p>
      <w:pPr>
        <w:ind w:left="600" w:hanging="249"/>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potential collaborations;</w:t>
      </w:r>
    </w:p>
    <w:p>
      <w:pPr>
        <w:spacing w:after="0" w:line="11" w:lineRule="exact"/>
        <w:rPr>
          <w:rFonts w:ascii="Arial" w:cs="Arial" w:eastAsia="Arial" w:hAnsi="Arial"/>
          <w:sz w:val="14"/>
          <w:szCs w:val="14"/>
          <w:color w:val="auto"/>
        </w:rPr>
      </w:pPr>
    </w:p>
    <w:p>
      <w:pPr>
        <w:ind w:left="600" w:hanging="249"/>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duration of our patent portfolio; and</w:t>
      </w:r>
    </w:p>
    <w:p>
      <w:pPr>
        <w:spacing w:after="0" w:line="11" w:lineRule="exact"/>
        <w:rPr>
          <w:rFonts w:ascii="Arial" w:cs="Arial" w:eastAsia="Arial" w:hAnsi="Arial"/>
          <w:sz w:val="14"/>
          <w:szCs w:val="14"/>
          <w:color w:val="auto"/>
        </w:rPr>
      </w:pPr>
    </w:p>
    <w:p>
      <w:pPr>
        <w:ind w:left="600" w:hanging="249"/>
        <w:spacing w:after="0"/>
        <w:tabs>
          <w:tab w:leader="none" w:pos="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ability to retain key personnel and recruit qualified personnel, as well as the successful transition of our chief executive officer and chief financial officer roles.</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Forward 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w:t>
      </w:r>
    </w:p>
    <w:p>
      <w:pPr>
        <w:spacing w:after="0" w:line="22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466"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IDENTITY OF DIRECTORS, SENIOR MANAGEMENT AND ADVISORS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OFFER STATISTICS AND EXPECTED TIMETABLE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KEY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Selected Financial Data.</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following selected consolidated financial data should be read in conjunction with “Operating and Financial Review and Prospects,” our consolidated financial statements and related notes, and other financial information included in this Annual Report. The consolidated financial and other data for the years ended December 31, 2019, 2018, and 2017 and as of December 31, 2019 and 2018 have been derived from our audited financial statements and the notes thereto included elsewhere in this Annual Report. Our audited financial statements and the notes thereto and other data for the years ended December 31, 2016 and 2015 and as of December 31, 2017, 2016, and 2015 are not included elsewhere in this Annual Report. Our historical results are not necessarily indicative of the results that should be expected in the future.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restatement is due to a change in accounting policy relating to movements in the assumed contingent obligation (see note 2.17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38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206"/>
        </w:trPr>
        <w:tc>
          <w:tcPr>
            <w:tcW w:w="5380" w:type="dxa"/>
            <w:vAlign w:val="bottom"/>
          </w:tcPr>
          <w:p>
            <w:pPr>
              <w:spacing w:after="0"/>
              <w:rPr>
                <w:sz w:val="17"/>
                <w:szCs w:val="17"/>
                <w:color w:val="auto"/>
              </w:rPr>
            </w:pPr>
          </w:p>
        </w:tc>
        <w:tc>
          <w:tcPr>
            <w:tcW w:w="1400" w:type="dxa"/>
            <w:vAlign w:val="bottom"/>
            <w:tcBorders>
              <w:bottom w:val="single" w:sz="8" w:color="auto"/>
            </w:tcBorders>
          </w:tcPr>
          <w:p>
            <w:pPr>
              <w:jc w:val="right"/>
              <w:ind w:right="629"/>
              <w:spacing w:after="0"/>
              <w:rPr>
                <w:sz w:val="20"/>
                <w:szCs w:val="20"/>
                <w:color w:val="auto"/>
              </w:rPr>
            </w:pPr>
            <w:r>
              <w:rPr>
                <w:rFonts w:ascii="Arial" w:cs="Arial" w:eastAsia="Arial" w:hAnsi="Arial"/>
                <w:sz w:val="11"/>
                <w:szCs w:val="11"/>
                <w:b w:val="1"/>
                <w:bCs w:val="1"/>
                <w:color w:val="auto"/>
              </w:rPr>
              <w:t>2019</w:t>
            </w: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2017</w:t>
            </w: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1"/>
                <w:szCs w:val="11"/>
                <w:b w:val="1"/>
                <w:bCs w:val="1"/>
                <w:color w:val="auto"/>
              </w:rPr>
              <w:t>Restated 2016</w:t>
            </w: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Restated 2015</w:t>
            </w:r>
          </w:p>
        </w:tc>
      </w:tr>
      <w:tr>
        <w:trPr>
          <w:trHeight w:val="196"/>
        </w:trPr>
        <w:tc>
          <w:tcPr>
            <w:tcW w:w="5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jc w:val="right"/>
              <w:ind w:right="470"/>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 of comprehensive income data:</w:t>
            </w:r>
          </w:p>
        </w:tc>
        <w:tc>
          <w:tcPr>
            <w:tcW w:w="1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Research and development costs</w:t>
            </w:r>
          </w:p>
        </w:tc>
        <w:tc>
          <w:tcPr>
            <w:tcW w:w="1400" w:type="dxa"/>
            <w:vAlign w:val="bottom"/>
          </w:tcPr>
          <w:p>
            <w:pPr>
              <w:jc w:val="right"/>
              <w:ind w:right="249"/>
              <w:spacing w:after="0"/>
              <w:rPr>
                <w:sz w:val="20"/>
                <w:szCs w:val="20"/>
                <w:color w:val="auto"/>
              </w:rPr>
            </w:pPr>
            <w:r>
              <w:rPr>
                <w:rFonts w:ascii="Arial" w:cs="Arial" w:eastAsia="Arial" w:hAnsi="Arial"/>
                <w:sz w:val="14"/>
                <w:szCs w:val="14"/>
                <w:color w:val="auto"/>
              </w:rPr>
              <w:t>(33,476)</w:t>
            </w:r>
          </w:p>
        </w:tc>
        <w:tc>
          <w:tcPr>
            <w:tcW w:w="1200" w:type="dxa"/>
            <w:vAlign w:val="bottom"/>
          </w:tcPr>
          <w:p>
            <w:pPr>
              <w:jc w:val="right"/>
              <w:ind w:right="170"/>
              <w:spacing w:after="0"/>
              <w:rPr>
                <w:sz w:val="20"/>
                <w:szCs w:val="20"/>
                <w:color w:val="auto"/>
              </w:rPr>
            </w:pPr>
            <w:r>
              <w:rPr>
                <w:rFonts w:ascii="Arial" w:cs="Arial" w:eastAsia="Arial" w:hAnsi="Arial"/>
                <w:sz w:val="14"/>
                <w:szCs w:val="14"/>
                <w:color w:val="auto"/>
              </w:rPr>
              <w:t>(19,294)</w:t>
            </w:r>
          </w:p>
        </w:tc>
        <w:tc>
          <w:tcPr>
            <w:tcW w:w="1200" w:type="dxa"/>
            <w:vAlign w:val="bottom"/>
          </w:tcPr>
          <w:p>
            <w:pPr>
              <w:jc w:val="right"/>
              <w:ind w:right="210"/>
              <w:spacing w:after="0"/>
              <w:rPr>
                <w:sz w:val="20"/>
                <w:szCs w:val="20"/>
                <w:color w:val="auto"/>
              </w:rPr>
            </w:pPr>
            <w:r>
              <w:rPr>
                <w:rFonts w:ascii="Arial" w:cs="Arial" w:eastAsia="Arial" w:hAnsi="Arial"/>
                <w:sz w:val="14"/>
                <w:szCs w:val="14"/>
                <w:color w:val="auto"/>
              </w:rPr>
              <w:t>(23,717)</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(4,522)</w:t>
            </w:r>
          </w:p>
        </w:tc>
        <w:tc>
          <w:tcPr>
            <w:tcW w:w="1120" w:type="dxa"/>
            <w:vAlign w:val="bottom"/>
          </w:tcPr>
          <w:p>
            <w:pPr>
              <w:jc w:val="right"/>
              <w:spacing w:after="0"/>
              <w:rPr>
                <w:sz w:val="20"/>
                <w:szCs w:val="20"/>
                <w:color w:val="auto"/>
              </w:rPr>
            </w:pPr>
            <w:r>
              <w:rPr>
                <w:rFonts w:ascii="Arial" w:cs="Arial" w:eastAsia="Arial" w:hAnsi="Arial"/>
                <w:sz w:val="14"/>
                <w:szCs w:val="14"/>
                <w:color w:val="auto"/>
              </w:rPr>
              <w:t>(7,270)</w:t>
            </w: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costs</w:t>
            </w:r>
          </w:p>
        </w:tc>
        <w:tc>
          <w:tcPr>
            <w:tcW w:w="1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(7,607)</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(6,297)</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(6,039)</w:t>
            </w: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(2,498)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w:t>
            </w:r>
          </w:p>
        </w:tc>
      </w:tr>
      <w:tr>
        <w:trPr>
          <w:trHeight w:val="206"/>
        </w:trPr>
        <w:tc>
          <w:tcPr>
            <w:tcW w:w="538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400" w:type="dxa"/>
            <w:vAlign w:val="bottom"/>
          </w:tcPr>
          <w:p>
            <w:pPr>
              <w:jc w:val="right"/>
              <w:ind w:right="249"/>
              <w:spacing w:after="0"/>
              <w:rPr>
                <w:sz w:val="20"/>
                <w:szCs w:val="20"/>
                <w:color w:val="auto"/>
              </w:rPr>
            </w:pPr>
            <w:r>
              <w:rPr>
                <w:rFonts w:ascii="Arial" w:cs="Arial" w:eastAsia="Arial" w:hAnsi="Arial"/>
                <w:sz w:val="14"/>
                <w:szCs w:val="14"/>
                <w:color w:val="auto"/>
              </w:rPr>
              <w:t>(41,083)</w:t>
            </w:r>
          </w:p>
        </w:tc>
        <w:tc>
          <w:tcPr>
            <w:tcW w:w="1200" w:type="dxa"/>
            <w:vAlign w:val="bottom"/>
          </w:tcPr>
          <w:p>
            <w:pPr>
              <w:jc w:val="right"/>
              <w:ind w:right="170"/>
              <w:spacing w:after="0"/>
              <w:rPr>
                <w:sz w:val="20"/>
                <w:szCs w:val="20"/>
                <w:color w:val="auto"/>
              </w:rPr>
            </w:pPr>
            <w:r>
              <w:rPr>
                <w:rFonts w:ascii="Arial" w:cs="Arial" w:eastAsia="Arial" w:hAnsi="Arial"/>
                <w:sz w:val="14"/>
                <w:szCs w:val="14"/>
                <w:color w:val="auto"/>
              </w:rPr>
              <w:t>(25,591)</w:t>
            </w:r>
          </w:p>
        </w:tc>
        <w:tc>
          <w:tcPr>
            <w:tcW w:w="1200" w:type="dxa"/>
            <w:vAlign w:val="bottom"/>
          </w:tcPr>
          <w:p>
            <w:pPr>
              <w:jc w:val="right"/>
              <w:ind w:right="210"/>
              <w:spacing w:after="0"/>
              <w:rPr>
                <w:sz w:val="20"/>
                <w:szCs w:val="20"/>
                <w:color w:val="auto"/>
              </w:rPr>
            </w:pPr>
            <w:r>
              <w:rPr>
                <w:rFonts w:ascii="Arial" w:cs="Arial" w:eastAsia="Arial" w:hAnsi="Arial"/>
                <w:sz w:val="14"/>
                <w:szCs w:val="14"/>
                <w:color w:val="auto"/>
              </w:rPr>
              <w:t>(29,756)</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(7,020)</w:t>
            </w:r>
          </w:p>
        </w:tc>
        <w:tc>
          <w:tcPr>
            <w:tcW w:w="1120" w:type="dxa"/>
            <w:vAlign w:val="bottom"/>
          </w:tcPr>
          <w:p>
            <w:pPr>
              <w:jc w:val="right"/>
              <w:spacing w:after="0"/>
              <w:rPr>
                <w:sz w:val="20"/>
                <w:szCs w:val="20"/>
                <w:color w:val="auto"/>
              </w:rPr>
            </w:pPr>
            <w:r>
              <w:rPr>
                <w:rFonts w:ascii="Arial" w:cs="Arial" w:eastAsia="Arial" w:hAnsi="Arial"/>
                <w:sz w:val="14"/>
                <w:szCs w:val="14"/>
                <w:color w:val="auto"/>
              </w:rPr>
              <w:t>(8,976)</w:t>
            </w:r>
          </w:p>
        </w:tc>
      </w:tr>
      <w:tr>
        <w:trPr>
          <w:trHeight w:val="221"/>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income</w:t>
            </w:r>
          </w:p>
        </w:tc>
        <w:tc>
          <w:tcPr>
            <w:tcW w:w="14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2,351</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2,783</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7,018</w:t>
            </w:r>
          </w:p>
        </w:tc>
        <w:tc>
          <w:tcPr>
            <w:tcW w:w="11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1,841</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Finance expense</w:t>
            </w:r>
          </w:p>
        </w:tc>
        <w:tc>
          <w:tcPr>
            <w:tcW w:w="1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(474)</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(1,325)</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(2,465)</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(670)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taxation</w:t>
            </w:r>
          </w:p>
        </w:tc>
        <w:tc>
          <w:tcPr>
            <w:tcW w:w="1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(39,206)</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(24,133)</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(25,203)</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(5,849)</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(8,995)</w:t>
            </w: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Taxation — credit</w:t>
            </w: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7,265</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4,232</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4,706</w:t>
            </w: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954</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1,509</w:t>
            </w:r>
          </w:p>
        </w:tc>
      </w:tr>
      <w:tr>
        <w:trPr>
          <w:trHeight w:val="21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for the year</w:t>
            </w:r>
          </w:p>
        </w:tc>
        <w:tc>
          <w:tcPr>
            <w:tcW w:w="1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(31,941)</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(19,901)</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(20,497)</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(4,895)</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(7,486)</w:t>
            </w:r>
          </w:p>
        </w:tc>
      </w:tr>
      <w:tr>
        <w:trPr>
          <w:trHeight w:val="210"/>
        </w:trPr>
        <w:tc>
          <w:tcPr>
            <w:tcW w:w="5380" w:type="dxa"/>
            <w:vAlign w:val="bottom"/>
          </w:tcPr>
          <w:p>
            <w:pPr>
              <w:ind w:left="20"/>
              <w:spacing w:after="0"/>
              <w:rPr>
                <w:sz w:val="20"/>
                <w:szCs w:val="20"/>
                <w:color w:val="auto"/>
              </w:rPr>
            </w:pPr>
            <w:r>
              <w:rPr>
                <w:rFonts w:ascii="Arial" w:cs="Arial" w:eastAsia="Arial" w:hAnsi="Arial"/>
                <w:sz w:val="14"/>
                <w:szCs w:val="14"/>
                <w:color w:val="auto"/>
              </w:rPr>
              <w:t>Other comprehensive income / (loss):</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Exchange differences on translating foreign operations</w:t>
            </w:r>
          </w:p>
        </w:tc>
        <w:tc>
          <w:tcPr>
            <w:tcW w:w="1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(33)</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38</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(29)</w:t>
            </w:r>
          </w:p>
        </w:tc>
        <w:tc>
          <w:tcPr>
            <w:tcW w:w="11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43</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r>
      <w:tr>
        <w:trPr>
          <w:trHeight w:val="252"/>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comprehensive loss attributable to owners of the company</w:t>
            </w:r>
          </w:p>
        </w:tc>
        <w:tc>
          <w:tcPr>
            <w:tcW w:w="1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(31,974)</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(19,863)</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(20,526)</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(4,852)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(7,482)</w:t>
            </w:r>
          </w:p>
        </w:tc>
      </w:tr>
      <w:tr>
        <w:trPr>
          <w:trHeight w:val="18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per ordinary share — basic and diluted (pence)</w:t>
            </w:r>
          </w:p>
        </w:tc>
        <w:tc>
          <w:tcPr>
            <w:tcW w:w="1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(30.3)</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(18.9)</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(23.4)</w:t>
            </w: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20"/>
        </w:trPr>
        <w:tc>
          <w:tcPr>
            <w:tcW w:w="5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4"/>
        </w:trPr>
        <w:tc>
          <w:tcPr>
            <w:tcW w:w="5380" w:type="dxa"/>
            <w:vAlign w:val="bottom"/>
          </w:tcPr>
          <w:p>
            <w:pPr>
              <w:spacing w:after="0"/>
              <w:rPr>
                <w:sz w:val="24"/>
                <w:szCs w:val="24"/>
                <w:color w:val="auto"/>
              </w:rPr>
            </w:pPr>
          </w:p>
        </w:tc>
        <w:tc>
          <w:tcPr>
            <w:tcW w:w="1400" w:type="dxa"/>
            <w:vAlign w:val="bottom"/>
          </w:tcPr>
          <w:p>
            <w:pPr>
              <w:jc w:val="right"/>
              <w:ind w:right="929"/>
              <w:spacing w:after="0"/>
              <w:rPr>
                <w:sz w:val="20"/>
                <w:szCs w:val="20"/>
                <w:color w:val="auto"/>
              </w:rPr>
            </w:pPr>
            <w:r>
              <w:rPr>
                <w:rFonts w:ascii="Arial" w:cs="Arial" w:eastAsia="Arial" w:hAnsi="Arial"/>
                <w:sz w:val="14"/>
                <w:szCs w:val="14"/>
                <w:color w:val="auto"/>
              </w:rPr>
              <w:t>3</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40"/>
          </w:cols>
          <w:pgMar w:left="220" w:top="293"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8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1"/>
                <w:szCs w:val="11"/>
                <w:b w:val="1"/>
                <w:bCs w:val="1"/>
                <w:color w:val="auto"/>
              </w:rPr>
              <w:t>Year Ended December 31,</w:t>
            </w:r>
          </w:p>
        </w:tc>
        <w:tc>
          <w:tcPr>
            <w:tcW w:w="1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206"/>
        </w:trPr>
        <w:tc>
          <w:tcPr>
            <w:tcW w:w="5280" w:type="dxa"/>
            <w:vAlign w:val="bottom"/>
          </w:tcPr>
          <w:p>
            <w:pPr>
              <w:spacing w:after="0"/>
              <w:rPr>
                <w:sz w:val="17"/>
                <w:szCs w:val="17"/>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2019</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Restated 2018</w:t>
            </w: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1"/>
                <w:szCs w:val="11"/>
                <w:b w:val="1"/>
                <w:bCs w:val="1"/>
                <w:color w:val="auto"/>
              </w:rPr>
              <w:t>Restated 2017</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Restated 2016</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Restated 2015</w:t>
            </w:r>
          </w:p>
        </w:tc>
      </w:tr>
      <w:tr>
        <w:trPr>
          <w:trHeight w:val="196"/>
        </w:trPr>
        <w:tc>
          <w:tcPr>
            <w:tcW w:w="5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jc w:val="right"/>
              <w:ind w:right="512"/>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 of financial position data:</w:t>
            </w: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22,934</w:t>
            </w:r>
          </w:p>
        </w:tc>
        <w:tc>
          <w:tcPr>
            <w:tcW w:w="1100" w:type="dxa"/>
            <w:vAlign w:val="bottom"/>
          </w:tcPr>
          <w:p>
            <w:pPr>
              <w:jc w:val="right"/>
              <w:spacing w:after="0"/>
              <w:rPr>
                <w:sz w:val="20"/>
                <w:szCs w:val="20"/>
                <w:color w:val="auto"/>
              </w:rPr>
            </w:pPr>
            <w:r>
              <w:rPr>
                <w:rFonts w:ascii="Arial" w:cs="Arial" w:eastAsia="Arial" w:hAnsi="Arial"/>
                <w:sz w:val="14"/>
                <w:szCs w:val="14"/>
                <w:color w:val="auto"/>
              </w:rPr>
              <w:t>19,784</w:t>
            </w:r>
          </w:p>
        </w:tc>
        <w:tc>
          <w:tcPr>
            <w:tcW w:w="1540" w:type="dxa"/>
            <w:vAlign w:val="bottom"/>
          </w:tcPr>
          <w:p>
            <w:pPr>
              <w:jc w:val="right"/>
              <w:ind w:right="232"/>
              <w:spacing w:after="0"/>
              <w:rPr>
                <w:sz w:val="20"/>
                <w:szCs w:val="20"/>
                <w:color w:val="auto"/>
              </w:rPr>
            </w:pPr>
            <w:r>
              <w:rPr>
                <w:rFonts w:ascii="Arial" w:cs="Arial" w:eastAsia="Arial" w:hAnsi="Arial"/>
                <w:sz w:val="14"/>
                <w:szCs w:val="14"/>
                <w:color w:val="auto"/>
              </w:rPr>
              <w:t>31,443</w:t>
            </w:r>
          </w:p>
        </w:tc>
        <w:tc>
          <w:tcPr>
            <w:tcW w:w="1140" w:type="dxa"/>
            <w:vAlign w:val="bottom"/>
          </w:tcPr>
          <w:p>
            <w:pPr>
              <w:jc w:val="right"/>
              <w:ind w:right="130"/>
              <w:spacing w:after="0"/>
              <w:rPr>
                <w:sz w:val="20"/>
                <w:szCs w:val="20"/>
                <w:color w:val="auto"/>
              </w:rPr>
            </w:pPr>
            <w:r>
              <w:rPr>
                <w:rFonts w:ascii="Arial" w:cs="Arial" w:eastAsia="Arial" w:hAnsi="Arial"/>
                <w:sz w:val="14"/>
                <w:szCs w:val="14"/>
                <w:color w:val="auto"/>
              </w:rPr>
              <w:t>39,785</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3,524</w:t>
            </w:r>
          </w:p>
        </w:tc>
      </w:tr>
      <w:tr>
        <w:trPr>
          <w:trHeight w:val="221"/>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7,823</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44,919</w:t>
            </w:r>
          </w:p>
        </w:tc>
        <w:tc>
          <w:tcPr>
            <w:tcW w:w="15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48,819</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1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45,135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74,745</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89,988</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46,627</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7,840</w:t>
            </w:r>
          </w:p>
        </w:tc>
      </w:tr>
      <w:tr>
        <w:trPr>
          <w:trHeight w:val="20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premium</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118,862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118,862</w:t>
            </w:r>
          </w:p>
        </w:tc>
        <w:tc>
          <w:tcPr>
            <w:tcW w:w="15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118,862</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58,526</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26,650</w:t>
            </w:r>
          </w:p>
        </w:tc>
      </w:tr>
      <w:tr>
        <w:trPr>
          <w:trHeight w:val="206"/>
        </w:trPr>
        <w:tc>
          <w:tcPr>
            <w:tcW w:w="528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11,270</w:t>
            </w:r>
          </w:p>
        </w:tc>
        <w:tc>
          <w:tcPr>
            <w:tcW w:w="1100" w:type="dxa"/>
            <w:vAlign w:val="bottom"/>
          </w:tcPr>
          <w:p>
            <w:pPr>
              <w:jc w:val="right"/>
              <w:spacing w:after="0"/>
              <w:rPr>
                <w:sz w:val="20"/>
                <w:szCs w:val="20"/>
                <w:color w:val="auto"/>
              </w:rPr>
            </w:pPr>
            <w:r>
              <w:rPr>
                <w:rFonts w:ascii="Arial" w:cs="Arial" w:eastAsia="Arial" w:hAnsi="Arial"/>
                <w:sz w:val="14"/>
                <w:szCs w:val="14"/>
                <w:color w:val="auto"/>
              </w:rPr>
              <w:t>11,327</w:t>
            </w:r>
          </w:p>
        </w:tc>
        <w:tc>
          <w:tcPr>
            <w:tcW w:w="1540" w:type="dxa"/>
            <w:vAlign w:val="bottom"/>
          </w:tcPr>
          <w:p>
            <w:pPr>
              <w:jc w:val="right"/>
              <w:ind w:right="232"/>
              <w:spacing w:after="0"/>
              <w:rPr>
                <w:sz w:val="20"/>
                <w:szCs w:val="20"/>
                <w:color w:val="auto"/>
              </w:rPr>
            </w:pPr>
            <w:r>
              <w:rPr>
                <w:rFonts w:ascii="Arial" w:cs="Arial" w:eastAsia="Arial" w:hAnsi="Arial"/>
                <w:sz w:val="14"/>
                <w:szCs w:val="14"/>
                <w:color w:val="auto"/>
              </w:rPr>
              <w:t>9,623</w:t>
            </w:r>
          </w:p>
        </w:tc>
        <w:tc>
          <w:tcPr>
            <w:tcW w:w="1140" w:type="dxa"/>
            <w:vAlign w:val="bottom"/>
          </w:tcPr>
          <w:p>
            <w:pPr>
              <w:jc w:val="right"/>
              <w:ind w:right="130"/>
              <w:spacing w:after="0"/>
              <w:rPr>
                <w:sz w:val="20"/>
                <w:szCs w:val="20"/>
                <w:color w:val="auto"/>
              </w:rPr>
            </w:pPr>
            <w:r>
              <w:rPr>
                <w:rFonts w:ascii="Arial" w:cs="Arial" w:eastAsia="Arial" w:hAnsi="Arial"/>
                <w:sz w:val="14"/>
                <w:szCs w:val="14"/>
                <w:color w:val="auto"/>
              </w:rPr>
              <w:t>11,674</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2,407</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loss</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100,627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68,633</w:t>
            </w:r>
          </w:p>
        </w:tc>
        <w:tc>
          <w:tcPr>
            <w:tcW w:w="15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48,770</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28,244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23,392</w:t>
            </w:r>
          </w:p>
        </w:tc>
      </w:tr>
      <w:tr>
        <w:trPr>
          <w:trHeight w:val="206"/>
        </w:trPr>
        <w:tc>
          <w:tcPr>
            <w:tcW w:w="52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33,865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63,418</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80,365</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34,953</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5,434</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Our business is primarily conducted in the United Kingdom and we maintain our books and records in pounds sterling.</w:t>
      </w:r>
    </w:p>
    <w:p>
      <w:pPr>
        <w:spacing w:after="0" w:line="29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20" w:top="474"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B. Capitalization and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Reasons for the Offer and Use of Proceeds.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Risk Factors.</w:t>
      </w:r>
    </w:p>
    <w:p>
      <w:pPr>
        <w:spacing w:after="0" w:line="102" w:lineRule="exact"/>
        <w:rPr>
          <w:sz w:val="20"/>
          <w:szCs w:val="20"/>
          <w:color w:val="auto"/>
        </w:rPr>
      </w:pPr>
    </w:p>
    <w:p>
      <w:pPr>
        <w:ind w:right="100"/>
        <w:spacing w:after="0" w:line="294" w:lineRule="auto"/>
        <w:rPr>
          <w:sz w:val="20"/>
          <w:szCs w:val="20"/>
          <w:color w:val="auto"/>
        </w:rPr>
      </w:pPr>
      <w:r>
        <w:rPr>
          <w:rFonts w:ascii="Arial" w:cs="Arial" w:eastAsia="Arial" w:hAnsi="Arial"/>
          <w:sz w:val="14"/>
          <w:szCs w:val="14"/>
          <w:i w:val="1"/>
          <w:iCs w:val="1"/>
          <w:color w:val="auto"/>
        </w:rPr>
        <w:t>You should carefully consider the risks and uncertainties described below and the other information in this Annual Report. Our business, financial condition or results of operations could be materially and adversely affected if any of these risks occur.</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a limited operating history and have never generated any product revenue.</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are a clinical-stage biopharmaceutical company with a limited operating history, and have incurred significant operating losses since our inception. We had net losses of £31.9 million, £19.9 million and £20.5 million for the years ended December 31, 2019, 2018 and 2017, respectively. As of December 31, 2019, we had an accumulated loss of £100.6 million (2018: £68.6 million). Our losses have resulted principally from expenses incurred in research and development of ensifentrine, our only product candidate, and from general and administrative costs that we have incurred while building our business infrastructure. We expect to continue to incur significant operating losses for the foreseeable future as we expand our research and development efforts, advance our clinical development of ensifentrine, and seek to obtain regulatory approval for and commercialize ensifentrine. We anticipate that our expenses will increase substantially as we:</w:t>
      </w:r>
    </w:p>
    <w:p>
      <w:pPr>
        <w:spacing w:after="0" w:line="96" w:lineRule="exact"/>
        <w:rPr>
          <w:sz w:val="20"/>
          <w:szCs w:val="20"/>
          <w:color w:val="auto"/>
        </w:rPr>
      </w:pPr>
    </w:p>
    <w:p>
      <w:pPr>
        <w:ind w:left="520" w:right="560" w:hanging="255"/>
        <w:spacing w:after="0" w:line="256"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conduct our ongoing and planned Phase 2 clinical trials and, subject to regulatory review, initiate and conduct Phase 3 clinical trials and other future clinical trials of ensifentrine for the treatment of chronic obstructive pulmonary disease, or COPD;</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conduct any clinical trials of ensifentrine for the treatment of cystic fibrosis, or CF, asthma or other indications;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seek to discover and develop or in-license additional respiratory product candidates;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conduct pre-clinical studies to support ensifentrine and potentially other future product candidates;</w:t>
      </w:r>
    </w:p>
    <w:p>
      <w:pPr>
        <w:spacing w:after="0" w:line="11" w:lineRule="exact"/>
        <w:rPr>
          <w:rFonts w:ascii="Arial" w:cs="Arial" w:eastAsia="Arial" w:hAnsi="Arial"/>
          <w:sz w:val="14"/>
          <w:szCs w:val="14"/>
          <w:color w:val="auto"/>
        </w:rPr>
      </w:pPr>
    </w:p>
    <w:p>
      <w:pPr>
        <w:ind w:left="520" w:right="380" w:hanging="255"/>
        <w:spacing w:after="0" w:line="256"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develop the manufacturing processes and produce clinical and commercial supplies of the ensifentrine active pharmaceutical ingredient and formulated drug products derived from it;</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seek regulatory approvals of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potentially establish a sales, marketing and distribution infrastructure and scale-up manufacturing capabilities to commercialize ensifentrine, if approved;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secure, maintain or obtain freedom to operate for our in-licensed technologies and products;</w:t>
      </w:r>
    </w:p>
    <w:p>
      <w:pPr>
        <w:spacing w:after="0" w:line="11" w:lineRule="exact"/>
        <w:rPr>
          <w:rFonts w:ascii="Arial" w:cs="Arial" w:eastAsia="Arial" w:hAnsi="Arial"/>
          <w:sz w:val="14"/>
          <w:szCs w:val="14"/>
          <w:color w:val="auto"/>
        </w:rPr>
      </w:pPr>
    </w:p>
    <w:p>
      <w:pPr>
        <w:ind w:left="520" w:right="240" w:hanging="255"/>
        <w:spacing w:after="0" w:line="256"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add clinical, scientific, operational, financial and management information systems and personnel, including personnel to support our product development and potential future commercialization efforts; and</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expand our operations in the United States, the United Kingdom and possibly elsewhere.</w:t>
      </w:r>
    </w:p>
    <w:p>
      <w:pPr>
        <w:spacing w:after="0" w:line="119"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194"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We have devoted substantially all of our financial resources and efforts to the research and development and pre-clinical studies and clinical trials of ensifentrine. We are continuing development of ensifentrine, and we have not completed development of any product candidate or any drugs.</w:t>
      </w:r>
    </w:p>
    <w:p>
      <w:pPr>
        <w:spacing w:after="0" w:line="194"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discovering and developing additional product candidates, obtaining regulatory approval for ensifentrine and any future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we may never generate revenue that is significant enough to achieve profitability.</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20" w:top="466" w:right="259" w:bottom="1440" w:gutter="0" w:footer="0" w:header="0"/>
        </w:sectPr>
      </w:pPr>
    </w:p>
    <w:bookmarkStart w:id="6" w:name="page7"/>
    <w:bookmarkEnd w:id="6"/>
    <w:p>
      <w:pPr>
        <w:ind w:right="180"/>
        <w:spacing w:after="0" w:line="262" w:lineRule="auto"/>
        <w:rPr>
          <w:sz w:val="20"/>
          <w:szCs w:val="20"/>
          <w:color w:val="auto"/>
        </w:rPr>
      </w:pPr>
      <w:r>
        <w:rPr>
          <w:rFonts w:ascii="Arial" w:cs="Arial" w:eastAsia="Arial" w:hAnsi="Arial"/>
          <w:sz w:val="14"/>
          <w:szCs w:val="14"/>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spacing w:after="0" w:line="94" w:lineRule="exact"/>
        <w:rPr>
          <w:sz w:val="20"/>
          <w:szCs w:val="20"/>
          <w:color w:val="auto"/>
        </w:rPr>
      </w:pPr>
    </w:p>
    <w:p>
      <w:pPr>
        <w:ind w:right="460"/>
        <w:spacing w:after="0" w:line="265" w:lineRule="auto"/>
        <w:rPr>
          <w:sz w:val="20"/>
          <w:szCs w:val="20"/>
          <w:color w:val="auto"/>
        </w:rPr>
      </w:pPr>
      <w:r>
        <w:rPr>
          <w:rFonts w:ascii="Arial" w:cs="Arial" w:eastAsia="Arial" w:hAnsi="Arial"/>
          <w:sz w:val="14"/>
          <w:szCs w:val="14"/>
          <w:color w:val="auto"/>
        </w:rPr>
        <w:t>Even if we do generate product royalties or product sales, we may never achieve or sustain profitability on a quarterly or annual basis. Our failure to sustain profitability would depress the market price of our ADSs and ordinary shares and could impair our ability to raise capital, expand our business, diversify our product offerings or continue our operations. A decline in the market price of our ADSs or ordinary shares also could cause our ADS holders and shareholders to lose all or a part of their investment.</w:t>
      </w:r>
    </w:p>
    <w:p>
      <w:pPr>
        <w:spacing w:after="0" w:line="74" w:lineRule="exact"/>
        <w:rPr>
          <w:sz w:val="20"/>
          <w:szCs w:val="20"/>
          <w:color w:val="auto"/>
        </w:rPr>
      </w:pPr>
    </w:p>
    <w:p>
      <w:pPr>
        <w:ind w:right="140"/>
        <w:spacing w:after="0" w:line="300" w:lineRule="auto"/>
        <w:rPr>
          <w:sz w:val="20"/>
          <w:szCs w:val="20"/>
          <w:color w:val="auto"/>
        </w:rPr>
      </w:pPr>
      <w:r>
        <w:rPr>
          <w:rFonts w:ascii="Arial" w:cs="Arial" w:eastAsia="Arial" w:hAnsi="Arial"/>
          <w:sz w:val="14"/>
          <w:szCs w:val="14"/>
          <w:b w:val="1"/>
          <w:bCs w:val="1"/>
          <w:color w:val="auto"/>
        </w:rPr>
        <w:t>We will need additional funding to complete development of ensifentrine and any future product candidates, and to commercialize our products, if approved. If we are unable to raise capital when needed, we could be forced to delay, reduce or eliminate our product development programs or commercialization efforts.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expect our expenses to increase in connection with our ongoing and planned activities, particularly as we conduct our ongoing clinical trials of ensifentrine and, subject to regulatory review, our planned Phase 3 clinical trials of ensifentrine, and develop ensifentrine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Kingdom and the United States and maintaining a listing on both AIM, a market of the London Stock Exchange, and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27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estimate that our existing cash resources and short-term investments will not be sufficient to complete a Phase 3 program of ensifentrine for the maintenance treatment of COPD. We will require additional funds to complete our planned Phase 3 clinical trials and other studies, including any post-marketing studies, to support the commercial positioning of ensifentrine for the treatment of COPD, if regulatory approval is received.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119" w:lineRule="exact"/>
        <w:rPr>
          <w:sz w:val="20"/>
          <w:szCs w:val="20"/>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costs, progress and results of our planned Phase 3 clinical trials for the maintenance treatment of COPD, subject to regulatory review;</w:t>
      </w:r>
    </w:p>
    <w:p>
      <w:pPr>
        <w:spacing w:after="0" w:line="11" w:lineRule="exact"/>
        <w:rPr>
          <w:rFonts w:ascii="Arial" w:cs="Arial" w:eastAsia="Arial" w:hAnsi="Arial"/>
          <w:sz w:val="14"/>
          <w:szCs w:val="14"/>
          <w:color w:val="auto"/>
        </w:rPr>
      </w:pPr>
    </w:p>
    <w:p>
      <w:pPr>
        <w:ind w:left="520" w:right="320" w:hanging="255"/>
        <w:spacing w:after="0" w:line="256"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costs, timing and outcome of the regulatory review of ensifentrine, including any post-marketing studies that could be required by regulatory authorities, if regulatory approval is received;</w:t>
      </w:r>
    </w:p>
    <w:p>
      <w:pPr>
        <w:spacing w:after="0" w:line="1" w:lineRule="exact"/>
        <w:rPr>
          <w:rFonts w:ascii="Arial" w:cs="Arial" w:eastAsia="Arial" w:hAnsi="Arial"/>
          <w:sz w:val="14"/>
          <w:szCs w:val="14"/>
          <w:color w:val="auto"/>
        </w:rPr>
      </w:pPr>
    </w:p>
    <w:p>
      <w:pPr>
        <w:ind w:left="520" w:right="560" w:hanging="255"/>
        <w:spacing w:after="0" w:line="256"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cost, progress and results of any other studies required to support the commercial positioning of ensifentrine for the treatment of COPD, if regulatory approval is received;</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cost, progress and results of any clinical trials for the treatment of CF or other indications;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cost of manufacturing clinical and commercial supplies of the ensifentrine active ingredient and derived formulated drug products;</w:t>
      </w:r>
    </w:p>
    <w:p>
      <w:pPr>
        <w:spacing w:after="0" w:line="11" w:lineRule="exact"/>
        <w:rPr>
          <w:rFonts w:ascii="Arial" w:cs="Arial" w:eastAsia="Arial" w:hAnsi="Arial"/>
          <w:sz w:val="14"/>
          <w:szCs w:val="14"/>
          <w:color w:val="auto"/>
        </w:rPr>
      </w:pPr>
    </w:p>
    <w:p>
      <w:pPr>
        <w:ind w:left="520" w:hanging="255"/>
        <w:spacing w:after="0" w:line="257"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scope, progress, results and costs of pre-clinical development, laboratory testing and clinical trials for ensifentrine in other indications and of the development of DPI and MDI formulations of ensifentrine for the maintenance treatment of COPD and potentially asthma and other respiratory diseases;</w:t>
      </w: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costs, timing and outcome of potential future commercialization activities, including manufacturing, marketing, sales and distribution, for ensifentrine;</w:t>
      </w:r>
    </w:p>
    <w:p>
      <w:pPr>
        <w:spacing w:after="0" w:line="11" w:lineRule="exact"/>
        <w:rPr>
          <w:rFonts w:ascii="Arial" w:cs="Arial" w:eastAsia="Arial" w:hAnsi="Arial"/>
          <w:sz w:val="14"/>
          <w:szCs w:val="14"/>
          <w:color w:val="auto"/>
        </w:rPr>
      </w:pPr>
    </w:p>
    <w:p>
      <w:pPr>
        <w:ind w:left="520" w:right="580" w:hanging="255"/>
        <w:spacing w:after="0" w:line="256"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timing and amount of revenue, if any, received from commercial sales of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sales price and availability of adequate third-party coverage and reimbursement for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419" w:right="219" w:bottom="1440" w:gutter="0" w:footer="0" w:header="0"/>
        </w:sectPr>
      </w:pPr>
    </w:p>
    <w:bookmarkStart w:id="7" w:name="page8"/>
    <w:bookmarkEnd w:id="7"/>
    <w:p>
      <w:pPr>
        <w:ind w:left="520" w:right="80" w:hanging="255"/>
        <w:spacing w:after="0" w:line="273"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86"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200"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182"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b w:val="1"/>
          <w:bCs w:val="1"/>
          <w:color w:val="auto"/>
        </w:rPr>
        <w:t>We depend heavily on the success of ensifentrine, our only product candidate under development. We cannot give any assurance that ensifentrine will receive regulatory approval for any indication, which is necessary before it can be commercialized. If we, and any collaborators with whom we may enter into agreements for the development and commercialization of ensifentrine, are unable to commercialize ensifentrine, or experience significant delays in doing so, our ability to generate revenue and our financial condition will be adversely affected.</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which we do not expect will occur for at least the next several years, if ever, will depend heavily on the successful development and eventual commercialization of ensifentrine, if approved, which may never occur. Ensifentrine will require additional clinical development, management of clinical, pre-clinical and manufacturing activities, regulatory approval in multiple jurisdictions,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EMA or comparable foreign regulatory authorities, and we may never receive such regulatory approval for ensifentrine or any future product candidate. We have not submitted a New Drug Application, or NDA, to the FDA, a Marketing Authorization Application, or MAA, to the EMA or comparable applications to other regulatory authorities and do not expect to be in a position to do so in the foreseeable future. The success of ensifentrine will depend on many factors, including the following:</w:t>
      </w:r>
    </w:p>
    <w:p>
      <w:pPr>
        <w:spacing w:after="0" w:line="268" w:lineRule="exact"/>
        <w:rPr>
          <w:sz w:val="20"/>
          <w:szCs w:val="20"/>
          <w:color w:val="auto"/>
        </w:rPr>
      </w:pPr>
    </w:p>
    <w:p>
      <w:pPr>
        <w:ind w:left="520" w:right="680" w:hanging="255"/>
        <w:spacing w:after="0" w:line="25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may not be able to demonstrate that ensifentrine is safe and effective as a treatment for our targeted indications to the satisfaction of the applicable regulatory authorities;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applicable regulatory authorities may require additional pre-clinical or clinical trials, which would increase our costs and prolong our development;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results of clinical trials of ensifentrine may not meet the level of statistical or clinical significance required by the applicable regulatory authorities for marketing approval;</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applicable regulatory authorities may disagree with the number, design, size, conduct or implementation of our planned clinical trials;</w:t>
      </w:r>
    </w:p>
    <w:p>
      <w:pPr>
        <w:spacing w:after="0" w:line="11" w:lineRule="exact"/>
        <w:rPr>
          <w:rFonts w:ascii="Arial" w:cs="Arial" w:eastAsia="Arial" w:hAnsi="Arial"/>
          <w:sz w:val="14"/>
          <w:szCs w:val="14"/>
          <w:color w:val="auto"/>
        </w:rPr>
      </w:pPr>
    </w:p>
    <w:p>
      <w:pPr>
        <w:ind w:left="520" w:right="300" w:hanging="255"/>
        <w:spacing w:after="0" w:line="25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contract research organizations, or CROs, that we retain to conduct clinical trials may take actions outside of our control that materially adversely impact our clinical trials;</w:t>
      </w:r>
    </w:p>
    <w:p>
      <w:pPr>
        <w:spacing w:after="0" w:line="1" w:lineRule="exact"/>
        <w:rPr>
          <w:rFonts w:ascii="Arial" w:cs="Arial" w:eastAsia="Arial" w:hAnsi="Arial"/>
          <w:sz w:val="14"/>
          <w:szCs w:val="14"/>
          <w:color w:val="auto"/>
        </w:rPr>
      </w:pPr>
    </w:p>
    <w:p>
      <w:pPr>
        <w:ind w:left="520" w:right="680" w:hanging="255"/>
        <w:spacing w:after="0" w:line="25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ability to demonstrate a non-clinical safety profile that is acceptable to the applicable regulatory authorities;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unexpected operational or clinical issues may prevent completion or interpretation of clinical study results;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unexpected manufacturing issues, product performance issues or stability issues may delay or otherwise adversely affect the progress of our clinical development program;</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applicable regulatory authorities may not accept data generated at our clinical trial sites;</w:t>
      </w:r>
    </w:p>
    <w:p>
      <w:pPr>
        <w:spacing w:after="0" w:line="11" w:lineRule="exact"/>
        <w:rPr>
          <w:rFonts w:ascii="Arial" w:cs="Arial" w:eastAsia="Arial" w:hAnsi="Arial"/>
          <w:sz w:val="14"/>
          <w:szCs w:val="14"/>
          <w:color w:val="auto"/>
        </w:rPr>
      </w:pPr>
    </w:p>
    <w:p>
      <w:pPr>
        <w:ind w:left="520" w:right="120" w:hanging="255"/>
        <w:spacing w:after="0" w:line="265"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40"/>
          </w:cols>
          <w:pgMar w:left="220" w:top="311" w:right="239" w:bottom="1440" w:gutter="0" w:footer="0" w:header="0"/>
        </w:sectPr>
      </w:pPr>
    </w:p>
    <w:bookmarkStart w:id="8" w:name="page9"/>
    <w:bookmarkEnd w:id="8"/>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applicable regulatory authorities may require development of a risk evaluation and mitigation strategy, or REMS, as a condition of approval;</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applicable regulatory authorities may identify deficiencies in the manufacturing processes or facilities of our third-party manufacturers;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applicable regulatory authorities may change their approval policies or adopt new regulations;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we license ensifentrine to others, the efforts of those parties in completing clinical trials of, receiving regulatory approval for, and commercializing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through our clinical trials, we may discover factors that limit the commercial viability of ensifentrine or make the commercialization of ensifentrine unfeasible;</w:t>
      </w:r>
    </w:p>
    <w:p>
      <w:pPr>
        <w:spacing w:after="0" w:line="11" w:lineRule="exact"/>
        <w:rPr>
          <w:rFonts w:ascii="Arial" w:cs="Arial" w:eastAsia="Arial" w:hAnsi="Arial"/>
          <w:sz w:val="14"/>
          <w:szCs w:val="14"/>
          <w:color w:val="auto"/>
        </w:rPr>
      </w:pPr>
    </w:p>
    <w:p>
      <w:pPr>
        <w:ind w:left="520" w:right="400" w:hanging="255"/>
        <w:spacing w:after="0" w:line="256"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spacing w:after="0" w:line="1" w:lineRule="exact"/>
        <w:rPr>
          <w:rFonts w:ascii="Arial" w:cs="Arial" w:eastAsia="Arial" w:hAnsi="Arial"/>
          <w:sz w:val="14"/>
          <w:szCs w:val="14"/>
          <w:color w:val="auto"/>
        </w:rPr>
      </w:pPr>
    </w:p>
    <w:p>
      <w:pPr>
        <w:ind w:left="520" w:right="20" w:hanging="255"/>
        <w:spacing w:after="0" w:line="273"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An unfavorable outcome in any of these factors could result in our experiencing significant delays or an inability to successfully commercialize ensifentrine.</w:t>
      </w:r>
    </w:p>
    <w:p>
      <w:pPr>
        <w:spacing w:after="0" w:line="237"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plan to seek regulatory approval to commercialize ensifentrine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limited operating history may make it difficult for investors to evaluate the success of our business to date and to assess our future viability.</w:t>
      </w:r>
    </w:p>
    <w:p>
      <w:pPr>
        <w:spacing w:after="0" w:line="245"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for ensifentrine, but we have not yet demonstrated our ability to successfully complete any Phase 3 or other pivotal clinical trials, obtain regulatory approvals, manufacture a commercial-scale product or arrange for a third party to do so on our behalf or conduct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20" w:top="311" w:right="2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Raising additional capital may cause dilution to our holders, restrict our operations or require us to relinquish rights to our technologies or product candidates.</w:t>
      </w:r>
    </w:p>
    <w:p>
      <w:pPr>
        <w:spacing w:after="0" w:line="24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or ordinary shares to decline.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may become subject to economic, political, regulatory and other risks associated with international operations.</w:t>
      </w:r>
    </w:p>
    <w:p>
      <w:pPr>
        <w:spacing w:after="0" w:line="245"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As a company based in the United Kingdom, our business is subject to risks associated with conducting business internationally. Almost all of our suppliers and collaborative and clinical trial relationships are located outside the United States. Accordingly, our future results could be harmed by a variety of factors, including:</w:t>
      </w:r>
    </w:p>
    <w:p>
      <w:pPr>
        <w:spacing w:after="0" w:line="86" w:lineRule="exact"/>
        <w:rPr>
          <w:sz w:val="20"/>
          <w:szCs w:val="20"/>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non-U.S. economies and markets;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differing regulatory requirements for drug approvals in non-U.S. countries;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differing jurisdictions could present different issues for securing, maintaining or obtaining freedom to operate in such jurisdictions;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potentially reduced protection for intellectual property rights;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difficulties in compliance with non-U.S. laws and regulations;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non-U.S. regulations and customs, tariffs and trade barriers;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non-U.S. currency exchange rates of the euro and currency controls;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a specific country's or region's political or economic environment, including the withdrawal of the United Kingdom from the EU;</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trade protection measures, import or export licensing requirements or other restrictive actions by U.S. or non-U.S. governments;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differing reimbursement regimes and price controls in certain non-U.S. markets;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negative consequences from changes in tax laws;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more common than in the United States;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difficulties associated with staffing and managing international operations, including differing labor relations;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production shortages resulting from any events affecting raw material supply or manufacturing capabilities abroad; and</w:t>
      </w:r>
    </w:p>
    <w:p>
      <w:pPr>
        <w:spacing w:after="0" w:line="11" w:lineRule="exact"/>
        <w:rPr>
          <w:rFonts w:ascii="Arial" w:cs="Arial" w:eastAsia="Arial" w:hAnsi="Arial"/>
          <w:sz w:val="14"/>
          <w:szCs w:val="14"/>
          <w:color w:val="auto"/>
        </w:rPr>
      </w:pPr>
    </w:p>
    <w:p>
      <w:pPr>
        <w:ind w:left="520" w:right="20" w:hanging="255"/>
        <w:spacing w:after="0" w:line="273"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 or public health emergencies, such as the novel coronavirus (COVID-19).</w:t>
      </w:r>
    </w:p>
    <w:p>
      <w:pPr>
        <w:spacing w:after="0" w:line="68" w:lineRule="exact"/>
        <w:rPr>
          <w:sz w:val="20"/>
          <w:szCs w:val="20"/>
          <w:color w:val="auto"/>
        </w:rPr>
      </w:pPr>
    </w:p>
    <w:p>
      <w:pPr>
        <w:ind w:right="120"/>
        <w:spacing w:after="0" w:line="300" w:lineRule="auto"/>
        <w:rPr>
          <w:sz w:val="20"/>
          <w:szCs w:val="20"/>
          <w:color w:val="auto"/>
        </w:rPr>
      </w:pPr>
      <w:r>
        <w:rPr>
          <w:rFonts w:ascii="Arial" w:cs="Arial" w:eastAsia="Arial" w:hAnsi="Arial"/>
          <w:sz w:val="14"/>
          <w:szCs w:val="14"/>
          <w:b w:val="1"/>
          <w:bCs w:val="1"/>
          <w:color w:val="auto"/>
        </w:rPr>
        <w:t>The United Kingdom's withdrawal from the EU may have a negative effect on global economic conditions, financial markets and our business, which could reduce the price of our ADSs and ordinary shares.</w:t>
      </w:r>
    </w:p>
    <w:p>
      <w:pPr>
        <w:spacing w:after="0" w:line="68"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Following a national referendum and enactment of legislation by the government of the United Kingdom, the United Kingdom formally withdrew from the EU on January 31, 2020 and entered into a transition period during which it will continue its ongoing and complex negotiations with the EU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w:t>
      </w:r>
    </w:p>
    <w:p>
      <w:pPr>
        <w:spacing w:after="0" w:line="94" w:lineRule="exact"/>
        <w:rPr>
          <w:sz w:val="20"/>
          <w:szCs w:val="20"/>
          <w:color w:val="auto"/>
        </w:rPr>
      </w:pPr>
    </w:p>
    <w:p>
      <w:pPr>
        <w:ind w:right="680"/>
        <w:spacing w:after="0" w:line="273" w:lineRule="auto"/>
        <w:rPr>
          <w:sz w:val="20"/>
          <w:szCs w:val="20"/>
          <w:color w:val="auto"/>
        </w:rPr>
      </w:pPr>
      <w:r>
        <w:rPr>
          <w:rFonts w:ascii="Arial" w:cs="Arial" w:eastAsia="Arial" w:hAnsi="Arial"/>
          <w:sz w:val="14"/>
          <w:szCs w:val="14"/>
          <w:color w:val="auto"/>
        </w:rPr>
        <w:t>These developments have created significant uncertainty about the future relationship between the United Kingdom and the EU. Lack of clarity about future U.K. laws and regulations as the United Kingdom determines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401" w:right="219" w:bottom="1440" w:gutter="0" w:footer="0" w:header="0"/>
        </w:sectPr>
      </w:pPr>
    </w:p>
    <w:bookmarkStart w:id="10" w:name="page11"/>
    <w:bookmarkEnd w:id="10"/>
    <w:p>
      <w:pPr>
        <w:ind w:right="60"/>
        <w:spacing w:after="0" w:line="260" w:lineRule="auto"/>
        <w:rPr>
          <w:sz w:val="20"/>
          <w:szCs w:val="20"/>
          <w:color w:val="auto"/>
        </w:rPr>
      </w:pPr>
      <w:r>
        <w:rPr>
          <w:rFonts w:ascii="Arial" w:cs="Arial" w:eastAsia="Arial" w:hAnsi="Arial"/>
          <w:sz w:val="14"/>
          <w:szCs w:val="14"/>
          <w:color w:val="auto"/>
        </w:rPr>
        <w:t>which EU-derived laws and regulations to replace or replicate as part of a withdrawal, including financial laws and regulations, tax and free trade agreements, intellectual property rights, supply chain logistics, environmental, health and safety laws and regulations, immigration laws and employment laws, could further decrease foreign direct investment in the United Kingdom, increase costs, depress economic activity and restrict our access to capital.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Any of these factors could have a significant adverse effect on our business, financial condition, results of operations and prospects.</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Further, the United Kingdom’s withdrawal from the EU has resulted in the relocation of the EMA from the United Kingdom to the Netherlands. This relocation has caused, and may continue to cause, disruption in the administrative and medical scientific links between the EMA and the U.K. Medicines and Healthcare products Regulatory Agency,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products in the EU and/or the United Kingdom.</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Exchange rate fluctuations may materially affect our results of operations and financial condition.</w:t>
      </w:r>
    </w:p>
    <w:p>
      <w:pPr>
        <w:spacing w:after="0" w:line="24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Owing to the international scope of our operations, fluctuations in exchange rates, particularly between the pound sterling and the U.S. dollar, may adversely affect us. Although we are based in the United Kingdom, we source research and development, manufacturing, consulting and other services from the United States and the EU. Further, potential future revenue may be derived from abroad, particularly from the United States.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Development, Clinical Testing and Regulatory Approval</w:t>
      </w:r>
    </w:p>
    <w:p>
      <w:pPr>
        <w:spacing w:after="0" w:line="227"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b w:val="1"/>
          <w:bCs w:val="1"/>
          <w:color w:val="auto"/>
        </w:rPr>
        <w:t>Our only product candidate, ensifentrine, is in clinical development. Clinical drug development is a lengthy and expensive process with uncertain timelines and uncertain outcomes. If clinical trials of ensifentrine are prolonged or delayed, or if ensifentrine in later stage clinical trials fails to show the desired safety and efficacy, we or our collaborators may be unable to obtain required regulatory approvals and be unable to commercialize ensifentrine on a timely basis, or at all.</w:t>
      </w:r>
    </w:p>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204"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92" w:lineRule="exact"/>
        <w:rPr>
          <w:sz w:val="20"/>
          <w:szCs w:val="20"/>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delays in or failure to obtain regulatory agreement on appropriate Phase 3 trial design, including dose and frequency of administration;</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delays in of failure to obtain regulatory approval to commence a trial;</w:t>
      </w:r>
    </w:p>
    <w:p>
      <w:pPr>
        <w:spacing w:after="0" w:line="11" w:lineRule="exact"/>
        <w:rPr>
          <w:rFonts w:ascii="Arial" w:cs="Arial" w:eastAsia="Arial" w:hAnsi="Arial"/>
          <w:sz w:val="14"/>
          <w:szCs w:val="14"/>
          <w:color w:val="auto"/>
        </w:rPr>
      </w:pPr>
    </w:p>
    <w:p>
      <w:pPr>
        <w:ind w:left="520" w:right="240" w:hanging="255"/>
        <w:spacing w:after="0" w:line="256"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delays in or failure to obtain institutional review board, or IRB, approval at each site;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delays in or failure to recruit suitable patients to participate in a trial;</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failure to have patients complete a trial or return for post-treatment follow-up;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20" w:top="419" w:right="239" w:bottom="1440" w:gutter="0" w:footer="0" w:header="0"/>
        </w:sectPr>
      </w:pPr>
    </w:p>
    <w:bookmarkStart w:id="11" w:name="page12"/>
    <w:bookmarkEnd w:id="11"/>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clinical sites deviating from trial protocol or dropping out of a trial or committing gross misconduct or fraud;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adding new clinical trial sites;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inability to achieve or maintain double blinding of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unexpected technical issues during manufacture of ensifentrine and the corresponding drug products;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variability in drug product performance and/or stability;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inability to manufacture sufficient quantities of ensifentrine for use in clinical trials;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third-party actions claiming infringement by ensifentrine in clinical trials and obtaining injunctions interfering with our progress;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w:t>
      </w:r>
    </w:p>
    <w:p>
      <w:pPr>
        <w:spacing w:after="0" w:line="11" w:lineRule="exact"/>
        <w:rPr>
          <w:rFonts w:ascii="Arial" w:cs="Arial" w:eastAsia="Arial" w:hAnsi="Arial"/>
          <w:sz w:val="14"/>
          <w:szCs w:val="14"/>
          <w:color w:val="auto"/>
        </w:rPr>
      </w:pPr>
    </w:p>
    <w:p>
      <w:pPr>
        <w:ind w:left="520" w:right="360" w:hanging="255"/>
        <w:spacing w:after="0" w:line="256"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safety or tolerability concerns causing us or our collaborators, as applicable, to suspend or terminate a trial if we or our collaborators find that the participants are being exposed to unacceptable health risks;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changes in regulatory requirements, policies and guidelines;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lower than anticipated retention rates of patients and volunteers in clinical trials;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third-party research contractors failing to comply with regulatory requirements or to meet their contractual obligations to us in a timely manner, or at all;</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delays in establishing the appropriate dosage levels or frequency of dosing or treatment in clinical trials;</w:t>
      </w:r>
    </w:p>
    <w:p>
      <w:pPr>
        <w:spacing w:after="0" w:line="11" w:lineRule="exact"/>
        <w:rPr>
          <w:rFonts w:ascii="Arial" w:cs="Arial" w:eastAsia="Arial" w:hAnsi="Arial"/>
          <w:sz w:val="14"/>
          <w:szCs w:val="14"/>
          <w:color w:val="auto"/>
        </w:rPr>
      </w:pPr>
    </w:p>
    <w:p>
      <w:pPr>
        <w:ind w:left="520" w:right="200" w:hanging="255"/>
        <w:spacing w:after="0" w:line="256"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difficulty in certain countries in identifying the sub-populations that we are trying to treat in a particular trial, which may delay enrollment and reduce the power of a clinical trial to detect statistically significant results;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quality or stability of ensifentrine falling below acceptable standards for either safety or efficacy;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discoveries that may reduce the commercial viability of ensifentrine.</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375"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20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If we experience delays in the completion of any clinical trial of ensifentrine or any clinical trial of ensifentrine is terminated, the commercial prospects of ensifentrine may be harmed, and our ability to generate product revenues from ensifentrine, if any, will be delayed. Moreover, any delays in completing our clinical trials will increase our costs, slow down the development and approval process of ensifentrine and jeopardize our ability to commence product sales and generate revenue, if any. Significant clinical trial delays could also allow our competitors to bring products to market before we do or shorten any periods during which we have the exclusive right to commercialize ensifentrine and could impair our ability to commercialize ensifentrine. In addition, many of the factors that cause, or lead to, a delay in the commencement or completion of clinical trials may also ultimately lead to the denial of regulatory approval of ensifentrine.</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at the medical institutions where the clinical trials are conducted. In addition, clinical trials must be conducted with supplies of ensifentrine produced under current good manufacturing practice,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311" w:right="219" w:bottom="1440" w:gutter="0" w:footer="0" w:header="0"/>
        </w:sectPr>
      </w:pPr>
    </w:p>
    <w:bookmarkStart w:id="12" w:name="page13"/>
    <w:bookmarkEnd w:id="12"/>
    <w:p>
      <w:pPr>
        <w:jc w:val="both"/>
        <w:ind w:right="220"/>
        <w:spacing w:after="0" w:line="262" w:lineRule="auto"/>
        <w:rPr>
          <w:sz w:val="20"/>
          <w:szCs w:val="20"/>
          <w:color w:val="auto"/>
        </w:rPr>
      </w:pPr>
      <w:r>
        <w:rPr>
          <w:rFonts w:ascii="Arial" w:cs="Arial" w:eastAsia="Arial" w:hAnsi="Arial"/>
          <w:sz w:val="14"/>
          <w:szCs w:val="14"/>
          <w:color w:val="auto"/>
        </w:rPr>
        <w:t>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84"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b w:val="1"/>
          <w:b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19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Undesirable side effects that may be caused by ensifentrine could cause us or regulatory authorities to interrupt, delay or halt clinical trials and could result in a more restrictive label or the delay or denial of regulatory approval by the FDA, EMA or other comparable foreign authorities. We have completed 15 Phase 1 and 2 clinical trials of ensifentrine. In these trials, some patients have experienced mild to moderate adverse reactions, including headache, dizziness, cough, heart palpitation, nausea, dry mouth, throat irritation, paresthesia (tingling) and rash.</w:t>
      </w:r>
    </w:p>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To date, thirteen patients have reported in aggregate sixteen serious adverse events (including a suicide); eleven of these serious adverse events were assessed as not related to study drug and five of which were assessed by the investigators as possibly related although relevant mitigating factors were subsequently considered.</w:t>
      </w:r>
    </w:p>
    <w:p>
      <w:pPr>
        <w:spacing w:after="0" w:line="194"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Results of our future clinical trials could reveal a high and unacceptable severity and prevalence of adverse side effects. In such an event, our trials could be suspended or terminated and the FDA, EMA or other comparable foreign regulatory authorities could order us to cease further development of or deny approval of ensifentrine for any or all targeted indications. The drug-related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94" w:lineRule="exact"/>
        <w:rPr>
          <w:sz w:val="20"/>
          <w:szCs w:val="20"/>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regulatory authorities may withdraw approvals of such products and require us to take ensifentrine off the market;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specific warnings, a contraindication or field alerts to physicians and pharmacies;</w:t>
      </w:r>
    </w:p>
    <w:p>
      <w:pPr>
        <w:spacing w:after="0" w:line="11" w:lineRule="exact"/>
        <w:rPr>
          <w:rFonts w:ascii="Arial" w:cs="Arial" w:eastAsia="Arial" w:hAnsi="Arial"/>
          <w:sz w:val="14"/>
          <w:szCs w:val="14"/>
          <w:color w:val="auto"/>
        </w:rPr>
      </w:pPr>
    </w:p>
    <w:p>
      <w:pPr>
        <w:ind w:left="520" w:right="20" w:hanging="255"/>
        <w:spacing w:after="0" w:line="256"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regulatory authorities may require a medication guide outlining the risks of such side effects for distribution to patients, or that we implement a REMS plan to ensure that the benefits of ensifentrine outweigh its risks;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be required to change the way ensifentrine is administered, conduct additional clinical trials or change the labeling of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be subject to limitations on how we may promote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sales of ensifentrine may decrease significantly;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be subject to litigation or product liability claims;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19"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176" w:lineRule="exact"/>
        <w:rPr>
          <w:sz w:val="20"/>
          <w:szCs w:val="20"/>
          <w:color w:val="auto"/>
        </w:rPr>
      </w:pPr>
    </w:p>
    <w:p>
      <w:pPr>
        <w:ind w:right="780"/>
        <w:spacing w:after="0" w:line="300" w:lineRule="auto"/>
        <w:rPr>
          <w:sz w:val="20"/>
          <w:szCs w:val="20"/>
          <w:color w:val="auto"/>
        </w:rPr>
      </w:pPr>
      <w:r>
        <w:rPr>
          <w:rFonts w:ascii="Arial" w:cs="Arial" w:eastAsia="Arial" w:hAnsi="Arial"/>
          <w:sz w:val="14"/>
          <w:szCs w:val="14"/>
          <w:b w:val="1"/>
          <w:b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Successful and timely completion of clinical trials for ensifentrine will require that we enroll a sufficient number of patient candidates. Trials may be subject to delays as a result of patient enrollment taking longer than anticipated or patient withdrawal.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will increase our costs, slow down our development and approval of ensifentrine and delay or potentially jeopardize our ability to commence product sales and generate revenue. In addition, some of</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40"/>
          </w:cols>
          <w:pgMar w:left="220" w:top="419"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the factors that cause, or lead to, a delay in the commencement or completion of clinical trials may also ultimately lead to the denial of regulatory approval of ensifentrine.</w:t>
      </w:r>
    </w:p>
    <w:p>
      <w:pPr>
        <w:spacing w:after="0" w:line="219" w:lineRule="exact"/>
        <w:rPr>
          <w:sz w:val="20"/>
          <w:szCs w:val="20"/>
          <w:color w:val="auto"/>
        </w:rPr>
      </w:pPr>
    </w:p>
    <w:p>
      <w:pPr>
        <w:ind w:right="380"/>
        <w:spacing w:after="0" w:line="300" w:lineRule="auto"/>
        <w:rPr>
          <w:sz w:val="20"/>
          <w:szCs w:val="20"/>
          <w:color w:val="auto"/>
        </w:rPr>
      </w:pPr>
      <w:r>
        <w:rPr>
          <w:rFonts w:ascii="Arial" w:cs="Arial" w:eastAsia="Arial" w:hAnsi="Arial"/>
          <w:sz w:val="14"/>
          <w:szCs w:val="14"/>
          <w:b w:val="1"/>
          <w:bCs w:val="1"/>
          <w:color w:val="auto"/>
        </w:rPr>
        <w:t>We may become exposed to costly and damaging liability claims, either when testing ensifentrine in the clinic or at the commercial stage, and our product liability insurance may not cover all damages from such claims.</w:t>
      </w:r>
    </w:p>
    <w:p>
      <w:pPr>
        <w:spacing w:after="0" w:line="176"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267" w:lineRule="exact"/>
        <w:rPr>
          <w:sz w:val="20"/>
          <w:szCs w:val="20"/>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decreased demand for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to defend related litigation;</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diversion of management’s time and our resources;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regulatory investigation, product recalls or withdrawals, or labeling, marketing or promotional restrictions;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loss of revenue;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inability to commercialize or promote ensifentrine.</w:t>
      </w:r>
    </w:p>
    <w:p>
      <w:pPr>
        <w:spacing w:after="0" w:line="120" w:lineRule="exact"/>
        <w:rPr>
          <w:sz w:val="20"/>
          <w:szCs w:val="20"/>
          <w:color w:val="auto"/>
        </w:rPr>
      </w:pPr>
    </w:p>
    <w:p>
      <w:pPr>
        <w:jc w:val="both"/>
        <w:ind w:right="180"/>
        <w:spacing w:after="0" w:line="265" w:lineRule="auto"/>
        <w:rPr>
          <w:sz w:val="20"/>
          <w:szCs w:val="20"/>
          <w:color w:val="auto"/>
        </w:rPr>
      </w:pPr>
      <w:r>
        <w:rPr>
          <w:rFonts w:ascii="Arial" w:cs="Arial" w:eastAsia="Arial" w:hAnsi="Arial"/>
          <w:sz w:val="14"/>
          <w:szCs w:val="14"/>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20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4" w:lineRule="exact"/>
        <w:rPr>
          <w:sz w:val="20"/>
          <w:szCs w:val="20"/>
          <w:color w:val="auto"/>
        </w:rPr>
      </w:pPr>
    </w:p>
    <w:p>
      <w:pPr>
        <w:spacing w:after="0" w:line="300" w:lineRule="auto"/>
        <w:rPr>
          <w:sz w:val="20"/>
          <w:szCs w:val="20"/>
          <w:color w:val="auto"/>
        </w:rPr>
      </w:pPr>
      <w:r>
        <w:rPr>
          <w:rFonts w:ascii="Arial" w:cs="Arial" w:eastAsia="Arial" w:hAnsi="Arial"/>
          <w:sz w:val="14"/>
          <w:szCs w:val="14"/>
          <w:b w:val="1"/>
          <w:b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The time required to obtain approval by the FDA, the EMA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Ensifentrine could fail to receive regulatory approval for many reasons, including the following:</w:t>
      </w:r>
    </w:p>
    <w:p>
      <w:pPr>
        <w:spacing w:after="0" w:line="119" w:lineRule="exact"/>
        <w:rPr>
          <w:sz w:val="20"/>
          <w:szCs w:val="20"/>
          <w:color w:val="auto"/>
        </w:rPr>
      </w:pPr>
    </w:p>
    <w:p>
      <w:pPr>
        <w:ind w:left="520" w:right="480" w:hanging="255"/>
        <w:spacing w:after="0" w:line="256"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be unable to demonstrate to the satisfaction of the FDA, the EMA or comparable foreign regulatory authorities that ensifentrine is safe and effective, with the required level of statistical significance, for its proposed indication;</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be unable to demonstrate that ensifentrine's clinical and other benefits outweigh its safety risks;</w:t>
      </w:r>
    </w:p>
    <w:p>
      <w:pPr>
        <w:spacing w:after="0" w:line="11" w:lineRule="exact"/>
        <w:rPr>
          <w:rFonts w:ascii="Arial" w:cs="Arial" w:eastAsia="Arial" w:hAnsi="Arial"/>
          <w:sz w:val="14"/>
          <w:szCs w:val="14"/>
          <w:color w:val="auto"/>
        </w:rPr>
      </w:pPr>
    </w:p>
    <w:p>
      <w:pPr>
        <w:ind w:left="520" w:right="140" w:hanging="255"/>
        <w:spacing w:after="0" w:line="257"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disagree with our interpretation of data from pre-clinical studies or clinical trials or may find the data to be unacceptable;</w:t>
      </w:r>
    </w:p>
    <w:p>
      <w:pPr>
        <w:ind w:left="520" w:right="140" w:hanging="255"/>
        <w:spacing w:after="0" w:line="273"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find that the dose or doses evaluated in Phase 3 clinical trials or the way in which double blinding was effected to be unacceptable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40"/>
          </w:cols>
          <w:pgMar w:left="220" w:top="409" w:right="239" w:bottom="1440" w:gutter="0" w:footer="0" w:header="0"/>
        </w:sectPr>
      </w:pPr>
    </w:p>
    <w:bookmarkStart w:id="14" w:name="page15"/>
    <w:bookmarkEnd w:id="14"/>
    <w:p>
      <w:pPr>
        <w:ind w:left="520" w:right="40" w:hanging="255"/>
        <w:spacing w:after="0" w:line="256"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data collected from clinical trials of ensifentrine may, for other reasons, not be sufficient to support the submission of an NDA in the United States, an MMA in the EU, or other comparable submission to obtain regulatory approval in other countries;</w:t>
      </w:r>
    </w:p>
    <w:p>
      <w:pPr>
        <w:spacing w:after="0" w:line="1" w:lineRule="exact"/>
        <w:rPr>
          <w:rFonts w:ascii="Arial" w:cs="Arial" w:eastAsia="Arial" w:hAnsi="Arial"/>
          <w:sz w:val="14"/>
          <w:szCs w:val="14"/>
          <w:color w:val="auto"/>
        </w:rPr>
      </w:pPr>
    </w:p>
    <w:p>
      <w:pPr>
        <w:ind w:left="520" w:right="360" w:hanging="255"/>
        <w:spacing w:after="0" w:line="256"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fail to approve the manufacturing processes or facilities of third-party manufacturers with which we contract for clinical and commercial supplies;</w:t>
      </w:r>
    </w:p>
    <w:p>
      <w:pPr>
        <w:spacing w:after="0" w:line="1" w:lineRule="exact"/>
        <w:rPr>
          <w:rFonts w:ascii="Arial" w:cs="Arial" w:eastAsia="Arial" w:hAnsi="Arial"/>
          <w:sz w:val="14"/>
          <w:szCs w:val="14"/>
          <w:color w:val="auto"/>
        </w:rPr>
      </w:pPr>
    </w:p>
    <w:p>
      <w:pPr>
        <w:ind w:left="520" w:right="440" w:hanging="255"/>
        <w:spacing w:after="0" w:line="256"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approval policies or regulations of the FDA, the EMA or comparable foreign regulatory authorities may significantly change in a manner rendering our clinical data insufficient for approval; and</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disagree with the design or implementation of our clinical trials;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FDA, the EMA or comparable foreign regulatory authorities may disagree with our proposed product specifications and performance characteristics.</w:t>
      </w:r>
    </w:p>
    <w:p>
      <w:pPr>
        <w:spacing w:after="0" w:line="119"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EMA or any other regulatory authority.</w:t>
      </w: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184" w:lineRule="exact"/>
        <w:rPr>
          <w:sz w:val="20"/>
          <w:szCs w:val="20"/>
          <w:color w:val="auto"/>
        </w:rPr>
      </w:pPr>
    </w:p>
    <w:p>
      <w:pPr>
        <w:jc w:val="both"/>
        <w:ind w:right="100"/>
        <w:spacing w:after="0" w:line="278" w:lineRule="auto"/>
        <w:rPr>
          <w:sz w:val="20"/>
          <w:szCs w:val="20"/>
          <w:color w:val="auto"/>
        </w:rPr>
      </w:pPr>
      <w:r>
        <w:rPr>
          <w:rFonts w:ascii="Arial" w:cs="Arial" w:eastAsia="Arial" w:hAnsi="Arial"/>
          <w:sz w:val="14"/>
          <w:szCs w:val="14"/>
          <w:b w:val="1"/>
          <w:b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If the FDA, the EMA or a comparable foreign regulatory authority approves ensifentrine, the manufacturing processes, labeling, packaging, distribution, adverse event reporting, storage, advertising, 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requirements for the manufacture of ensifentrine and GCP requirements for any clinical trials that we conduct post-approval, all of which may result in significant expense and limit our ability to commercialize ensifentrine. We and our contract manufacturers will also be subject to periodic inspection by the FDA, the EMA and other regulatory authorities to monitor compliance with these requirements and the terms of any product approval we may obtain. In addition, any regulatory approvals that we receive for ensifentrine may also be subject to limitations on the approved indicated uses for which ensifentrine may be marketed or to the conditions of approval, or contain requirements for potentially costly post-marketing testing, including Phase 4 clinical trials, and surveillance to monitor the safety and efficacy of ensifentrine.</w:t>
      </w:r>
    </w:p>
    <w:p>
      <w:pPr>
        <w:spacing w:after="0" w:line="205" w:lineRule="exact"/>
        <w:rPr>
          <w:sz w:val="20"/>
          <w:szCs w:val="20"/>
          <w:color w:val="auto"/>
        </w:rPr>
      </w:pPr>
    </w:p>
    <w:p>
      <w:pPr>
        <w:ind w:right="280"/>
        <w:spacing w:after="0" w:line="261" w:lineRule="auto"/>
        <w:rPr>
          <w:sz w:val="20"/>
          <w:szCs w:val="20"/>
          <w:color w:val="auto"/>
        </w:rPr>
      </w:pPr>
      <w:r>
        <w:rPr>
          <w:rFonts w:ascii="Arial" w:cs="Arial" w:eastAsia="Arial" w:hAnsi="Arial"/>
          <w:sz w:val="14"/>
          <w:szCs w:val="14"/>
          <w:color w:val="auto"/>
        </w:rPr>
        <w:t>If problems are discovered with the drug product or manufacture of ensifentrine, or if we or one of our distributors, licensees or co-marketers fails to comply with regulatory requirements, the regulators could take various actions. These include imposing fines on us, imposing restrictions on ensifentrine or its manufacture and requiring us to recall or remove ensifentrine from the market. The regulators could also suspend or withdraw our marketing authorizations, or require us to conduct additional clinical trials, change our product labeling or submit additional applications for marketing authorization. If any of these events occurs, our ability to sell ensifentrine may be impaired, and we may incur substantial additional expense to comply with regulatory requirements.</w:t>
      </w:r>
    </w:p>
    <w:p>
      <w:pPr>
        <w:spacing w:after="0" w:line="202"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40"/>
          </w:cols>
          <w:pgMar w:left="220" w:top="311" w:right="239" w:bottom="1440" w:gutter="0" w:footer="0" w:header="0"/>
        </w:sectPr>
      </w:pPr>
    </w:p>
    <w:bookmarkStart w:id="15" w:name="page16"/>
    <w:bookmarkEnd w:id="15"/>
    <w:p>
      <w:pPr>
        <w:ind w:right="220"/>
        <w:spacing w:after="0" w:line="265" w:lineRule="auto"/>
        <w:rPr>
          <w:sz w:val="20"/>
          <w:szCs w:val="20"/>
          <w:color w:val="auto"/>
        </w:rPr>
      </w:pPr>
      <w:r>
        <w:rPr>
          <w:rFonts w:ascii="Arial" w:cs="Arial" w:eastAsia="Arial" w:hAnsi="Arial"/>
          <w:sz w:val="14"/>
          <w:szCs w:val="14"/>
          <w:color w:val="auto"/>
        </w:rPr>
        <w:t>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successful in our efforts to develop ensifentrine for multiple indications, including asthma, CF or other respiratory diseases.</w:t>
      </w:r>
    </w:p>
    <w:p>
      <w:pPr>
        <w:spacing w:after="0" w:line="235"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Part of our strategy is to continue to develop ensifentrine in indications other than COPD, such as CF. Although our research and development efforts to date have suggested that ensifentrine has the potential to treat CF, we may not be able to develop ensifentrine in CF or any other disease, or development may not be successful.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we will face difficulty in obtaining product revenues in future periods, which could significantly harm our financial position.</w:t>
      </w:r>
    </w:p>
    <w:p>
      <w:pPr>
        <w:spacing w:after="0" w:line="357" w:lineRule="exact"/>
        <w:rPr>
          <w:sz w:val="20"/>
          <w:szCs w:val="20"/>
          <w:color w:val="auto"/>
        </w:rPr>
      </w:pPr>
    </w:p>
    <w:p>
      <w:pPr>
        <w:ind w:right="600"/>
        <w:spacing w:after="0" w:line="300" w:lineRule="auto"/>
        <w:rPr>
          <w:sz w:val="20"/>
          <w:szCs w:val="20"/>
          <w:color w:val="auto"/>
        </w:rPr>
      </w:pPr>
      <w:r>
        <w:rPr>
          <w:rFonts w:ascii="Arial" w:cs="Arial" w:eastAsia="Arial" w:hAnsi="Arial"/>
          <w:sz w:val="14"/>
          <w:szCs w:val="14"/>
          <w:b w:val="1"/>
          <w:b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191" w:lineRule="exact"/>
        <w:rPr>
          <w:sz w:val="20"/>
          <w:szCs w:val="20"/>
          <w:color w:val="auto"/>
        </w:rPr>
      </w:pPr>
    </w:p>
    <w:p>
      <w:pPr>
        <w:ind w:right="240"/>
        <w:spacing w:after="0" w:line="300" w:lineRule="auto"/>
        <w:rPr>
          <w:sz w:val="20"/>
          <w:szCs w:val="20"/>
          <w:color w:val="auto"/>
        </w:rPr>
      </w:pPr>
      <w:r>
        <w:rPr>
          <w:rFonts w:ascii="Arial" w:cs="Arial" w:eastAsia="Arial" w:hAnsi="Arial"/>
          <w:sz w:val="14"/>
          <w:szCs w:val="14"/>
          <w:b w:val="1"/>
          <w:bCs w:val="1"/>
          <w:color w:val="auto"/>
        </w:rPr>
        <w:t>Our employees and independent contractors, including principal investigators, consultants, vendors and collaboration partners may engage in misconduct or other improper activities, including noncompliance with regulatory standards and requirements.</w:t>
      </w:r>
    </w:p>
    <w:p>
      <w:pPr>
        <w:spacing w:after="0" w:line="68" w:lineRule="exact"/>
        <w:rPr>
          <w:sz w:val="20"/>
          <w:szCs w:val="20"/>
          <w:color w:val="auto"/>
        </w:rPr>
      </w:pPr>
    </w:p>
    <w:p>
      <w:pPr>
        <w:ind w:right="140"/>
        <w:spacing w:after="0" w:line="257" w:lineRule="auto"/>
        <w:rPr>
          <w:sz w:val="20"/>
          <w:szCs w:val="20"/>
          <w:color w:val="auto"/>
        </w:rPr>
      </w:pPr>
      <w:r>
        <w:rPr>
          <w:rFonts w:ascii="Arial" w:cs="Arial" w:eastAsia="Arial" w:hAnsi="Arial"/>
          <w:sz w:val="14"/>
          <w:szCs w:val="14"/>
          <w:color w:val="auto"/>
        </w:rPr>
        <w:t>We are exposed to the risk that our employees and independent contractors, including principal investigators, consultants, vendors and collaboration partners may engage in fraudulent conduct or other illegal activities. Misconduct by these parties could include intentional, reckless or negligent conduct or unauthorized activities that violate: (i) the laws and regulations of the FDA, EMA and other similar regulatory bodies, including those laws that require the reporting of true, complete and accurate information to such authorities;</w:t>
      </w:r>
    </w:p>
    <w:p>
      <w:pPr>
        <w:ind w:firstLine="6"/>
        <w:spacing w:after="0" w:line="258" w:lineRule="auto"/>
        <w:tabs>
          <w:tab w:leader="none" w:pos="199"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40"/>
          </w:cols>
          <w:pgMar w:left="220" w:top="419" w:right="239" w:bottom="1440" w:gutter="0" w:footer="0" w:header="0"/>
        </w:sectPr>
      </w:pPr>
    </w:p>
    <w:bookmarkStart w:id="16" w:name="page17"/>
    <w:bookmarkEnd w:id="16"/>
    <w:p>
      <w:pPr>
        <w:ind w:right="360"/>
        <w:spacing w:after="0" w:line="262" w:lineRule="auto"/>
        <w:rPr>
          <w:sz w:val="20"/>
          <w:szCs w:val="20"/>
          <w:color w:val="auto"/>
        </w:rPr>
      </w:pPr>
      <w:r>
        <w:rPr>
          <w:rFonts w:ascii="Arial" w:cs="Arial" w:eastAsia="Arial" w:hAnsi="Arial"/>
          <w:sz w:val="14"/>
          <w:szCs w:val="14"/>
          <w:color w:val="auto"/>
        </w:rPr>
        <w:t>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00" w:lineRule="exact"/>
        <w:rPr>
          <w:sz w:val="20"/>
          <w:szCs w:val="20"/>
          <w:color w:val="auto"/>
        </w:rPr>
      </w:pPr>
    </w:p>
    <w:p>
      <w:pPr>
        <w:spacing w:after="0" w:line="264" w:lineRule="exact"/>
        <w:rPr>
          <w:sz w:val="20"/>
          <w:szCs w:val="20"/>
          <w:color w:val="auto"/>
        </w:rPr>
      </w:pPr>
    </w:p>
    <w:p>
      <w:pPr>
        <w:ind w:right="20"/>
        <w:spacing w:after="0" w:line="300" w:lineRule="auto"/>
        <w:rPr>
          <w:sz w:val="20"/>
          <w:szCs w:val="20"/>
          <w:color w:val="auto"/>
        </w:rPr>
      </w:pPr>
      <w:r>
        <w:rPr>
          <w:rFonts w:ascii="Arial" w:cs="Arial" w:eastAsia="Arial" w:hAnsi="Arial"/>
          <w:sz w:val="14"/>
          <w:szCs w:val="14"/>
          <w:b w:val="1"/>
          <w:b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6"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37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 after this offering.</w:t>
      </w:r>
    </w:p>
    <w:p>
      <w:pPr>
        <w:spacing w:after="0" w:line="202"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94"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8" w:lineRule="exact"/>
        <w:rPr>
          <w:sz w:val="20"/>
          <w:szCs w:val="20"/>
          <w:color w:val="auto"/>
        </w:rPr>
      </w:pPr>
    </w:p>
    <w:p>
      <w:pPr>
        <w:ind w:right="500"/>
        <w:spacing w:after="0" w:line="300" w:lineRule="auto"/>
        <w:rPr>
          <w:sz w:val="20"/>
          <w:szCs w:val="20"/>
          <w:color w:val="auto"/>
        </w:rPr>
      </w:pPr>
      <w:r>
        <w:rPr>
          <w:rFonts w:ascii="Arial" w:cs="Arial" w:eastAsia="Arial" w:hAnsi="Arial"/>
          <w:sz w:val="14"/>
          <w:szCs w:val="14"/>
          <w:b w:val="1"/>
          <w:bCs w:val="1"/>
          <w:color w:val="auto"/>
        </w:rPr>
        <w:t>The ability of the FDA to review and approve new products can be affected by a variety of factors and can lead to delays or otherwise prevent new products and services from being developed or commercialized in a timely manner, which could negatively impact our business.</w:t>
      </w:r>
    </w:p>
    <w:p>
      <w:pPr>
        <w:spacing w:after="0" w:line="176"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20" w:top="311" w:right="2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Risks Related to Healthcare Laws and Other Legal Compliance Matters</w:t>
      </w:r>
    </w:p>
    <w:p>
      <w:pPr>
        <w:spacing w:after="0" w:line="227" w:lineRule="exact"/>
        <w:rPr>
          <w:sz w:val="20"/>
          <w:szCs w:val="20"/>
          <w:color w:val="auto"/>
        </w:rPr>
      </w:pPr>
    </w:p>
    <w:p>
      <w:pPr>
        <w:ind w:right="120"/>
        <w:spacing w:after="0" w:line="300" w:lineRule="auto"/>
        <w:rPr>
          <w:sz w:val="20"/>
          <w:szCs w:val="20"/>
          <w:color w:val="auto"/>
        </w:rPr>
      </w:pPr>
      <w:r>
        <w:rPr>
          <w:rFonts w:ascii="Arial" w:cs="Arial" w:eastAsia="Arial" w:hAnsi="Arial"/>
          <w:sz w:val="14"/>
          <w:szCs w:val="14"/>
          <w:b w:val="1"/>
          <w:bCs w:val="1"/>
          <w:color w:val="auto"/>
        </w:rPr>
        <w:t>Enacted and future legislation may increase the difficulty and cost for us to obtain marketing approval of and commercialize ensifentrine and may affect the prices we may set.</w:t>
      </w:r>
    </w:p>
    <w:p>
      <w:pPr>
        <w:spacing w:after="0" w:line="176"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94" w:lineRule="exact"/>
        <w:rPr>
          <w:sz w:val="20"/>
          <w:szCs w:val="20"/>
          <w:color w:val="auto"/>
        </w:rPr>
      </w:pPr>
    </w:p>
    <w:p>
      <w:pPr>
        <w:ind w:left="520" w:right="20" w:hanging="255"/>
        <w:spacing w:after="0" w:line="256"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1" w:lineRule="exact"/>
        <w:rPr>
          <w:rFonts w:ascii="Arial" w:cs="Arial" w:eastAsia="Arial" w:hAnsi="Arial"/>
          <w:sz w:val="14"/>
          <w:szCs w:val="14"/>
          <w:color w:val="auto"/>
        </w:rPr>
      </w:pPr>
    </w:p>
    <w:p>
      <w:pPr>
        <w:ind w:left="520" w:right="160" w:hanging="255"/>
        <w:spacing w:after="0" w:line="256"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1" w:lineRule="exact"/>
        <w:rPr>
          <w:rFonts w:ascii="Arial" w:cs="Arial" w:eastAsia="Arial" w:hAnsi="Arial"/>
          <w:sz w:val="14"/>
          <w:szCs w:val="14"/>
          <w:color w:val="auto"/>
        </w:rPr>
      </w:pPr>
    </w:p>
    <w:p>
      <w:pPr>
        <w:ind w:left="520" w:hanging="255"/>
        <w:spacing w:after="0" w:line="256"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 increase in the statutory minimum rebates a manufacturer must pay under the Medicaid Drug Rebate Program to 23.1% and 13.0% of the average manufacturer price for branded and generic drugs, respectively;</w:t>
      </w:r>
    </w:p>
    <w:p>
      <w:pPr>
        <w:spacing w:after="0" w:line="1" w:lineRule="exact"/>
        <w:rPr>
          <w:rFonts w:ascii="Arial" w:cs="Arial" w:eastAsia="Arial" w:hAnsi="Arial"/>
          <w:sz w:val="14"/>
          <w:szCs w:val="14"/>
          <w:color w:val="auto"/>
        </w:rPr>
      </w:pPr>
    </w:p>
    <w:p>
      <w:pPr>
        <w:ind w:left="520" w:right="620" w:hanging="255"/>
        <w:spacing w:after="0" w:line="256"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new methodology by which rebates owed by manufacturers under the Medicaid Drug Rebate Program are calculated for drugs that are inhaled, infused, instilled, implanted or injected;</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extension of a manufacturer's Medicaid rebate liability to covered drugs dispensed to individuals who are enrolled in Medicaid managed care organizations;</w:t>
      </w:r>
    </w:p>
    <w:p>
      <w:pPr>
        <w:spacing w:after="0" w:line="11" w:lineRule="exact"/>
        <w:rPr>
          <w:rFonts w:ascii="Arial" w:cs="Arial" w:eastAsia="Arial" w:hAnsi="Arial"/>
          <w:sz w:val="14"/>
          <w:szCs w:val="14"/>
          <w:color w:val="auto"/>
        </w:rPr>
      </w:pPr>
    </w:p>
    <w:p>
      <w:pPr>
        <w:ind w:left="520" w:right="60" w:hanging="255"/>
        <w:spacing w:after="0" w:line="256"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 w:lineRule="exact"/>
        <w:rPr>
          <w:rFonts w:ascii="Arial" w:cs="Arial" w:eastAsia="Arial" w:hAnsi="Arial"/>
          <w:sz w:val="14"/>
          <w:szCs w:val="14"/>
          <w:color w:val="auto"/>
        </w:rPr>
      </w:pPr>
    </w:p>
    <w:p>
      <w:pPr>
        <w:ind w:left="520" w:right="140" w:hanging="255"/>
        <w:spacing w:after="0" w:line="256"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new Patient-Centered Outcomes Research Institute to oversee, identify priorities in, and conduct comparative clinical effectiveness research, along with funding for such research; and</w:t>
      </w:r>
    </w:p>
    <w:p>
      <w:pPr>
        <w:spacing w:after="0" w:line="1" w:lineRule="exact"/>
        <w:rPr>
          <w:rFonts w:ascii="Arial" w:cs="Arial" w:eastAsia="Arial" w:hAnsi="Arial"/>
          <w:sz w:val="14"/>
          <w:szCs w:val="14"/>
          <w:color w:val="auto"/>
        </w:rPr>
      </w:pPr>
    </w:p>
    <w:p>
      <w:pPr>
        <w:ind w:left="520" w:right="360" w:hanging="255"/>
        <w:spacing w:after="0" w:line="273"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Since its enactment, there have been judicial and Congressional challenges to certain aspects of the ACA, and we expect there will be additional challenges and amendments to the ACA in the future. The current presidential administration and Congress will likely continue to seek to modify, repeal, or otherwise invalidate all, or certain provisions of, the ACA. Further, on December 14, 2018, a U.S. District Court Judge in the Northern District of Texas ruled that the individual mandate is a critical and inseverable feature of the ACA, and therefore, because it was repealed as part of the 2017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if any, and other efforts to challenge, repeal or replace the ACA or our business or financial condition.</w:t>
      </w:r>
    </w:p>
    <w:p>
      <w:pPr>
        <w:spacing w:after="0" w:line="206"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addition, other legislative changes have been proposed and adopted in the United States since the ACA was enacted. For example, the Budget Control Act of 2011 has, among other things, led to aggregate reductions of Medicare payments to providers of 2% per fiscal year, which, due to subsequent legislative amendments to the statute, will remain in effect through 2029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laws and any laws enacted in the future may result in additional reductions in Medicare and other health care funding, which could have a material adverse effect on our customers and accordingly, our financial operations.</w:t>
      </w:r>
    </w:p>
    <w:p>
      <w:pPr>
        <w:spacing w:after="0" w:line="204" w:lineRule="exact"/>
        <w:rPr>
          <w:sz w:val="20"/>
          <w:szCs w:val="20"/>
          <w:color w:val="auto"/>
        </w:rPr>
      </w:pPr>
    </w:p>
    <w:p>
      <w:pPr>
        <w:jc w:val="both"/>
        <w:ind w:right="440"/>
        <w:spacing w:after="0" w:line="262" w:lineRule="auto"/>
        <w:rPr>
          <w:sz w:val="20"/>
          <w:szCs w:val="20"/>
          <w:color w:val="auto"/>
        </w:rPr>
      </w:pPr>
      <w:r>
        <w:rPr>
          <w:rFonts w:ascii="Arial" w:cs="Arial" w:eastAsia="Arial" w:hAnsi="Arial"/>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We expect that additional U.S. federal healthcare reform measures will be adopted in the future, any of which could limit the amounts that the U.S. federal government will pay for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401" w:right="2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healthcare products and services, which could result in reduced demand for ensifentrine or additional pricing pressures.</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spacing w:after="0" w:line="52" w:lineRule="exact"/>
        <w:rPr>
          <w:sz w:val="20"/>
          <w:szCs w:val="20"/>
          <w:color w:val="auto"/>
        </w:rPr>
      </w:pPr>
    </w:p>
    <w:p>
      <w:pPr>
        <w:ind w:right="480"/>
        <w:spacing w:after="0" w:line="300" w:lineRule="auto"/>
        <w:rPr>
          <w:sz w:val="20"/>
          <w:szCs w:val="20"/>
          <w:color w:val="auto"/>
        </w:rPr>
      </w:pPr>
      <w:r>
        <w:rPr>
          <w:rFonts w:ascii="Arial" w:cs="Arial" w:eastAsia="Arial" w:hAnsi="Arial"/>
          <w:sz w:val="14"/>
          <w:szCs w:val="14"/>
          <w:b w:val="1"/>
          <w:b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4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70" w:lineRule="exact"/>
        <w:rPr>
          <w:sz w:val="20"/>
          <w:szCs w:val="20"/>
          <w:color w:val="auto"/>
        </w:rPr>
      </w:pPr>
    </w:p>
    <w:p>
      <w:pPr>
        <w:ind w:left="520" w:right="300" w:hanging="255"/>
        <w:spacing w:after="0" w:line="26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72" w:lineRule="exact"/>
        <w:rPr>
          <w:rFonts w:ascii="Arial" w:cs="Arial" w:eastAsia="Arial" w:hAnsi="Arial"/>
          <w:sz w:val="14"/>
          <w:szCs w:val="14"/>
          <w:color w:val="auto"/>
        </w:rPr>
      </w:pPr>
    </w:p>
    <w:p>
      <w:pPr>
        <w:ind w:left="520" w:right="80" w:hanging="255"/>
        <w:spacing w:after="0" w:line="260"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74" w:lineRule="exact"/>
        <w:rPr>
          <w:rFonts w:ascii="Arial" w:cs="Arial" w:eastAsia="Arial" w:hAnsi="Arial"/>
          <w:sz w:val="14"/>
          <w:szCs w:val="14"/>
          <w:color w:val="auto"/>
        </w:rPr>
      </w:pPr>
    </w:p>
    <w:p>
      <w:pPr>
        <w:ind w:left="520" w:right="420" w:hanging="255"/>
        <w:spacing w:after="0" w:line="273"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U.S. federal Health Insurance Portability and Accountability Act of 1996, or HIPAA, which imposes criminal and civil liability for, among other things, knowingly and willfully executing, or attempting to</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419" w:right="219" w:bottom="1440" w:gutter="0" w:footer="0" w:header="0"/>
        </w:sectPr>
      </w:pPr>
    </w:p>
    <w:bookmarkStart w:id="19" w:name="page20"/>
    <w:bookmarkEnd w:id="19"/>
    <w:p>
      <w:pPr>
        <w:ind w:left="520" w:right="20"/>
        <w:spacing w:after="0" w:line="265" w:lineRule="auto"/>
        <w:rPr>
          <w:sz w:val="20"/>
          <w:szCs w:val="20"/>
          <w:color w:val="auto"/>
        </w:rPr>
      </w:pPr>
      <w:r>
        <w:rPr>
          <w:rFonts w:ascii="Arial" w:cs="Arial" w:eastAsia="Arial" w:hAnsi="Arial"/>
          <w:sz w:val="14"/>
          <w:szCs w:val="14"/>
          <w:color w:val="auto"/>
        </w:rPr>
        <w:t>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0" w:lineRule="exact"/>
        <w:rPr>
          <w:sz w:val="20"/>
          <w:szCs w:val="20"/>
          <w:color w:val="auto"/>
        </w:rPr>
      </w:pPr>
    </w:p>
    <w:p>
      <w:pPr>
        <w:ind w:left="520" w:right="40" w:hanging="255"/>
        <w:spacing w:after="0" w:line="262"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its implementing regulations, which also imposes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w:t>
      </w:r>
    </w:p>
    <w:p>
      <w:pPr>
        <w:spacing w:after="0" w:line="72" w:lineRule="exact"/>
        <w:rPr>
          <w:rFonts w:ascii="Arial" w:cs="Arial" w:eastAsia="Arial" w:hAnsi="Arial"/>
          <w:sz w:val="14"/>
          <w:szCs w:val="14"/>
          <w:color w:val="auto"/>
        </w:rPr>
      </w:pPr>
    </w:p>
    <w:p>
      <w:pPr>
        <w:ind w:left="520" w:hanging="25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FDCA, which prohibits, among other things, the adulteration or misbranding of drugs, biologics and medical devices;</w:t>
      </w:r>
    </w:p>
    <w:p>
      <w:pPr>
        <w:spacing w:after="0" w:line="97" w:lineRule="exact"/>
        <w:rPr>
          <w:rFonts w:ascii="Arial" w:cs="Arial" w:eastAsia="Arial" w:hAnsi="Arial"/>
          <w:sz w:val="14"/>
          <w:szCs w:val="14"/>
          <w:color w:val="auto"/>
        </w:rPr>
      </w:pPr>
    </w:p>
    <w:p>
      <w:pPr>
        <w:ind w:left="520" w:hanging="255"/>
        <w:spacing w:after="0" w:line="261"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health care professionals beginning in 2022, and teaching hospitals, as well as ownership and investment interests held by the physicians described above and their immediate family members;</w:t>
      </w:r>
    </w:p>
    <w:p>
      <w:pPr>
        <w:spacing w:after="0" w:line="72" w:lineRule="exact"/>
        <w:rPr>
          <w:rFonts w:ascii="Arial" w:cs="Arial" w:eastAsia="Arial" w:hAnsi="Arial"/>
          <w:sz w:val="14"/>
          <w:szCs w:val="14"/>
          <w:color w:val="auto"/>
        </w:rPr>
      </w:pPr>
    </w:p>
    <w:p>
      <w:pPr>
        <w:ind w:left="520" w:right="20" w:hanging="255"/>
        <w:spacing w:after="0" w:line="258"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251" w:lineRule="exact"/>
        <w:rPr>
          <w:rFonts w:ascii="Arial" w:cs="Arial" w:eastAsia="Arial" w:hAnsi="Arial"/>
          <w:sz w:val="14"/>
          <w:szCs w:val="14"/>
          <w:color w:val="auto"/>
        </w:rPr>
      </w:pPr>
    </w:p>
    <w:p>
      <w:pPr>
        <w:ind w:left="520" w:right="20" w:hanging="255"/>
        <w:spacing w:after="0" w:line="259"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European and other foreign law equivalents of each of the laws, including reporting requirements detailing interactions with and payments to healthcare providers and laws governing the privacy and security of certain protected information, such as Regulation 2016/679, known as the General Data Protection Regulation, or GDPR, which imposes obligations and restrictions on the collection and use of personal data relating to individuals located in the EU (including health data).In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77"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20" w:top="311" w:right="259" w:bottom="1440" w:gutter="0" w:footer="0" w:header="0"/>
        </w:sectPr>
      </w:pPr>
    </w:p>
    <w:bookmarkStart w:id="20" w:name="page21"/>
    <w:bookmarkEnd w:id="20"/>
    <w:p>
      <w:pPr>
        <w:ind w:right="40"/>
        <w:spacing w:after="0" w:line="260" w:lineRule="auto"/>
        <w:rPr>
          <w:sz w:val="20"/>
          <w:szCs w:val="20"/>
          <w:color w:val="auto"/>
        </w:rPr>
      </w:pPr>
      <w:r>
        <w:rPr>
          <w:rFonts w:ascii="Arial" w:cs="Arial" w:eastAsia="Arial" w:hAnsi="Arial"/>
          <w:sz w:val="14"/>
          <w:szCs w:val="14"/>
          <w:color w:val="auto"/>
        </w:rPr>
        <w:t>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56" w:lineRule="exact"/>
        <w:rPr>
          <w:sz w:val="20"/>
          <w:szCs w:val="20"/>
          <w:color w:val="auto"/>
        </w:rPr>
      </w:pPr>
    </w:p>
    <w:p>
      <w:pPr>
        <w:ind w:right="360"/>
        <w:spacing w:after="0" w:line="300" w:lineRule="auto"/>
        <w:rPr>
          <w:sz w:val="20"/>
          <w:szCs w:val="20"/>
          <w:color w:val="auto"/>
        </w:rPr>
      </w:pPr>
      <w:r>
        <w:rPr>
          <w:rFonts w:ascii="Arial" w:cs="Arial" w:eastAsia="Arial" w:hAnsi="Arial"/>
          <w:sz w:val="14"/>
          <w:szCs w:val="14"/>
          <w:b w:val="1"/>
          <w:bCs w:val="1"/>
          <w:color w:val="auto"/>
        </w:rPr>
        <w:t>We are subject to governmental regulation and other legal obligations in the EU and European Economic Area, or EEA, related to privacy, data protection and data security. Our actual or perceived failure to comply with such obligations could harm our business.</w:t>
      </w:r>
    </w:p>
    <w:p>
      <w:pPr>
        <w:spacing w:after="0" w:line="47"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are subject to diverse laws and regulations relating to data privacy and security in the EU and eventually in the EEA, including Regulation 2016/679, known as the GDPR. The GDPR applies extra-territorially and implements stringent operational requirements for controllers and processors of personal data. New global privacy rules are being enacted and existing ones are being updated and strengthened. We are likely to be required to expend capital and other resources to ensure ongoing compliance with these laws and regulations.</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Complying with these numerous, complex and often changing regulations is expensive and difficult. Failure by us, any partners, our service providers, or our employees or contractors to comply with the GDPR could result in regulatory investigations, enforcement notices and/or fines of up to the higher of €20 million or up to 4% of our total worldwide annual turnover. In addition to the foregoing, a breach of privacy laws or data security laws, particularly those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63"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As a data controller, we are accountable for any third-party service providers we engage to process personal data on our behalf, including our CROs. We attempt to mitigate the associated risks by performing security assessments and due diligence of our vendors and requiring all such third-party providers with data access to sign agreements, and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245"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Where we transfer personal data out of the EU and EEA, we do so in compliance with the relevant data export requirements from time to time. There is currently ongoing litigation challenging the commonly used transfer mechanism, the EU Commission approved model clauses. In addition, the U.S. Privacy Shield is currently under review by the European Commission. As such, it is uncertain whether the Privacy Shield framework and/or model clauses will be invalidated in the near future. These changes may require us to find alternative bases for the compliant transfer of personal data outside the EEA and we are monitoring developments in this area. Further, the withdrawal of the United Kingdom from the EU has created uncertainty with regard to the status of the United Kingdom as an "adequate country" for the purposes of data transfers outside the EEA. In particular, it is unclear how data transfers to and from the United Kingdom will be regulated. These changes may require us to find alternative bases for the compliant transfer of personal data outside the United Kingdom and we are monitoring developments in this area. Invalidation of any mechanism on which we rely could require operational changes and increased costs and may lead to governmental enforcement actions, litigation, fines and penalties or adverse publicity that could have an adverse effect on our business.</w:t>
      </w:r>
    </w:p>
    <w:p>
      <w:pPr>
        <w:spacing w:after="0" w:line="7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are also subject to evolving European privacy laws on cookies, and if we commence any EU marketing campaigns, also on e-marketing. The EU is in the process of replacing the e-Privacy Directive (2002/58/EC) with a new set of rules taking the form of a regulation, which will be directly implemented in the laws of each European member state. The draft e-Privacy Regulation imposes strict opt-in marketing rules with limited exceptions for business-to-business communications, alters rules on third-party cookies, web beacons and similar technology and significantly increases fining powers to the greater of €20 million or 4% of total global annual revenue. While the e-Privacy Regulation was originally intended to be adopted on May 25, 2018 (alongside the GDPR), it is still going through the European legislative process and commentators now expect it to be adopted during the second half of 2020 or during 2021 following a transition period.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40"/>
          </w:cols>
          <w:pgMar w:left="220" w:top="311" w:right="239" w:bottom="1440" w:gutter="0" w:footer="0" w:header="0"/>
        </w:sectPr>
      </w:pPr>
    </w:p>
    <w:bookmarkStart w:id="21" w:name="page22"/>
    <w:bookmarkEnd w:id="21"/>
    <w:p>
      <w:pPr>
        <w:ind w:right="640"/>
        <w:spacing w:after="0" w:line="300" w:lineRule="auto"/>
        <w:rPr>
          <w:sz w:val="20"/>
          <w:szCs w:val="20"/>
          <w:color w:val="auto"/>
        </w:rPr>
      </w:pPr>
      <w:r>
        <w:rPr>
          <w:rFonts w:ascii="Arial" w:cs="Arial" w:eastAsia="Arial" w:hAnsi="Arial"/>
          <w:sz w:val="14"/>
          <w:szCs w:val="14"/>
          <w:b w:val="1"/>
          <w:bCs w:val="1"/>
          <w:color w:val="auto"/>
        </w:rPr>
        <w:t>We are subject to environmental, health and safety laws and regulations, and we may become exposed to liability and substantial expenses in connection with environmental compliance or remediation activities.</w:t>
      </w:r>
    </w:p>
    <w:p>
      <w:pPr>
        <w:spacing w:after="0" w:line="47"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73" w:lineRule="exact"/>
        <w:rPr>
          <w:sz w:val="20"/>
          <w:szCs w:val="20"/>
          <w:color w:val="auto"/>
        </w:rPr>
      </w:pPr>
    </w:p>
    <w:p>
      <w:pPr>
        <w:jc w:val="both"/>
        <w:ind w:right="340"/>
        <w:spacing w:after="0" w:line="262" w:lineRule="auto"/>
        <w:rPr>
          <w:sz w:val="20"/>
          <w:szCs w:val="20"/>
          <w:color w:val="auto"/>
        </w:rPr>
      </w:pPr>
      <w:r>
        <w:rPr>
          <w:rFonts w:ascii="Arial" w:cs="Arial" w:eastAsia="Arial" w:hAnsi="Arial"/>
          <w:sz w:val="14"/>
          <w:szCs w:val="14"/>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55"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b w:val="1"/>
          <w:b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47"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47"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70"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7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Commercialization</w:t>
      </w:r>
    </w:p>
    <w:p>
      <w:pPr>
        <w:spacing w:after="0" w:line="98" w:lineRule="exact"/>
        <w:rPr>
          <w:sz w:val="20"/>
          <w:szCs w:val="20"/>
          <w:color w:val="auto"/>
        </w:rPr>
      </w:pPr>
    </w:p>
    <w:p>
      <w:pPr>
        <w:spacing w:after="0" w:line="300" w:lineRule="auto"/>
        <w:rPr>
          <w:sz w:val="20"/>
          <w:szCs w:val="20"/>
          <w:color w:val="auto"/>
        </w:rPr>
      </w:pPr>
      <w:r>
        <w:rPr>
          <w:rFonts w:ascii="Arial" w:cs="Arial" w:eastAsia="Arial" w:hAnsi="Arial"/>
          <w:sz w:val="14"/>
          <w:szCs w:val="14"/>
          <w:b w:val="1"/>
          <w:bCs w:val="1"/>
          <w:color w:val="auto"/>
        </w:rPr>
        <w:t>We operate in a highly competitive and rapidly changing industry, which may result in others discovering, developing or commercializing competing products before or more successfully than we do.</w:t>
      </w:r>
    </w:p>
    <w:p>
      <w:pPr>
        <w:spacing w:after="0" w:line="47"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293" w:right="219" w:bottom="1440" w:gutter="0" w:footer="0" w:header="0"/>
        </w:sectPr>
      </w:pPr>
    </w:p>
    <w:bookmarkStart w:id="22" w:name="page23"/>
    <w:bookmarkEnd w:id="22"/>
    <w:p>
      <w:pPr>
        <w:ind w:right="100"/>
        <w:spacing w:after="0" w:line="261" w:lineRule="auto"/>
        <w:rPr>
          <w:sz w:val="20"/>
          <w:szCs w:val="20"/>
          <w:color w:val="auto"/>
        </w:rPr>
      </w:pPr>
      <w:r>
        <w:rPr>
          <w:rFonts w:ascii="Arial" w:cs="Arial" w:eastAsia="Arial" w:hAnsi="Arial"/>
          <w:sz w:val="14"/>
          <w:szCs w:val="14"/>
          <w:color w:val="auto"/>
        </w:rPr>
        <w:t>Given the number of products already on the market to treat COPD and CF, we expect to face intense competition if ensifentrine is approved for these indications. Companies including Boehringer Ingelheim, GlaxoSmithKline, AstraZeneca, Mylan, Novartis, Vertex and Sunovion currently have treatments on the market for COPD, CF and asthma, and we anticipate that new companies will enter these markets in the future. If we successfully develop and commercialize ensifentrine,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pacing w:after="0" w:line="73" w:lineRule="exact"/>
        <w:rPr>
          <w:sz w:val="20"/>
          <w:szCs w:val="20"/>
          <w:color w:val="auto"/>
        </w:rPr>
      </w:pPr>
    </w:p>
    <w:p>
      <w:pPr>
        <w:ind w:left="520" w:right="280" w:hanging="255"/>
        <w:spacing w:after="0" w:line="273"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64" w:lineRule="exact"/>
        <w:rPr>
          <w:rFonts w:ascii="Arial" w:cs="Arial" w:eastAsia="Arial" w:hAnsi="Arial"/>
          <w:sz w:val="14"/>
          <w:szCs w:val="14"/>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develop and commercialize products that are safer, more effective, less expensive, more convenient or easier to administer, or have fewer or less severe side effects;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obtain quicker regulatory approval;</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establish superior proprietary positions covering our products and technologies;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implement more effective approaches to sales and marketing; or</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form more advantageous strategic alliances.</w:t>
      </w:r>
    </w:p>
    <w:p>
      <w:pPr>
        <w:spacing w:after="0" w:line="9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56" w:lineRule="exact"/>
        <w:rPr>
          <w:sz w:val="20"/>
          <w:szCs w:val="20"/>
          <w:color w:val="auto"/>
        </w:rPr>
      </w:pPr>
    </w:p>
    <w:p>
      <w:pPr>
        <w:ind w:right="140"/>
        <w:spacing w:after="0" w:line="300" w:lineRule="auto"/>
        <w:rPr>
          <w:sz w:val="20"/>
          <w:szCs w:val="20"/>
          <w:color w:val="auto"/>
        </w:rPr>
      </w:pPr>
      <w:r>
        <w:rPr>
          <w:rFonts w:ascii="Arial" w:cs="Arial" w:eastAsia="Arial" w:hAnsi="Arial"/>
          <w:sz w:val="14"/>
          <w:szCs w:val="14"/>
          <w:b w:val="1"/>
          <w:bCs w:val="1"/>
          <w:color w:val="auto"/>
        </w:rPr>
        <w:t>We may be unable to obtain orphan drug designation from the FDA or EU for ensifentrine for the treatment of CF, and even if we do obtain such designations, we may be unable to obtain or maintain the benefits associated with orphan drug designation, including the potential for orphan drug exclusivity.</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or COMP, grants orphan drug designation to promote the development of products that are intended for the diagnosis, prevention or treatment of a life-threatening or chronically debilitating condition affecting not more than five in</w:t>
      </w:r>
    </w:p>
    <w:p>
      <w:pPr>
        <w:ind w:right="180"/>
        <w:spacing w:after="0" w:line="262" w:lineRule="auto"/>
        <w:rPr>
          <w:sz w:val="20"/>
          <w:szCs w:val="20"/>
          <w:color w:val="auto"/>
        </w:rPr>
      </w:pPr>
      <w:r>
        <w:rPr>
          <w:rFonts w:ascii="Arial" w:cs="Arial" w:eastAsia="Arial" w:hAnsi="Arial"/>
          <w:sz w:val="14"/>
          <w:szCs w:val="14"/>
          <w:color w:val="auto"/>
        </w:rPr>
        <w:t>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product is sufficiently profitable not to justify maintenance of market exclusivity.</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311" w:right="219" w:bottom="1440" w:gutter="0" w:footer="0" w:header="0"/>
        </w:sectPr>
      </w:pPr>
    </w:p>
    <w:bookmarkStart w:id="23" w:name="page24"/>
    <w:bookmarkEnd w:id="23"/>
    <w:p>
      <w:pPr>
        <w:ind w:right="80"/>
        <w:spacing w:after="0" w:line="258" w:lineRule="auto"/>
        <w:rPr>
          <w:sz w:val="20"/>
          <w:szCs w:val="20"/>
          <w:color w:val="auto"/>
        </w:rPr>
      </w:pPr>
      <w:r>
        <w:rPr>
          <w:rFonts w:ascii="Arial" w:cs="Arial" w:eastAsia="Arial" w:hAnsi="Arial"/>
          <w:sz w:val="14"/>
          <w:szCs w:val="14"/>
          <w:color w:val="auto"/>
        </w:rPr>
        <w:t>We plan to seek orphan drug designation from the FDA and the EMA for ensifentrine for the treatment of CF. Even if we are able to obtain orphan designation for ensifentrine in the United States and/or the EU, we may not be the first to obtain marketing approval for any particular orphan indication due to the uncertainties associated with developing pharmaceutical products, which could prevent us from marketing ensifentrine if another company is able to obtain orphan drug exclusivity before we do. In addition, exclusive marketing rights in the United States may be unavailable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following approval. Further, even if we obtain orphan drug exclusivity for ensifentrine, that exclusivity may not effectively protect ensifentrine from competition because different drugs with different active moieties can be approved for the same condition. In addition, the FDA or the EMA can subsequently approve products with the same active moiety for the same condition if the FDA or the EMA concludes that the later drug is clinically superior on the basis of greater safety, greater effectiveness, or a major contribution to patient care. Orphan drug designation neither shortens the development time or regulatory review time of a drug nor gives the drug any advantage in the regulatory review or approval process. In addition, while we intend to seek orphan drug designation for ensifentrine for the treatment of CF, we may never receive such designation.</w:t>
      </w:r>
    </w:p>
    <w:p>
      <w:pPr>
        <w:spacing w:after="0" w:line="8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There have been legal challenges to aspects of the FDA's regulations and policies concerning the exclusivity provisions of the Orphan Drug Act, and future challenges could lead to changes that affect the protections afforded our products in ways that are difficult to predict. In response to lawsuits against the FDA in 2014 and 2016, Congress included a provision in the Food and Drug Administration Reauthorization Act, or FDARA, enacted in August 2017, that amended the FDCA to require that, as a condition to awarding exclusivity to a designated orphan drug that is the same as a previously approved drug, such drug must demonstrate clinical superiority over the previously approved drug upon approval. In the future, there is the potential for additional legal challenges to the FDA's orphan drug framework, and it is uncertain how new challenges, regulations, or Congressional actions in the orphan drug space might affect our business.</w:t>
      </w:r>
    </w:p>
    <w:p>
      <w:pPr>
        <w:spacing w:after="0" w:line="56" w:lineRule="exact"/>
        <w:rPr>
          <w:sz w:val="20"/>
          <w:szCs w:val="20"/>
          <w:color w:val="auto"/>
        </w:rPr>
      </w:pPr>
    </w:p>
    <w:p>
      <w:pPr>
        <w:jc w:val="both"/>
        <w:ind w:right="40"/>
        <w:spacing w:after="0" w:line="278" w:lineRule="auto"/>
        <w:rPr>
          <w:sz w:val="20"/>
          <w:szCs w:val="20"/>
          <w:color w:val="auto"/>
        </w:rPr>
      </w:pPr>
      <w:r>
        <w:rPr>
          <w:rFonts w:ascii="Arial" w:cs="Arial" w:eastAsia="Arial" w:hAnsi="Arial"/>
          <w:sz w:val="14"/>
          <w:szCs w:val="14"/>
          <w:b w:val="1"/>
          <w:bCs w:val="1"/>
          <w:color w:val="auto"/>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77"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311" w:right="219" w:bottom="1440" w:gutter="0" w:footer="0" w:header="0"/>
        </w:sectPr>
      </w:pPr>
    </w:p>
    <w:bookmarkStart w:id="24" w:name="page25"/>
    <w:bookmarkEnd w:id="24"/>
    <w:p>
      <w:pPr>
        <w:ind w:right="20"/>
        <w:spacing w:after="0" w:line="261" w:lineRule="auto"/>
        <w:rPr>
          <w:sz w:val="20"/>
          <w:szCs w:val="20"/>
          <w:color w:val="auto"/>
        </w:rPr>
      </w:pPr>
      <w:r>
        <w:rPr>
          <w:rFonts w:ascii="Arial" w:cs="Arial" w:eastAsia="Arial" w:hAnsi="Arial"/>
          <w:sz w:val="14"/>
          <w:szCs w:val="14"/>
          <w:color w:val="auto"/>
        </w:rPr>
        <w:t>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7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74"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Ensifentrine may not gain market acceptance, in which case our ability to generate product revenues will be compromised.</w:t>
      </w:r>
    </w:p>
    <w:p>
      <w:pPr>
        <w:spacing w:after="0" w:line="116"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Even if the FDA, the EMA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70" w:lineRule="exact"/>
        <w:rPr>
          <w:sz w:val="20"/>
          <w:szCs w:val="20"/>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timing of market introduction;</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number and clinical profile of competing products;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clinical indications for which ensifentrine is approved;</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provide acceptable evidence of safety and efficacy;</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relative convenience, frequency, and ease of administration;</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cost effectiveness;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marketing and distribution support;</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availability of adequate coverage, reimbursement and adequate payment from health maintenance organizations and other insurers, both public and private; and</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potential advantages over alternative treatment methods.</w:t>
      </w:r>
    </w:p>
    <w:p>
      <w:pPr>
        <w:spacing w:after="0" w:line="98"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40"/>
          </w:cols>
          <w:pgMar w:left="220" w:top="311" w:right="239" w:bottom="1440" w:gutter="0" w:footer="0" w:header="0"/>
        </w:sectPr>
      </w:pPr>
    </w:p>
    <w:bookmarkStart w:id="25" w:name="page26"/>
    <w:bookmarkEnd w:id="25"/>
    <w:p>
      <w:pPr>
        <w:ind w:right="240"/>
        <w:spacing w:after="0" w:line="300" w:lineRule="auto"/>
        <w:rPr>
          <w:sz w:val="20"/>
          <w:szCs w:val="20"/>
          <w:color w:val="auto"/>
        </w:rPr>
      </w:pPr>
      <w:r>
        <w:rPr>
          <w:rFonts w:ascii="Arial" w:cs="Arial" w:eastAsia="Arial" w:hAnsi="Arial"/>
          <w:sz w:val="14"/>
          <w:szCs w:val="14"/>
          <w:b w:val="1"/>
          <w:bCs w:val="1"/>
          <w:color w:val="auto"/>
        </w:rPr>
        <w:t>We currently have no marketing, sales or distribution infrastructure. If we are unable to develop sales, marketing and distribution capabilities on our own or through collaborations, we may not be successful in commercializing ensifentrine.</w:t>
      </w:r>
    </w:p>
    <w:p>
      <w:pPr>
        <w:spacing w:after="0" w:line="47"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auto"/>
        </w:rPr>
        <w:t>We have no marketing, sales or distribution capabilities and we have no experience with marketing, selling or distributing pharmaceutical products. If ensifentrine is approved, we intend either to establish a sales and marketing organization with technical expertise and supporting distribution capabilities to commercialize ensifentrine, or to outsource this function to a third party. Either of these options would be expensive and time consuming. Some or all of these costs may be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ensifentrine.</w:t>
      </w:r>
    </w:p>
    <w:p>
      <w:pPr>
        <w:spacing w:after="0" w:line="7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98"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b w:val="1"/>
          <w:b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spacing w:after="0" w:line="6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73"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60"/>
          </w:cols>
          <w:pgMar w:left="220" w:top="293" w:right="219" w:bottom="1440" w:gutter="0" w:footer="0" w:header="0"/>
        </w:sectPr>
      </w:pPr>
    </w:p>
    <w:bookmarkStart w:id="26" w:name="page27"/>
    <w:bookmarkEnd w:id="26"/>
    <w:p>
      <w:pPr>
        <w:ind w:right="100"/>
        <w:spacing w:after="0" w:line="262" w:lineRule="auto"/>
        <w:rPr>
          <w:sz w:val="20"/>
          <w:szCs w:val="20"/>
          <w:color w:val="auto"/>
        </w:rPr>
      </w:pPr>
      <w:r>
        <w:rPr>
          <w:rFonts w:ascii="Arial" w:cs="Arial" w:eastAsia="Arial" w:hAnsi="Arial"/>
          <w:sz w:val="14"/>
          <w:szCs w:val="14"/>
          <w:color w:val="auto"/>
        </w:rPr>
        <w:t>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55" w:lineRule="exact"/>
        <w:rPr>
          <w:sz w:val="20"/>
          <w:szCs w:val="20"/>
          <w:color w:val="auto"/>
        </w:rPr>
      </w:pPr>
    </w:p>
    <w:p>
      <w:pPr>
        <w:ind w:right="520"/>
        <w:spacing w:after="0" w:line="300" w:lineRule="auto"/>
        <w:rPr>
          <w:sz w:val="20"/>
          <w:szCs w:val="20"/>
          <w:color w:val="auto"/>
        </w:rPr>
      </w:pPr>
      <w:r>
        <w:rPr>
          <w:rFonts w:ascii="Arial" w:cs="Arial" w:eastAsia="Arial" w:hAnsi="Arial"/>
          <w:sz w:val="14"/>
          <w:szCs w:val="14"/>
          <w:b w:val="1"/>
          <w:bCs w:val="1"/>
          <w:color w:val="auto"/>
        </w:rPr>
        <w:t>If we fail to enter into new strategic relationships for ensifentrine, our business, research and development and commercialization prospects could be adversely affected.</w:t>
      </w:r>
    </w:p>
    <w:p>
      <w:pPr>
        <w:spacing w:after="0" w:line="47"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MDI formulation of ensifentrine for the maintenance treatment of COPD and potentially asthma and other respiratory diseases.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77"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may not be able to control the amount and timing of resources that the collaborator devotes to the development of ensifentrine;</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collaborator may experience financial difficulties;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may be required to relinquish important rights such as marketing, distribution and intellectual property rights;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collaborator could move forward with a competing product developed either independently or in collaboration with third parties, including our competitors;</w:t>
      </w:r>
    </w:p>
    <w:p>
      <w:pPr>
        <w:spacing w:after="0" w:line="97" w:lineRule="exact"/>
        <w:rPr>
          <w:rFonts w:ascii="Arial" w:cs="Arial" w:eastAsia="Arial" w:hAnsi="Arial"/>
          <w:sz w:val="14"/>
          <w:szCs w:val="14"/>
          <w:color w:val="auto"/>
        </w:rPr>
      </w:pPr>
    </w:p>
    <w:p>
      <w:pPr>
        <w:ind w:left="520" w:right="60" w:hanging="255"/>
        <w:spacing w:after="0" w:line="256"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business combinations or significant changes in a collaborator's business strategy may adversely affect our willingness to complete our obligations under any arrangement; or</w:t>
      </w:r>
    </w:p>
    <w:p>
      <w:pPr>
        <w:spacing w:after="0" w:line="259" w:lineRule="exact"/>
        <w:rPr>
          <w:rFonts w:ascii="Arial" w:cs="Arial" w:eastAsia="Arial" w:hAnsi="Arial"/>
          <w:sz w:val="14"/>
          <w:szCs w:val="14"/>
          <w:color w:val="auto"/>
        </w:rPr>
      </w:pPr>
    </w:p>
    <w:p>
      <w:pPr>
        <w:ind w:left="520" w:right="360" w:hanging="255"/>
        <w:spacing w:after="0" w:line="273"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collaboration may not provide sufficient funds to be profitable for us after we fulfill our payment liabilities under our agreement with Ligand Pharmaceuticals, Inc., or Ligand, which acquired Vernalis Development Limited, or Vernalis, in October 2018.</w:t>
      </w:r>
    </w:p>
    <w:p>
      <w:pPr>
        <w:spacing w:after="0" w:line="47"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b w:val="1"/>
          <w:b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limited personnel with experience in manufacturing, and we do not own facilities for manufacturing ensifentrine and its derived formulated products. Instead, we rely on and expect to continue to rely on third-party contract manufacturing organizations, or CMOs, for the supply of cGMP-grade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requirements for the manufacture of ensifentrine and its derived formulated products. If a CMO cannot successfully manufacture material that conforms to our specifications and the regulatory requirements of the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60"/>
          </w:cols>
          <w:pgMar w:left="220" w:top="311" w:right="219" w:bottom="1440" w:gutter="0" w:footer="0" w:header="0"/>
        </w:sectPr>
      </w:pPr>
    </w:p>
    <w:bookmarkStart w:id="27" w:name="page28"/>
    <w:bookmarkEnd w:id="27"/>
    <w:p>
      <w:pPr>
        <w:spacing w:after="0" w:line="258" w:lineRule="auto"/>
        <w:rPr>
          <w:sz w:val="20"/>
          <w:szCs w:val="20"/>
          <w:color w:val="auto"/>
        </w:rPr>
      </w:pPr>
      <w:r>
        <w:rPr>
          <w:rFonts w:ascii="Arial" w:cs="Arial" w:eastAsia="Arial" w:hAnsi="Arial"/>
          <w:sz w:val="14"/>
          <w:szCs w:val="14"/>
          <w:color w:val="auto"/>
        </w:rPr>
        <w:t>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7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control over the process or timing of the acquisition of these supplies by any CMO or its third-party suppliers, or the quality or quantity of such supplies. Moreover, we currently do not have any agreements for the commercial production of these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inhalation and nebulization devices we use for delivery of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 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w:t>
      </w:r>
    </w:p>
    <w:p>
      <w:pPr>
        <w:spacing w:after="0" w:line="7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and Information Technology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rely on patents and other intellectual property rights to protect ensifentrine, the enforcement, defense and maintenance of which may be challenging and costly.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enforce or protect these rights adequately could harm our ability to compete and impair our business.</w:t>
      </w:r>
    </w:p>
    <w:p>
      <w:pPr>
        <w:spacing w:after="0" w:line="98"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MDI, and the methods for treating patients with respiratory diseases using ensifentrine alone or in combination with other available products, or on in-licensing such rights. Our ensifentrine development program relies on the patents and patent applications assigned and know-how licensed from Ligand.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311" w:right="219" w:bottom="1440" w:gutter="0" w:footer="0" w:header="0"/>
        </w:sectPr>
      </w:pPr>
    </w:p>
    <w:bookmarkStart w:id="28" w:name="page29"/>
    <w:bookmarkEnd w:id="28"/>
    <w:p>
      <w:pPr>
        <w:spacing w:after="0" w:line="258" w:lineRule="auto"/>
        <w:rPr>
          <w:sz w:val="20"/>
          <w:szCs w:val="20"/>
          <w:color w:val="auto"/>
        </w:rPr>
      </w:pPr>
      <w:r>
        <w:rPr>
          <w:rFonts w:ascii="Arial" w:cs="Arial" w:eastAsia="Arial" w:hAnsi="Arial"/>
          <w:sz w:val="14"/>
          <w:szCs w:val="14"/>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4"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86" w:lineRule="exact"/>
        <w:rPr>
          <w:sz w:val="20"/>
          <w:szCs w:val="20"/>
          <w:color w:val="auto"/>
        </w:rPr>
      </w:pPr>
    </w:p>
    <w:p>
      <w:pPr>
        <w:ind w:right="140"/>
        <w:spacing w:after="0" w:line="300" w:lineRule="auto"/>
        <w:rPr>
          <w:sz w:val="20"/>
          <w:szCs w:val="20"/>
          <w:color w:val="auto"/>
        </w:rPr>
      </w:pPr>
      <w:r>
        <w:rPr>
          <w:rFonts w:ascii="Arial" w:cs="Arial" w:eastAsia="Arial" w:hAnsi="Arial"/>
          <w:sz w:val="14"/>
          <w:szCs w:val="14"/>
          <w:b w:val="1"/>
          <w:bCs w:val="1"/>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pacing w:after="0" w:line="208"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60"/>
          </w:cols>
          <w:pgMar w:left="220" w:top="311" w:right="219" w:bottom="1440" w:gutter="0" w:footer="0" w:header="0"/>
        </w:sectPr>
      </w:pPr>
    </w:p>
    <w:bookmarkStart w:id="29" w:name="page30"/>
    <w:bookmarkEnd w:id="29"/>
    <w:p>
      <w:pPr>
        <w:ind w:right="120"/>
        <w:spacing w:after="0" w:line="273" w:lineRule="auto"/>
        <w:rPr>
          <w:sz w:val="20"/>
          <w:szCs w:val="20"/>
          <w:color w:val="auto"/>
        </w:rPr>
      </w:pPr>
      <w:r>
        <w:rPr>
          <w:rFonts w:ascii="Arial" w:cs="Arial" w:eastAsia="Arial" w:hAnsi="Arial"/>
          <w:sz w:val="14"/>
          <w:szCs w:val="14"/>
          <w:color w:val="auto"/>
        </w:rPr>
        <w:t>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76" w:lineRule="exact"/>
        <w:rPr>
          <w:sz w:val="20"/>
          <w:szCs w:val="20"/>
          <w:color w:val="auto"/>
        </w:rPr>
      </w:pPr>
    </w:p>
    <w:p>
      <w:pPr>
        <w:ind w:right="140"/>
        <w:spacing w:after="0" w:line="300" w:lineRule="auto"/>
        <w:rPr>
          <w:sz w:val="20"/>
          <w:szCs w:val="20"/>
          <w:color w:val="auto"/>
        </w:rPr>
      </w:pPr>
      <w:r>
        <w:rPr>
          <w:rFonts w:ascii="Arial" w:cs="Arial" w:eastAsia="Arial" w:hAnsi="Arial"/>
          <w:sz w:val="14"/>
          <w:szCs w:val="14"/>
          <w:b w:val="1"/>
          <w:bCs w:val="1"/>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37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 and ordinary shares.</w:t>
      </w:r>
    </w:p>
    <w:p>
      <w:pPr>
        <w:spacing w:after="0" w:line="354" w:lineRule="exact"/>
        <w:rPr>
          <w:sz w:val="20"/>
          <w:szCs w:val="20"/>
          <w:color w:val="auto"/>
        </w:rPr>
      </w:pPr>
    </w:p>
    <w:p>
      <w:pPr>
        <w:ind w:right="80"/>
        <w:spacing w:after="0" w:line="300" w:lineRule="auto"/>
        <w:rPr>
          <w:sz w:val="20"/>
          <w:szCs w:val="20"/>
          <w:color w:val="auto"/>
        </w:rPr>
      </w:pPr>
      <w:r>
        <w:rPr>
          <w:rFonts w:ascii="Arial" w:cs="Arial" w:eastAsia="Arial" w:hAnsi="Arial"/>
          <w:sz w:val="14"/>
          <w:szCs w:val="14"/>
          <w:b w:val="1"/>
          <w:b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76"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ensifentrine may be subject to claims of infringement of the intellectual property rights of third parties.</w:t>
      </w:r>
    </w:p>
    <w:p>
      <w:pPr>
        <w:spacing w:after="0" w:line="209"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40"/>
          </w:cols>
          <w:pgMar w:left="220" w:top="419" w:right="239" w:bottom="1440" w:gutter="0" w:footer="0" w:header="0"/>
        </w:sectPr>
      </w:pPr>
    </w:p>
    <w:bookmarkStart w:id="30" w:name="page31"/>
    <w:bookmarkEnd w:id="30"/>
    <w:p>
      <w:pPr>
        <w:ind w:right="20"/>
        <w:spacing w:after="0" w:line="259" w:lineRule="auto"/>
        <w:rPr>
          <w:sz w:val="20"/>
          <w:szCs w:val="20"/>
          <w:color w:val="auto"/>
        </w:rPr>
      </w:pPr>
      <w:r>
        <w:rPr>
          <w:rFonts w:ascii="Arial" w:cs="Arial" w:eastAsia="Arial" w:hAnsi="Arial"/>
          <w:sz w:val="14"/>
          <w:szCs w:val="14"/>
          <w:color w:val="auto"/>
        </w:rPr>
        <w:t>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377"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subject to claims challenging the inventorship of our patents and other intellectual property.</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 litigation could cause us to spend substantial resources and distract our personnel from their normal responsibilities.</w:t>
      </w:r>
    </w:p>
    <w:p>
      <w:pPr>
        <w:spacing w:after="0" w:line="245"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ordinary shares or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419" w:right="219" w:bottom="1440" w:gutter="0" w:footer="0" w:header="0"/>
        </w:sectPr>
      </w:pPr>
    </w:p>
    <w:bookmarkStart w:id="31" w:name="page32"/>
    <w:bookmarkEnd w:id="31"/>
    <w:p>
      <w:pPr>
        <w:ind w:right="680"/>
        <w:spacing w:after="0" w:line="300" w:lineRule="auto"/>
        <w:rPr>
          <w:sz w:val="20"/>
          <w:szCs w:val="20"/>
          <w:color w:val="auto"/>
        </w:rPr>
      </w:pPr>
      <w:r>
        <w:rPr>
          <w:rFonts w:ascii="Arial" w:cs="Arial" w:eastAsia="Arial" w:hAnsi="Arial"/>
          <w:sz w:val="14"/>
          <w:szCs w:val="14"/>
          <w:b w:val="1"/>
          <w:bCs w:val="1"/>
          <w:color w:val="auto"/>
        </w:rPr>
        <w:t>If we fail to comply with our obligations under our existing and any future intellectual property licenses with third parties, we could lose license rights that are important to our business.</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358" w:lineRule="exact"/>
        <w:rPr>
          <w:sz w:val="20"/>
          <w:szCs w:val="20"/>
          <w:color w:val="auto"/>
        </w:rPr>
      </w:pPr>
    </w:p>
    <w:p>
      <w:pPr>
        <w:ind w:right="660"/>
        <w:spacing w:after="0" w:line="300" w:lineRule="auto"/>
        <w:rPr>
          <w:sz w:val="20"/>
          <w:szCs w:val="20"/>
          <w:color w:val="auto"/>
        </w:rPr>
      </w:pPr>
      <w:r>
        <w:rPr>
          <w:rFonts w:ascii="Arial" w:cs="Arial" w:eastAsia="Arial" w:hAnsi="Arial"/>
          <w:sz w:val="14"/>
          <w:szCs w:val="14"/>
          <w:b w:val="1"/>
          <w:bCs w:val="1"/>
          <w:color w:val="auto"/>
        </w:rPr>
        <w:t>We may not be successful in maintaining the necessary rights to ensifentrine or obtaining other intellectual property rights important to our business through acquisitions and in-licenses.</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ensifentrine.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6" w:lineRule="exact"/>
        <w:rPr>
          <w:sz w:val="20"/>
          <w:szCs w:val="20"/>
          <w:color w:val="auto"/>
        </w:rPr>
      </w:pPr>
    </w:p>
    <w:p>
      <w:pPr>
        <w:ind w:right="240"/>
        <w:spacing w:after="0" w:line="261" w:lineRule="auto"/>
        <w:rPr>
          <w:sz w:val="20"/>
          <w:szCs w:val="20"/>
          <w:color w:val="auto"/>
        </w:rPr>
      </w:pPr>
      <w:r>
        <w:rPr>
          <w:rFonts w:ascii="Arial" w:cs="Arial" w:eastAsia="Arial" w:hAnsi="Arial"/>
          <w:sz w:val="14"/>
          <w:szCs w:val="14"/>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184" w:lineRule="exact"/>
        <w:rPr>
          <w:sz w:val="20"/>
          <w:szCs w:val="20"/>
          <w:color w:val="auto"/>
        </w:rPr>
      </w:pPr>
    </w:p>
    <w:p>
      <w:pPr>
        <w:ind w:right="400"/>
        <w:spacing w:after="0" w:line="300" w:lineRule="auto"/>
        <w:rPr>
          <w:sz w:val="20"/>
          <w:szCs w:val="20"/>
          <w:color w:val="auto"/>
        </w:rPr>
      </w:pPr>
      <w:r>
        <w:rPr>
          <w:rFonts w:ascii="Arial" w:cs="Arial" w:eastAsia="Arial" w:hAnsi="Arial"/>
          <w:sz w:val="14"/>
          <w:szCs w:val="14"/>
          <w:b w:val="1"/>
          <w:bCs w:val="1"/>
          <w:color w:val="auto"/>
        </w:rPr>
        <w:t>If our trademarks and trade names are not adequately protected, then we may not be able to build name recognition in our markets of interest and our competitive position may be adversely affected.</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do not currently own any registered trademarks. We may not be able to obtain trademark protection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188" w:lineRule="exact"/>
        <w:rPr>
          <w:sz w:val="20"/>
          <w:szCs w:val="20"/>
          <w:color w:val="auto"/>
        </w:rPr>
      </w:pPr>
    </w:p>
    <w:p>
      <w:pPr>
        <w:ind w:right="200"/>
        <w:spacing w:after="0" w:line="300" w:lineRule="auto"/>
        <w:rPr>
          <w:sz w:val="20"/>
          <w:szCs w:val="20"/>
          <w:color w:val="auto"/>
        </w:rPr>
      </w:pPr>
      <w:r>
        <w:rPr>
          <w:rFonts w:ascii="Arial" w:cs="Arial" w:eastAsia="Arial" w:hAnsi="Arial"/>
          <w:sz w:val="14"/>
          <w:szCs w:val="14"/>
          <w:b w:val="1"/>
          <w:b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176"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ensifentrine expire in 2020, and our other issued patents will expire in 2031, subject to any patent extensions that may be available for such patents. If patents are issued on our</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401" w:right="219" w:bottom="1440" w:gutter="0" w:footer="0" w:header="0"/>
        </w:sectPr>
      </w:pPr>
    </w:p>
    <w:bookmarkStart w:id="32" w:name="page33"/>
    <w:bookmarkEnd w:id="32"/>
    <w:p>
      <w:pPr>
        <w:ind w:right="120"/>
        <w:spacing w:after="0" w:line="261" w:lineRule="auto"/>
        <w:rPr>
          <w:sz w:val="20"/>
          <w:szCs w:val="20"/>
          <w:color w:val="auto"/>
        </w:rPr>
      </w:pPr>
      <w:r>
        <w:rPr>
          <w:rFonts w:ascii="Arial" w:cs="Arial" w:eastAsia="Arial" w:hAnsi="Arial"/>
          <w:sz w:val="14"/>
          <w:szCs w:val="14"/>
          <w:color w:val="auto"/>
        </w:rPr>
        <w:t>pending patent applications, the resulting patents are projected to expire on dates ranging from 2031 to 2036.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8" w:lineRule="exact"/>
        <w:rPr>
          <w:sz w:val="20"/>
          <w:szCs w:val="20"/>
          <w:color w:val="auto"/>
        </w:rPr>
      </w:pPr>
    </w:p>
    <w:p>
      <w:pPr>
        <w:ind w:right="360"/>
        <w:spacing w:after="0" w:line="300" w:lineRule="auto"/>
        <w:rPr>
          <w:sz w:val="20"/>
          <w:szCs w:val="20"/>
          <w:color w:val="auto"/>
        </w:rPr>
      </w:pPr>
      <w:r>
        <w:rPr>
          <w:rFonts w:ascii="Arial" w:cs="Arial" w:eastAsia="Arial" w:hAnsi="Arial"/>
          <w:sz w:val="14"/>
          <w:szCs w:val="14"/>
          <w:b w:val="1"/>
          <w:b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382"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419" w:right="219" w:bottom="1440" w:gutter="0" w:footer="0" w:header="0"/>
        </w:sectPr>
      </w:pPr>
    </w:p>
    <w:bookmarkStart w:id="33" w:name="page34"/>
    <w:bookmarkEnd w:id="33"/>
    <w:p>
      <w:pPr>
        <w:ind w:right="20"/>
        <w:spacing w:after="0" w:line="261" w:lineRule="auto"/>
        <w:rPr>
          <w:sz w:val="20"/>
          <w:szCs w:val="20"/>
          <w:color w:val="auto"/>
        </w:rPr>
      </w:pPr>
      <w:r>
        <w:rPr>
          <w:rFonts w:ascii="Arial" w:cs="Arial" w:eastAsia="Arial" w:hAnsi="Arial"/>
          <w:sz w:val="14"/>
          <w:szCs w:val="14"/>
          <w:color w:val="auto"/>
        </w:rPr>
        <w:t>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2"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 rights do not necessarily address all potential threats to our competitive advantage.</w:t>
      </w:r>
    </w:p>
    <w:p>
      <w:pPr>
        <w:spacing w:after="0" w:line="245"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6" w:lineRule="exact"/>
        <w:rPr>
          <w:sz w:val="20"/>
          <w:szCs w:val="20"/>
          <w:color w:val="auto"/>
        </w:rPr>
      </w:pPr>
    </w:p>
    <w:p>
      <w:pPr>
        <w:ind w:left="520" w:right="40" w:hanging="255"/>
        <w:spacing w:after="0" w:line="256"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Others may be able to make compounds that are the same as or similar to our product candidates but that are not covered by the claims of the patents that we own or have exclusively licensed.</w:t>
      </w:r>
    </w:p>
    <w:p>
      <w:pPr>
        <w:ind w:left="520" w:hanging="255"/>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patents of third parties may impair our ability to develop or commercialize our product candidates.</w:t>
      </w:r>
    </w:p>
    <w:p>
      <w:pPr>
        <w:spacing w:after="0" w:line="11" w:lineRule="exact"/>
        <w:rPr>
          <w:rFonts w:ascii="Arial" w:cs="Arial" w:eastAsia="Arial" w:hAnsi="Arial"/>
          <w:sz w:val="14"/>
          <w:szCs w:val="14"/>
          <w:color w:val="auto"/>
        </w:rPr>
      </w:pPr>
    </w:p>
    <w:p>
      <w:pPr>
        <w:ind w:left="520" w:right="480" w:hanging="255"/>
        <w:spacing w:after="0" w:line="256"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or our licensors or any future collaborators might not have been the first to file patent applications covering certain of our inventions.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our intellectual property rights.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11" w:lineRule="exact"/>
        <w:rPr>
          <w:rFonts w:ascii="Arial" w:cs="Arial" w:eastAsia="Arial" w:hAnsi="Arial"/>
          <w:sz w:val="14"/>
          <w:szCs w:val="14"/>
          <w:color w:val="auto"/>
        </w:rPr>
      </w:pPr>
    </w:p>
    <w:p>
      <w:pPr>
        <w:ind w:left="520" w:right="240" w:hanging="255"/>
        <w:spacing w:after="0" w:line="256"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Issued patents that we own or have exclusively licensed may not provide us with any competitive advantage, or may be held invalid or unenforceable, as a result of legal challenges by our competitors.</w:t>
      </w:r>
    </w:p>
    <w:p>
      <w:pPr>
        <w:spacing w:after="0" w:line="1" w:lineRule="exact"/>
        <w:rPr>
          <w:rFonts w:ascii="Arial" w:cs="Arial" w:eastAsia="Arial" w:hAnsi="Arial"/>
          <w:sz w:val="14"/>
          <w:szCs w:val="14"/>
          <w:color w:val="auto"/>
        </w:rPr>
      </w:pPr>
    </w:p>
    <w:p>
      <w:pPr>
        <w:ind w:left="520" w:right="540" w:hanging="255"/>
        <w:spacing w:after="0" w:line="256"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Arial" w:cs="Arial" w:eastAsia="Arial" w:hAnsi="Arial"/>
          <w:sz w:val="14"/>
          <w:szCs w:val="14"/>
          <w:color w:val="auto"/>
        </w:rPr>
      </w:pPr>
    </w:p>
    <w:p>
      <w:pPr>
        <w:ind w:left="520" w:right="60" w:hanging="255"/>
        <w:spacing w:after="0" w:line="256"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Third parties performing manufacturing or testing for us using our product candidates or technologies could use the intellectual property of others without obtaining a proper license.</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may not develop additional technologies that are patentable.</w:t>
      </w:r>
    </w:p>
    <w:p>
      <w:pPr>
        <w:spacing w:after="0" w:line="101" w:lineRule="exact"/>
        <w:rPr>
          <w:sz w:val="20"/>
          <w:szCs w:val="20"/>
          <w:color w:val="auto"/>
        </w:rPr>
      </w:pPr>
    </w:p>
    <w:p>
      <w:pPr>
        <w:ind w:right="560"/>
        <w:spacing w:after="0" w:line="300" w:lineRule="auto"/>
        <w:rPr>
          <w:sz w:val="20"/>
          <w:szCs w:val="20"/>
          <w:color w:val="auto"/>
        </w:rPr>
      </w:pPr>
      <w:r>
        <w:rPr>
          <w:rFonts w:ascii="Arial" w:cs="Arial" w:eastAsia="Arial" w:hAnsi="Arial"/>
          <w:sz w:val="14"/>
          <w:szCs w:val="14"/>
          <w:b w:val="1"/>
          <w:bCs w:val="1"/>
          <w:color w:val="auto"/>
        </w:rPr>
        <w:t>Changes in patent laws or patent jurisprudence could diminish the value of patents in general, thereby impairing our ability to protect ensifentrine or any future product candidates.</w:t>
      </w:r>
    </w:p>
    <w:p>
      <w:pPr>
        <w:spacing w:after="0" w:line="176"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202"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419" w:right="219" w:bottom="1440" w:gutter="0" w:footer="0" w:header="0"/>
        </w:sectPr>
      </w:pPr>
    </w:p>
    <w:bookmarkStart w:id="34" w:name="page35"/>
    <w:bookmarkEnd w:id="34"/>
    <w:p>
      <w:pPr>
        <w:ind w:right="60"/>
        <w:spacing w:after="0" w:line="262" w:lineRule="auto"/>
        <w:rPr>
          <w:sz w:val="20"/>
          <w:szCs w:val="20"/>
          <w:color w:val="auto"/>
        </w:rPr>
      </w:pPr>
      <w:r>
        <w:rPr>
          <w:rFonts w:ascii="Arial" w:cs="Arial" w:eastAsia="Arial" w:hAnsi="Arial"/>
          <w:sz w:val="14"/>
          <w:szCs w:val="14"/>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20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Confidentiality agreements with employees and others may not adequately prevent disclosure of trade secrets and protect other proprietary information.</w:t>
      </w: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367"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38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182" w:lineRule="exact"/>
        <w:rPr>
          <w:sz w:val="20"/>
          <w:szCs w:val="20"/>
          <w:color w:val="auto"/>
        </w:rPr>
      </w:pPr>
    </w:p>
    <w:p>
      <w:pPr>
        <w:ind w:right="280"/>
        <w:spacing w:after="0" w:line="300" w:lineRule="auto"/>
        <w:rPr>
          <w:sz w:val="20"/>
          <w:szCs w:val="20"/>
          <w:color w:val="auto"/>
        </w:rPr>
      </w:pPr>
      <w:r>
        <w:rPr>
          <w:rFonts w:ascii="Arial" w:cs="Arial" w:eastAsia="Arial" w:hAnsi="Arial"/>
          <w:sz w:val="14"/>
          <w:szCs w:val="14"/>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 or sustain damages.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intellectual property rights could be awarded to a third party, and we could be required to obtain a license from such third party to commercialize our technology or products.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a license may not be available on commercially reasonable terms or at all. Even if</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40"/>
          </w:cols>
          <w:pgMar w:left="220" w:top="419" w:right="23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we successfully prosecute or defend against such claims, litigation could result in substantial costs and distract management.</w:t>
      </w:r>
    </w:p>
    <w:p>
      <w:pPr>
        <w:spacing w:after="0" w:line="209" w:lineRule="exact"/>
        <w:rPr>
          <w:sz w:val="20"/>
          <w:szCs w:val="20"/>
          <w:color w:val="auto"/>
        </w:rPr>
      </w:pPr>
    </w:p>
    <w:p>
      <w:pPr>
        <w:spacing w:after="0" w:line="300" w:lineRule="auto"/>
        <w:rPr>
          <w:sz w:val="20"/>
          <w:szCs w:val="20"/>
          <w:color w:val="auto"/>
        </w:rPr>
      </w:pPr>
      <w:r>
        <w:rPr>
          <w:rFonts w:ascii="Arial" w:cs="Arial" w:eastAsia="Arial" w:hAnsi="Arial"/>
          <w:sz w:val="14"/>
          <w:szCs w:val="14"/>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6"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187" w:lineRule="exact"/>
        <w:rPr>
          <w:sz w:val="20"/>
          <w:szCs w:val="20"/>
          <w:color w:val="auto"/>
        </w:rPr>
      </w:pPr>
    </w:p>
    <w:p>
      <w:pPr>
        <w:ind w:right="720"/>
        <w:spacing w:after="0" w:line="300" w:lineRule="auto"/>
        <w:rPr>
          <w:sz w:val="20"/>
          <w:szCs w:val="20"/>
          <w:color w:val="auto"/>
        </w:rPr>
      </w:pPr>
      <w:r>
        <w:rPr>
          <w:rFonts w:ascii="Arial" w:cs="Arial" w:eastAsia="Arial" w:hAnsi="Arial"/>
          <w:sz w:val="14"/>
          <w:szCs w:val="14"/>
          <w:b w:val="1"/>
          <w:bCs w:val="1"/>
          <w:color w:val="auto"/>
        </w:rPr>
        <w:t>Our proprietary information, or that of our manufacturers, suppliers and other parties that we use to conduct our pre-clinical and clinical trials and any future collaborators, may be lost or we may suffer security breaches.</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 the ordinary course of our business, we and our manufacturers, suppliers and third parties that we use to conduct our pre-clinical and clinical trials, collect and store sensitive data, including intellectual property, clinical trial data, proprietary business information and personally identifiable information of our clinical trial subjects and employees, in our and third-party data centers and on our and third-party networks. The secure processing, maintenance and transmission of this information is critical to our operations. Despite our security measures, our information technology and infrastructure may be vulnerable to attacks by hackers or breached due to employee error,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including the GDPR, regulatory penalties, disrupt our operations, damage our reputation, and cause a loss of confidence in us and our ability to conduct clinical trials, which could adversely affect our reputation and delay clinical development of our product candidates.</w:t>
      </w:r>
    </w:p>
    <w:p>
      <w:pPr>
        <w:spacing w:after="0" w:line="79" w:lineRule="exact"/>
        <w:rPr>
          <w:sz w:val="20"/>
          <w:szCs w:val="20"/>
          <w:color w:val="auto"/>
        </w:rPr>
      </w:pPr>
    </w:p>
    <w:p>
      <w:pPr>
        <w:ind w:right="180"/>
        <w:spacing w:after="0" w:line="300" w:lineRule="auto"/>
        <w:rPr>
          <w:sz w:val="20"/>
          <w:szCs w:val="20"/>
          <w:color w:val="auto"/>
        </w:rPr>
      </w:pPr>
      <w:r>
        <w:rPr>
          <w:rFonts w:ascii="Arial" w:cs="Arial" w:eastAsia="Arial" w:hAnsi="Arial"/>
          <w:sz w:val="14"/>
          <w:szCs w:val="14"/>
          <w:b w:val="1"/>
          <w:bCs w:val="1"/>
          <w:color w:val="auto"/>
        </w:rPr>
        <w:t>Our information technology systems, and that of our manufacturers, suppliers and other third parties that we use to conduct our pre-clinical and clinical trials, could experience serious disruptions that could distract our operations and cause delays in our research and development work.</w:t>
      </w:r>
    </w:p>
    <w:p>
      <w:pPr>
        <w:spacing w:after="0" w:line="68"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color w:val="auto"/>
        </w:rPr>
        <w:t>Our information technology and other internal infrastructure systems, including corporate firewalls, servers, leased lines and connection to the Internet, and that of our manufacturers, suppliers and other third parties that we use to conduct our pre-clinical and clinical trials,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Employee Matters and Managing Growth</w:t>
      </w:r>
    </w:p>
    <w:p>
      <w:pPr>
        <w:spacing w:after="0" w:line="227" w:lineRule="exact"/>
        <w:rPr>
          <w:sz w:val="20"/>
          <w:szCs w:val="20"/>
          <w:color w:val="auto"/>
        </w:rPr>
      </w:pPr>
    </w:p>
    <w:p>
      <w:pPr>
        <w:ind w:right="580"/>
        <w:spacing w:after="0" w:line="300" w:lineRule="auto"/>
        <w:rPr>
          <w:sz w:val="20"/>
          <w:szCs w:val="20"/>
          <w:color w:val="auto"/>
        </w:rPr>
      </w:pPr>
      <w:r>
        <w:rPr>
          <w:rFonts w:ascii="Arial" w:cs="Arial" w:eastAsia="Arial" w:hAnsi="Arial"/>
          <w:sz w:val="14"/>
          <w:szCs w:val="14"/>
          <w:b w:val="1"/>
          <w:bCs w:val="1"/>
          <w:color w:val="auto"/>
        </w:rPr>
        <w:t>Our future growth and ability to compete depends on the successful transition of our CEO and CFO roles, retaining our key personnel and recruiting additional qualified personnel.</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success depends upon the contributions of our key management, scientific and technical personnel, many of whom have been instrumental for us and have substantial experience with ensifentrine and related technologies. On February 3, 2020 we announced the appointment of David Zaccardelli as chief executive officer with effect from February 1, 2020, following the retirement of Jan-Anders Karlsson, PhD. We also announced the appointment of Mark Hahn as chief financial officer with effect from March 1, 2020, as successor to Piers Morgan. We anticipate that we will experience a transitional period until our new chief executive officer and chief financial officer are fully integrated into their new roles and the transition may not be successful. Moreover, we cannot provide any assurance that the transition in leadership will not result in a disruption that adversely impacts our business and employee morale, or that successful working relationships between our other key management individuals and the new chief executive officer and chief financial officer will be developed.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40"/>
          </w:cols>
          <w:pgMar w:left="220" w:top="419" w:right="239" w:bottom="1440" w:gutter="0" w:footer="0" w:header="0"/>
        </w:sectPr>
      </w:pPr>
    </w:p>
    <w:bookmarkStart w:id="36" w:name="page37"/>
    <w:bookmarkEnd w:id="36"/>
    <w:p>
      <w:pPr>
        <w:ind w:right="100"/>
        <w:spacing w:after="0" w:line="265" w:lineRule="auto"/>
        <w:rPr>
          <w:sz w:val="20"/>
          <w:szCs w:val="20"/>
          <w:color w:val="auto"/>
        </w:rPr>
      </w:pPr>
      <w:r>
        <w:rPr>
          <w:rFonts w:ascii="Arial" w:cs="Arial" w:eastAsia="Arial" w:hAnsi="Arial"/>
          <w:sz w:val="14"/>
          <w:szCs w:val="14"/>
          <w:color w:val="auto"/>
        </w:rPr>
        <w:t>Our other key management individuals include our general counsel, Claire Poll, our chief medical officer, Kathleen Rickard, our senior vice president, chemistry manufacturing and controls, Peter Spargo, our vice president, regulatory affairs, Desiree Luthman, our commercial director, Richard Hennings, and our vice president, R&amp;D operations and global project management, Tara Rheault.</w:t>
      </w:r>
    </w:p>
    <w:p>
      <w:pPr>
        <w:spacing w:after="0" w:line="20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184" w:lineRule="exact"/>
        <w:rPr>
          <w:sz w:val="20"/>
          <w:szCs w:val="20"/>
          <w:color w:val="auto"/>
        </w:rPr>
      </w:pPr>
    </w:p>
    <w:p>
      <w:pPr>
        <w:ind w:right="140"/>
        <w:spacing w:after="0" w:line="300" w:lineRule="auto"/>
        <w:rPr>
          <w:sz w:val="20"/>
          <w:szCs w:val="20"/>
          <w:color w:val="auto"/>
        </w:rPr>
      </w:pPr>
      <w:r>
        <w:rPr>
          <w:rFonts w:ascii="Arial" w:cs="Arial" w:eastAsia="Arial" w:hAnsi="Arial"/>
          <w:sz w:val="14"/>
          <w:szCs w:val="14"/>
          <w:b w:val="1"/>
          <w:bCs w:val="1"/>
          <w:color w:val="auto"/>
        </w:rPr>
        <w:t>We expect to expand our development, regulatory and sales and marketing capabilities, and as a result, we may encounter difficulties in managing our growth, which could disrupt our operations.</w:t>
      </w:r>
    </w:p>
    <w:p>
      <w:pPr>
        <w:spacing w:after="0" w:line="176"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ADSs and Ordinary Shares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price of our ADSs and ordinary shares may be volatile and may fluctuate due to factors beyond our control.</w:t>
      </w:r>
    </w:p>
    <w:p>
      <w:pPr>
        <w:spacing w:after="0" w:line="245"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The trading market for publicly traded emerging biopharmaceutical and drug discovery and development companies has been highly volatile and is likely to remain highly volatile in the future. The market price of our ADSs and ordinary shares may fluctuate significantly due to a variety of factors, including:</w:t>
      </w:r>
    </w:p>
    <w:p>
      <w:pPr>
        <w:spacing w:after="0" w:line="86"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positive or negative results from, or delays in, clinical trials of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developments in our competitors’ businesses;</w:t>
      </w:r>
    </w:p>
    <w:p>
      <w:pPr>
        <w:spacing w:after="0" w:line="11" w:lineRule="exact"/>
        <w:rPr>
          <w:rFonts w:ascii="Arial" w:cs="Arial" w:eastAsia="Arial" w:hAnsi="Arial"/>
          <w:sz w:val="14"/>
          <w:szCs w:val="14"/>
          <w:color w:val="auto"/>
        </w:rPr>
      </w:pPr>
    </w:p>
    <w:p>
      <w:pPr>
        <w:ind w:left="520" w:right="160" w:hanging="255"/>
        <w:spacing w:after="0" w:line="256"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spacing w:after="0" w:line="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technological innovations or commercial product introductions by us or competitors;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government regulations;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developments concerning proprietary rights, including patents and litigation matters;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public concern relating to the commercial value or safety of ensifentrine;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financing or other corporate transactions;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publication of research reports or comments by securities or industry analysts or commentators;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general market conditions in the pharmaceutical industry or in the economy as a whole;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loss of any of our key scientific or senior management personnel;</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sales of our ADSs or ordinary shares by us, our senior management or board members, and significant holders of our ADSs or ordinary shares; or</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other events and factors, many of which are beyond our control.</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 affect the liquidity of our ADSs and ordinary shares.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20" w:top="419" w:right="259" w:bottom="1440" w:gutter="0" w:footer="0" w:header="0"/>
        </w:sectPr>
      </w:pPr>
    </w:p>
    <w:bookmarkStart w:id="37" w:name="page38"/>
    <w:bookmarkEnd w:id="37"/>
    <w:p>
      <w:pPr>
        <w:ind w:right="620"/>
        <w:spacing w:after="0" w:line="300" w:lineRule="auto"/>
        <w:rPr>
          <w:sz w:val="20"/>
          <w:szCs w:val="20"/>
          <w:color w:val="auto"/>
        </w:rPr>
      </w:pPr>
      <w:r>
        <w:rPr>
          <w:rFonts w:ascii="Arial" w:cs="Arial" w:eastAsia="Arial" w:hAnsi="Arial"/>
          <w:sz w:val="14"/>
          <w:szCs w:val="14"/>
          <w:b w:val="1"/>
          <w:bCs w:val="1"/>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176"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As a U.S. public company, and particularly after we no longer qualify as an emerging growth company, or EGC, we will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204"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Pursuant to Section 404 of the Sarbanes-Oxley Act of 2002, or Section 404, we are required to furnish a report by our senior management on our internal control over financial reporting. However, while we remain an EGC, we will not be required to include an attestation report on internal control over financial reporting issued by our independent registered public accounting firm. To prepare for eventual compliance with Section 404, once we no longer qualify as an EGC,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dual listing of our ordinary shares and our ADSs may adversely affect the liquidity and value of our ordinary shares and ADSs.</w:t>
      </w:r>
    </w:p>
    <w:p>
      <w:pPr>
        <w:spacing w:after="0" w:line="245"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Our ADSs are listed on Nasdaq, and our ordinary shares are admitted to trading on AIM. The dual listing of our ADSs and ordinary shares may dilute the liquidity of these securities in one or both markets and may adversely affect the trading market or price for our ADSs or ordinary shares.</w:t>
      </w:r>
    </w:p>
    <w:p>
      <w:pPr>
        <w:spacing w:after="0" w:line="176" w:lineRule="exact"/>
        <w:rPr>
          <w:sz w:val="20"/>
          <w:szCs w:val="20"/>
          <w:color w:val="auto"/>
        </w:rPr>
      </w:pPr>
    </w:p>
    <w:p>
      <w:pPr>
        <w:ind w:right="60"/>
        <w:spacing w:after="0" w:line="300" w:lineRule="auto"/>
        <w:rPr>
          <w:sz w:val="20"/>
          <w:szCs w:val="20"/>
          <w:color w:val="auto"/>
        </w:rPr>
      </w:pPr>
      <w:r>
        <w:rPr>
          <w:rFonts w:ascii="Arial" w:cs="Arial" w:eastAsia="Arial" w:hAnsi="Arial"/>
          <w:sz w:val="14"/>
          <w:szCs w:val="14"/>
          <w:b w:val="1"/>
          <w:bCs w:val="1"/>
          <w:color w:val="auto"/>
        </w:rPr>
        <w:t>Certain of our shareholders, members of our board of directors, and senior management own a majority of our ordinary shares (including ordinary shares represented by ADSs) and as a result, are be able to exercise significant control over us.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As of December 31, 2019, our senior management, board of directors and greater than 5% shareholders and their respective affiliates, in the aggregate, owned approximately 61% of our ordinary shares (including ordinary shares represented by ADSs) assuming no exercise of outstanding options or warrants, and approximately 67% of our ordinary shares, assuming exercise of all options available for exercise and outstanding warrants.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187" w:lineRule="exact"/>
        <w:rPr>
          <w:sz w:val="20"/>
          <w:szCs w:val="20"/>
          <w:color w:val="auto"/>
        </w:rPr>
      </w:pPr>
    </w:p>
    <w:p>
      <w:pPr>
        <w:ind w:right="500"/>
        <w:spacing w:after="0" w:line="300" w:lineRule="auto"/>
        <w:rPr>
          <w:sz w:val="20"/>
          <w:szCs w:val="20"/>
          <w:color w:val="auto"/>
        </w:rPr>
      </w:pPr>
      <w:r>
        <w:rPr>
          <w:rFonts w:ascii="Arial" w:cs="Arial" w:eastAsia="Arial" w:hAnsi="Arial"/>
          <w:sz w:val="14"/>
          <w:szCs w:val="14"/>
          <w:b w:val="1"/>
          <w:bCs w:val="1"/>
          <w:color w:val="auto"/>
        </w:rPr>
        <w:t>Future sales, or the possibility of future sales, of a substantial number of our ADSs or ordinary shares could adversely affect the price of our ADSs and ordinary shares.</w:t>
      </w:r>
    </w:p>
    <w:p>
      <w:pPr>
        <w:spacing w:after="0" w:line="176"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Future sales of a substantial number of our ADSs, or the perception that such sales will occur, could cause a decline in the market price of our ADSs and ordinary shares. Sales in the United States of our ADSs and ordinary shares held by our directors, officers and affiliated shareholders are subject to restrictions. If these shareholders sell substantial amounts of ordinary shares or ADSs in the public market, or the market perceives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40"/>
          </w:cols>
          <w:pgMar w:left="220" w:top="401" w:right="239" w:bottom="1440" w:gutter="0" w:footer="0" w:header="0"/>
        </w:sectPr>
      </w:pPr>
    </w:p>
    <w:bookmarkStart w:id="38" w:name="page39"/>
    <w:bookmarkEnd w:id="38"/>
    <w:p>
      <w:pPr>
        <w:ind w:right="400"/>
        <w:spacing w:after="0" w:line="273" w:lineRule="auto"/>
        <w:rPr>
          <w:sz w:val="20"/>
          <w:szCs w:val="20"/>
          <w:color w:val="auto"/>
        </w:rPr>
      </w:pPr>
      <w:r>
        <w:rPr>
          <w:rFonts w:ascii="Arial" w:cs="Arial" w:eastAsia="Arial" w:hAnsi="Arial"/>
          <w:sz w:val="14"/>
          <w:szCs w:val="14"/>
          <w:color w:val="auto"/>
        </w:rPr>
        <w:t>that such sales may occur, the market price of our ADSs or ordinary shares and our ability to raise capital through an issue of equity securities in the future could be adversely affected.</w:t>
      </w:r>
    </w:p>
    <w:p>
      <w:pPr>
        <w:spacing w:after="0" w:line="176" w:lineRule="exact"/>
        <w:rPr>
          <w:sz w:val="20"/>
          <w:szCs w:val="20"/>
          <w:color w:val="auto"/>
        </w:rPr>
      </w:pPr>
    </w:p>
    <w:p>
      <w:pPr>
        <w:ind w:right="40"/>
        <w:spacing w:after="0" w:line="300" w:lineRule="auto"/>
        <w:rPr>
          <w:sz w:val="20"/>
          <w:szCs w:val="20"/>
          <w:color w:val="auto"/>
        </w:rPr>
      </w:pPr>
      <w:r>
        <w:rPr>
          <w:rFonts w:ascii="Arial" w:cs="Arial" w:eastAsia="Arial" w:hAnsi="Arial"/>
          <w:sz w:val="14"/>
          <w:szCs w:val="14"/>
          <w:b w:val="1"/>
          <w:b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traded on AIM may carry a higher risk than securities traded on other exchanges, which may impact the value of our investors' investments.</w:t>
      </w:r>
    </w:p>
    <w:p>
      <w:pPr>
        <w:spacing w:after="0" w:line="245"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imposes less stringent corporate governance and ongoing reporting requirements than those other exchanges. In addition, AIM requires only half-yearly, rather than quarterly, financial reporting.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ordinary shares, our ADSs, or of the ordinary shares underlying our ADSs, may not reflect the underlying value of our company.</w:t>
      </w:r>
    </w:p>
    <w:p>
      <w:pPr>
        <w:spacing w:after="0" w:line="188" w:lineRule="exact"/>
        <w:rPr>
          <w:sz w:val="20"/>
          <w:szCs w:val="20"/>
          <w:color w:val="auto"/>
        </w:rPr>
      </w:pPr>
    </w:p>
    <w:p>
      <w:pPr>
        <w:spacing w:after="0" w:line="300" w:lineRule="auto"/>
        <w:rPr>
          <w:sz w:val="20"/>
          <w:szCs w:val="20"/>
          <w:color w:val="auto"/>
        </w:rPr>
      </w:pPr>
      <w:r>
        <w:rPr>
          <w:rFonts w:ascii="Arial" w:cs="Arial" w:eastAsia="Arial" w:hAnsi="Arial"/>
          <w:sz w:val="14"/>
          <w:szCs w:val="14"/>
          <w:b w:val="1"/>
          <w:bCs w:val="1"/>
          <w:color w:val="auto"/>
        </w:rPr>
        <w:t>Holders of our ADSs may not have the same voting rights as the holders of our ordinary shares and may not receive voting materials in time to be able to exercise their right to vote.</w:t>
      </w:r>
    </w:p>
    <w:p>
      <w:pPr>
        <w:spacing w:after="0" w:line="176"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Holders of our ADSs are not be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186" w:lineRule="exact"/>
        <w:rPr>
          <w:sz w:val="20"/>
          <w:szCs w:val="20"/>
          <w:color w:val="auto"/>
        </w:rPr>
      </w:pPr>
    </w:p>
    <w:p>
      <w:pPr>
        <w:ind w:right="320"/>
        <w:spacing w:after="0" w:line="300" w:lineRule="auto"/>
        <w:rPr>
          <w:sz w:val="20"/>
          <w:szCs w:val="20"/>
          <w:color w:val="auto"/>
        </w:rPr>
      </w:pPr>
      <w:r>
        <w:rPr>
          <w:rFonts w:ascii="Arial" w:cs="Arial" w:eastAsia="Arial" w:hAnsi="Arial"/>
          <w:sz w:val="14"/>
          <w:szCs w:val="14"/>
          <w:b w:val="1"/>
          <w:bCs w:val="1"/>
          <w:color w:val="auto"/>
        </w:rPr>
        <w:t>Holders of our ADSs may not receive distributions on our ordinary shares represented by our ADSs or any value for them if it is illegal or impractical to make them available to them.</w:t>
      </w:r>
    </w:p>
    <w:p>
      <w:pPr>
        <w:spacing w:after="0" w:line="176"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our ADSs may be subject to limitations on transfer of their ADSs.</w:t>
      </w:r>
    </w:p>
    <w:p>
      <w:pPr>
        <w:spacing w:after="0" w:line="245"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40"/>
          </w:cols>
          <w:pgMar w:left="220" w:top="419" w:right="2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The rights of our shareholders may differ from the rights typically offered to shareholders of a U.S. corporation.</w:t>
      </w:r>
    </w:p>
    <w:p>
      <w:pPr>
        <w:spacing w:after="0" w:line="24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Claims of U.S. civil liabilities may not be enforceable against us.</w:t>
      </w:r>
    </w:p>
    <w:p>
      <w:pPr>
        <w:spacing w:after="0" w:line="245"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04" w:lineRule="exact"/>
        <w:rPr>
          <w:sz w:val="20"/>
          <w:szCs w:val="20"/>
          <w:color w:val="auto"/>
        </w:rPr>
      </w:pPr>
    </w:p>
    <w:p>
      <w:pPr>
        <w:jc w:val="both"/>
        <w:ind w:right="320"/>
        <w:spacing w:after="0" w:line="265" w:lineRule="auto"/>
        <w:rPr>
          <w:sz w:val="20"/>
          <w:szCs w:val="20"/>
          <w:color w:val="auto"/>
        </w:rPr>
      </w:pPr>
      <w:r>
        <w:rPr>
          <w:rFonts w:ascii="Arial" w:cs="Arial" w:eastAsia="Arial" w:hAnsi="Arial"/>
          <w:sz w:val="14"/>
          <w:szCs w:val="14"/>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2" w:lineRule="exact"/>
        <w:rPr>
          <w:sz w:val="20"/>
          <w:szCs w:val="20"/>
          <w:color w:val="auto"/>
        </w:rPr>
      </w:pPr>
    </w:p>
    <w:p>
      <w:pPr>
        <w:ind w:right="220"/>
        <w:spacing w:after="0" w:line="300" w:lineRule="auto"/>
        <w:rPr>
          <w:sz w:val="20"/>
          <w:szCs w:val="20"/>
          <w:color w:val="auto"/>
        </w:rPr>
      </w:pPr>
      <w:r>
        <w:rPr>
          <w:rFonts w:ascii="Arial" w:cs="Arial" w:eastAsia="Arial" w:hAnsi="Arial"/>
          <w:sz w:val="14"/>
          <w:szCs w:val="14"/>
          <w:b w:val="1"/>
          <w:bCs w:val="1"/>
          <w:color w:val="auto"/>
        </w:rPr>
        <w:t>We qualify as a foreign private issuer and, as a result, we are not subject to U.S. proxy rules and are subject to reporting obligations under the Exchange Act that, to some extent, are more lenient and less frequent than those of a U.S. domestic public company.</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report under the Exchange Act as a non-U.S. company with foreign private issuer status. Because we qualify as a foreign private issuer,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Although it is not required because we are a foreign private issuer, we furnish quarterly unaudited financial information to the SEC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our investors may not have the same protections afforded to shareholders of companies that are not foreign private issuers.</w:t>
      </w:r>
    </w:p>
    <w:p>
      <w:pPr>
        <w:spacing w:after="0" w:line="358" w:lineRule="exact"/>
        <w:rPr>
          <w:sz w:val="20"/>
          <w:szCs w:val="20"/>
          <w:color w:val="auto"/>
        </w:rPr>
      </w:pPr>
    </w:p>
    <w:p>
      <w:pPr>
        <w:ind w:right="280"/>
        <w:spacing w:after="0" w:line="300" w:lineRule="auto"/>
        <w:rPr>
          <w:sz w:val="20"/>
          <w:szCs w:val="20"/>
          <w:color w:val="auto"/>
        </w:rPr>
      </w:pPr>
      <w:r>
        <w:rPr>
          <w:rFonts w:ascii="Arial" w:cs="Arial" w:eastAsia="Arial" w:hAnsi="Arial"/>
          <w:sz w:val="14"/>
          <w:szCs w:val="14"/>
          <w:b w:val="1"/>
          <w:bCs w:val="1"/>
          <w:color w:val="auto"/>
        </w:rPr>
        <w:t>As a foreign private issuer and as permitted by the listing requirements of Nasdaq, we rely on certain home country governance practices rather than the corporate governance requirements of Nasdaq.</w:t>
      </w:r>
    </w:p>
    <w:p>
      <w:pPr>
        <w:spacing w:after="0" w:line="176"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As a foreign private issuer, in accordance with the listing requirements of Nasdaq, we follow our home country governance requirements and certain exemptions thereunder rather than the corporate governance requirements of Nasdaq.</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40"/>
          </w:cols>
          <w:pgMar w:left="220" w:top="401" w:right="2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For example, we are exempt from Nasdaq regulations that require a listed U.S. company to:</w:t>
      </w:r>
    </w:p>
    <w:p>
      <w:pPr>
        <w:spacing w:after="0" w:line="119"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have a majority of the board of directors consist of independent directors;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require non-management directors to meet on a regular basis without management present;</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promptly disclose any waivers of its code of conduct for directors or executive officers;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have an independent nominating committee and compensation committee;</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solicit proxies and provide proxy statements for all shareholder meetings;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seek shareholder approval for the implementation of certain equity compensation plans and issuances of ordinary shares.</w:t>
      </w:r>
    </w:p>
    <w:p>
      <w:pPr>
        <w:spacing w:after="0" w:line="11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202" w:lineRule="exact"/>
        <w:rPr>
          <w:sz w:val="20"/>
          <w:szCs w:val="20"/>
          <w:color w:val="auto"/>
        </w:rPr>
      </w:pPr>
    </w:p>
    <w:p>
      <w:pPr>
        <w:ind w:right="480"/>
        <w:spacing w:after="0" w:line="273" w:lineRule="auto"/>
        <w:rPr>
          <w:sz w:val="20"/>
          <w:szCs w:val="20"/>
          <w:color w:val="auto"/>
        </w:rPr>
      </w:pPr>
      <w:r>
        <w:rPr>
          <w:rFonts w:ascii="Arial" w:cs="Arial" w:eastAsia="Arial" w:hAnsi="Arial"/>
          <w:sz w:val="14"/>
          <w:szCs w:val="14"/>
          <w:color w:val="auto"/>
        </w:rPr>
        <w:t>Because we are exempt from certain Nasdaq governance requirements, our ADS holders may not have the same protections afforded to shareholders of companies that are subject to these Nasdaq requirements.</w:t>
      </w:r>
    </w:p>
    <w:p>
      <w:pPr>
        <w:spacing w:after="0" w:line="176" w:lineRule="exact"/>
        <w:rPr>
          <w:sz w:val="20"/>
          <w:szCs w:val="20"/>
          <w:color w:val="auto"/>
        </w:rPr>
      </w:pPr>
    </w:p>
    <w:p>
      <w:pPr>
        <w:ind w:right="560"/>
        <w:spacing w:after="0" w:line="300" w:lineRule="auto"/>
        <w:rPr>
          <w:sz w:val="20"/>
          <w:szCs w:val="20"/>
          <w:color w:val="auto"/>
        </w:rPr>
      </w:pPr>
      <w:r>
        <w:rPr>
          <w:rFonts w:ascii="Arial" w:cs="Arial" w:eastAsia="Arial" w:hAnsi="Arial"/>
          <w:sz w:val="14"/>
          <w:szCs w:val="14"/>
          <w:b w:val="1"/>
          <w:bCs w:val="1"/>
          <w:color w:val="auto"/>
        </w:rPr>
        <w:t>We may lose our foreign private issuer status, which would then require us to comply with the Exchange Act's domestic reporting regime and cause us to incur significant legal, accounting and other expenses.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 foreign private issuer, we are not required to comply with all of the periodic disclosure and current reporting requirements of the Exchange Act applicable to U.S. domestic issuers. In order to maintain our current status as a foreign private issuer, either (a) a majority of our ADSs must be either directly or indirectly owned of record by holders who are not U.S. residents or (b)(i) a majority of our executive officers or directors are not U.S. citizens or residents, (ii) more than 50 percent of our assets are located outside the United States and (iii) our business is administered principally outside the United States. Following implementation of the changes in management announced on February 3, 2020 a majority of our executive officers are expected to be U.S. citizens of residents.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90" w:lineRule="exact"/>
        <w:rPr>
          <w:sz w:val="20"/>
          <w:szCs w:val="20"/>
          <w:color w:val="auto"/>
        </w:rPr>
      </w:pPr>
    </w:p>
    <w:p>
      <w:pPr>
        <w:ind w:right="380"/>
        <w:spacing w:after="0" w:line="300" w:lineRule="auto"/>
        <w:rPr>
          <w:sz w:val="20"/>
          <w:szCs w:val="20"/>
          <w:color w:val="auto"/>
        </w:rPr>
      </w:pPr>
      <w:r>
        <w:rPr>
          <w:rFonts w:ascii="Arial" w:cs="Arial" w:eastAsia="Arial" w:hAnsi="Arial"/>
          <w:sz w:val="14"/>
          <w:szCs w:val="14"/>
          <w:b w:val="1"/>
          <w:bCs w:val="1"/>
          <w:color w:val="auto"/>
        </w:rPr>
        <w:t>We are an "emerging growth company," and we cannot be certain if the reduced reporting requirements applicable to "emerging growth companies" will make our ADSs or ordinary shares less attractive to investors.</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For as long as we continue to be an EGC, we may take advantage of exemptions from various reporting requirements that are applicable to other public companies that are not EGCs, including not being required to comply with the auditor attestation requirements of Section 404, not being required to present selected financial data for any period prior to the earliest audited period presented in our first registration statement, and exemptions from the requirement of holding a shareholder nonbinding advisory vote on executive compensation and golden parachute payments and from having to disclose the ratio of compensation of our chief executive officer to the median compensation of our employee. We may take advantage of these exemptions until we are no longer an EGC. We could be an EGC for up to five years, although circumstances could cause us to lose that status earlier, including if the aggregate market value of our ADSs and ordinary shares held by non-affiliates exceeds $700 million as of any June 30 (the end of our second fiscal quarter), in which case we would no longer be an emerging growth company as of the following December 31 (our fiscal year-end). We cannot predict if investors will find our ADSs or ordinary shares less attractive because we may rely on these exemptions. If some investors find our ADSs or ordinary shares less attractive as a result, there may be a less active trading market for our ADSs or ordinary shares and the price of our ADSs or ordinary shares may be more volatile.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419" w:right="219" w:bottom="1440" w:gutter="0" w:footer="0" w:header="0"/>
        </w:sectPr>
      </w:pPr>
    </w:p>
    <w:bookmarkStart w:id="41" w:name="page42"/>
    <w:bookmarkEnd w:id="41"/>
    <w:p>
      <w:pPr>
        <w:ind w:right="100"/>
        <w:spacing w:after="0" w:line="278" w:lineRule="auto"/>
        <w:rPr>
          <w:sz w:val="20"/>
          <w:szCs w:val="20"/>
          <w:color w:val="auto"/>
        </w:rPr>
      </w:pPr>
      <w:r>
        <w:rPr>
          <w:rFonts w:ascii="Arial" w:cs="Arial" w:eastAsia="Arial" w:hAnsi="Arial"/>
          <w:sz w:val="14"/>
          <w:szCs w:val="14"/>
          <w:b w:val="1"/>
          <w:b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connection with the preparation for the initial public offering of our ADSs, we reassessed our critical accounting policies to ensure compliance with International Financial Reporting Standards. As part of this reassessment, we identified errors relating to the recognition of assumed liabilities and goodwill in connection with the acquisition of Rhinopharma in September 2006. We concluded that, for the year ended December 31, 2016, a lack of adequate controls surrounding our historical accounting for business combinations constituted a material weakness in our internal control over financial reporting, as defined in the standards established by the U.S. Public Accounting Oversight Board, or PCAOB. The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in a timely basis. We addressed the underlying causes of the material weakness by hiring a new chief financial officer, enhancing our financial reporting team's technical accounting knowledge associated with the accounting rules for business combinations, implementing additional internal controls and engaging expert external consultants for additional technical support. However, we cannot be certain that these efforts will be sufficient to prevent future material weaknesses or significant deficiencies from occurring.</w:t>
      </w:r>
    </w:p>
    <w:p>
      <w:pPr>
        <w:spacing w:after="0" w:line="204"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Management will be required to assess the effectiveness of our internal controls annually. However, for as long as we are an EGC,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63" w:lineRule="exact"/>
        <w:rPr>
          <w:sz w:val="20"/>
          <w:szCs w:val="20"/>
          <w:color w:val="auto"/>
        </w:rPr>
      </w:pPr>
    </w:p>
    <w:p>
      <w:pPr>
        <w:ind w:right="120"/>
        <w:spacing w:after="0" w:line="300" w:lineRule="auto"/>
        <w:rPr>
          <w:sz w:val="20"/>
          <w:szCs w:val="20"/>
          <w:color w:val="auto"/>
        </w:rPr>
      </w:pPr>
      <w:r>
        <w:rPr>
          <w:rFonts w:ascii="Arial" w:cs="Arial" w:eastAsia="Arial" w:hAnsi="Arial"/>
          <w:sz w:val="14"/>
          <w:szCs w:val="14"/>
          <w:b w:val="1"/>
          <w:bCs w:val="1"/>
          <w:color w:val="auto"/>
        </w:rPr>
        <w:t>We may have inadvertently violated Section 13(k) of the Exchange Act (implementing Section 402 of the Sarbanes-Oxley Act of 2002) and may be subject to sanctions as a result.</w:t>
      </w:r>
    </w:p>
    <w:p>
      <w:pPr>
        <w:spacing w:after="0" w:line="15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Section 13(k) of the Exchange Act provides that it is unlawful for a company, such as ours, that has a class of securities registered under Section 12 of the Exchange Act to, directly or indirectly, including through any subsidiary, extend or maintain credit in the form of a personal loan to or for any director or executive officer of the company. In August 2018, a receivable arose with respect to taxes due upon the vesting of restricted share units held by one of our directors and two of our executive officers, which may have violated Section 13(k) of the Exchange Act. The receivable was repaid, with interest, in March 2019, as soon as management became aware of the possible violation. Issuers that are found to have violated Section 13(k) of the Exchange Act may be subject to civil sanctions, including injunctive remedies and monetary penalties, as well as criminal sanctions. The imposition of any of such sanctions on us could have a material adverse effect on our business, financial position, results of operations or cash flows.</w:t>
      </w:r>
    </w:p>
    <w:p>
      <w:pPr>
        <w:spacing w:after="0" w:line="186"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b w:val="1"/>
          <w:bCs w:val="1"/>
          <w:color w:val="auto"/>
        </w:rPr>
        <w:t>If securities or industry analysts or commentators publish inaccurate or unfavorable research, about our business, the price of our ADSs and ordinary shares and our trading volume could decline.</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trading market for our ADSs and ordinary shares depends in part on the research and reports that securities or industry analysts or commentators publish about us or our business. If one or more of the analysts who cover us downgrade our ADSs or ordinary shares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40"/>
          </w:cols>
          <w:pgMar w:left="220" w:top="401" w:right="239" w:bottom="1440" w:gutter="0" w:footer="0" w:header="0"/>
        </w:sectPr>
      </w:pPr>
    </w:p>
    <w:bookmarkStart w:id="42" w:name="page43"/>
    <w:bookmarkEnd w:id="42"/>
    <w:p>
      <w:pPr>
        <w:ind w:right="360"/>
        <w:spacing w:after="0" w:line="300" w:lineRule="auto"/>
        <w:rPr>
          <w:sz w:val="20"/>
          <w:szCs w:val="20"/>
          <w:color w:val="auto"/>
        </w:rPr>
      </w:pPr>
      <w:r>
        <w:rPr>
          <w:rFonts w:ascii="Arial" w:cs="Arial" w:eastAsia="Arial" w:hAnsi="Arial"/>
          <w:sz w:val="14"/>
          <w:szCs w:val="14"/>
          <w:b w:val="1"/>
          <w:bCs w:val="1"/>
          <w:color w:val="auto"/>
        </w:rPr>
        <w:t>We believe we will likely be classified as a passive foreign investment company for U.S. federal income tax purposes for the year ended December 31, 2019, which could result in adverse U.S. federal income tax consequences to U.S. investors in our ordinary shares or ADSs.</w:t>
      </w:r>
    </w:p>
    <w:p>
      <w:pPr>
        <w:spacing w:after="0" w:line="176"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Because we did not earn revenue from our business operations during the year ended December 31, 2019, and because our sole source of income currently is interest on bank accounts held by us, we believe we will likely be classified as a "passive foreign investment company," or PFIC, for the taxable year ended December 31, 2019.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A “U.S. Holder” is a holder who, for U.S. federal income tax purposes, is a beneficial owner of our ordinary shares or ADSs who is eligible for the benefits of the income tax treaty between the United Kingdom and the United States and is a citizen or individual resident of the United States, a corporation, or other entity taxable as a corporation, created or organized in or under the laws of the United States, any state therein or the District of Columbia; or an estate or trust the income of which is subject to U.S. federal income taxation regardless of its source. See Item 9.E. Taxation.</w:t>
      </w:r>
    </w:p>
    <w:p>
      <w:pPr>
        <w:spacing w:after="0" w:line="189" w:lineRule="exact"/>
        <w:rPr>
          <w:sz w:val="20"/>
          <w:szCs w:val="20"/>
          <w:color w:val="auto"/>
        </w:rPr>
      </w:pPr>
    </w:p>
    <w:p>
      <w:pPr>
        <w:ind w:right="940"/>
        <w:spacing w:after="0" w:line="300" w:lineRule="auto"/>
        <w:rPr>
          <w:sz w:val="20"/>
          <w:szCs w:val="20"/>
          <w:color w:val="auto"/>
        </w:rPr>
      </w:pPr>
      <w:r>
        <w:rPr>
          <w:rFonts w:ascii="Arial" w:cs="Arial" w:eastAsia="Arial" w:hAnsi="Arial"/>
          <w:sz w:val="14"/>
          <w:szCs w:val="14"/>
          <w:b w:val="1"/>
          <w:bCs w:val="1"/>
          <w:color w:val="auto"/>
        </w:rPr>
        <w:t>If a United States person is treated as owning at least 10% of our ordinary shares or ADSs, such holder may be subject to adverse U.S. federal income tax consequences.</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If a U.S. Holder is treated as owning, directly, indirectly or constructively, at least 10% of the value or voting power of our ordinary shares or ADSs, such U.S. Holder may be treated as a “United States shareholder” with respect to each “controlled foreign corporation” in our group, if any. If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 information that may be necessary to comply with the reporting and tax paying obligations described in this risk factor. United States shareholders should consult their tax advisors regarding the potential application of these rules to their investment in our ordinary shares or ADSs.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40"/>
          </w:cols>
          <w:pgMar w:left="220" w:top="401" w:right="2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ITEM 4 INFORMATION ON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History and Development of the Company.</w:t>
      </w:r>
    </w:p>
    <w:p>
      <w:pPr>
        <w:spacing w:after="0" w:line="116"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We were incorporated in February 2005 under the laws of England and Wales with the Registrar of Companies of England and Wales under the name Isis Resources plc. In September 2006, we acquired Rhinopharma Limited, a private company incorporated in Canada, and changed our name to Verona Pharma plc. Our principal office is located at 3 More London Riverside, London SE1 2RE, United Kingdom, and our telephone number is +(44) 203 283 4200. The principal legislation under which we operate is the Companies Act 2006.</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Our agent for service of process in the United States is Cogency Global Inc., whose address is 10 E. 40</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Street, 10</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floor, New York, New York 10016.</w:t>
      </w:r>
    </w:p>
    <w:p>
      <w:pPr>
        <w:spacing w:after="0" w:line="6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Our principal capital expenditures for the year ended December 31, 2019 were £0.3 million (2018: £0.3 million, 2017: £0.2 million). These capital expenditures primarily consisted of patent costs. We expect our expenditure on patent costs to increase in the near term as we continue to advance our research and development programs for ensifentrine and grow our operations. We anticipate our capital expenditure in 2020 to be financed from our current cash and short term investments resources. For more information on our capital expenditures, see Item 5.B. Liquidity and Capital Resources — Operating and Capital Expenditure Requirements, Item 4.D. Property, Plant and Equipment, and Note 21 of our Annual Consolidated Financial Statements included elsewhere in this Annual Report.</w:t>
      </w:r>
    </w:p>
    <w:p>
      <w:pPr>
        <w:spacing w:after="0" w:line="73" w:lineRule="exact"/>
        <w:rPr>
          <w:sz w:val="20"/>
          <w:szCs w:val="20"/>
          <w:color w:val="auto"/>
        </w:rPr>
      </w:pPr>
    </w:p>
    <w:p>
      <w:pPr>
        <w:jc w:val="both"/>
        <w:ind w:right="260"/>
        <w:spacing w:after="0" w:line="265" w:lineRule="auto"/>
        <w:rPr>
          <w:sz w:val="20"/>
          <w:szCs w:val="20"/>
          <w:color w:val="auto"/>
        </w:rPr>
      </w:pPr>
      <w:r>
        <w:rPr>
          <w:rFonts w:ascii="Arial" w:cs="Arial" w:eastAsia="Arial" w:hAnsi="Arial"/>
          <w:sz w:val="14"/>
          <w:szCs w:val="14"/>
          <w:color w:val="auto"/>
        </w:rPr>
        <w:t xml:space="preserve">The SEC maintains an Internet site that contains reports, proxy and information statements, and other information regarding issuers, such as we, that file electronically, with the SEC at </w:t>
      </w:r>
      <w:r>
        <w:rPr>
          <w:rFonts w:ascii="Arial" w:cs="Arial" w:eastAsia="Arial" w:hAnsi="Arial"/>
          <w:sz w:val="14"/>
          <w:szCs w:val="14"/>
          <w:i w:val="1"/>
          <w:iCs w:val="1"/>
          <w:u w:val="single" w:color="auto"/>
          <w:color w:val="0563C1"/>
        </w:rPr>
        <w:t>www.sec.gov</w:t>
      </w:r>
      <w:r>
        <w:rPr>
          <w:rFonts w:ascii="Arial" w:cs="Arial" w:eastAsia="Arial" w:hAnsi="Arial"/>
          <w:sz w:val="14"/>
          <w:szCs w:val="14"/>
          <w:color w:val="auto"/>
        </w:rPr>
        <w:t xml:space="preserve">. Our website address is </w:t>
      </w:r>
      <w:r>
        <w:rPr>
          <w:rFonts w:ascii="Arial" w:cs="Arial" w:eastAsia="Arial" w:hAnsi="Arial"/>
          <w:sz w:val="14"/>
          <w:szCs w:val="14"/>
          <w:i w:val="1"/>
          <w:iCs w:val="1"/>
          <w:color w:val="auto"/>
        </w:rPr>
        <w:t>www.veronapharma.com</w:t>
      </w:r>
      <w:r>
        <w:rPr>
          <w:rFonts w:ascii="Arial" w:cs="Arial" w:eastAsia="Arial" w:hAnsi="Arial"/>
          <w:sz w:val="14"/>
          <w:szCs w:val="14"/>
          <w:color w:val="auto"/>
        </w:rPr>
        <w:t>. Information contained on, or that can be accessed through, our website does not constitute a part of this Annual Report. We have included our website address in this Annual Report solely as an inactive textual reference.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BUSINESS OVERVIEW</w:t>
      </w: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are a clinical-stage biopharmaceutical company focused on developing and commercializing innovative therapeutics for the treatment of respiratory diseases with significant unmet medical need. Our product candidate, ensifentrine (RPL554) is an investigational, potential first-in-class, inhaled, dual inhibitor of the enzymes phosphodiesterase 3 and 4, or PDE3 and PDE4, that is designed to act as both a bronchodilator and an anti-inflammatory agent. We are not aware of any other single compound in clinical development or approved by the U.S. Food and Drug Administration, or FDA, nor the European Medicines Agency, or EMA, for the treatment of respiratory diseases that acts as both a bronchodilator and anti-inflammatory agent. We believe ensifentrine has the potential to be the first novel class of bronchodilator in over 40 years. A nebulized formulation of ensifentrine has currently completed Phase 2 clinical development for the treatment of chronic obstructive pulmonary disease, or COPD, and we are preparing to meet with the FDA to discuss plans for Phase 3 clinical trials, which we expect to commence in the third quarter of 2020, subject to FDA feedback and to funding.</w:t>
      </w:r>
    </w:p>
    <w:p>
      <w:pPr>
        <w:spacing w:after="0" w:line="206"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Successful Phase 1 and 2 studies have been completed with nebulized ensifentrine in healthy volunteers and in patients with cystic fibrosis, or CF, chronic asthma and allergic rhinitis, in addition to COPD. A Phase 2 study in COPD with ensifentrine formulated in a dry powder inhaler, or DPI, has been completed, with positive clinical results reported in August 2019. A Phase 2 study in COPD with ensifentrine formulated in a pressurized metered dose inhaler, or MDI, is ongoing with clinical results expected in the second half of 2020. We intend to develop ensifentrine as a nebulized therapy for the treatment of COPD.</w:t>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For the past 40 years, the treatment of COPD has been dominated by three classes of inhaled therapies approved for use by the FDA or EMA: antimuscarinic agents and beta2-agonists, both available as either short-acting or long-acting bronchodilators, and inhaled corticosteroids, or ICS, known for their anti-inflammatory effects. However, despite existing treatment with one or multiple combinations of these therapies, and owing to the progressive and incurable nature of COPD, many COPD patients on maximum inhaled therapy still experience significant lung function impairment and symptoms for which limited further approved treatment options are available. One such treatment is an oral formulation of a PDE4 inhibitor (roflumilast) with anti-inflammatory properties, although frequency of adverse events has limited its use in COPD patients. Clinicians have expressed desire to use this oral PDE4 inhibitor in more patients were it not for the adverse events. We believe this suggests that ensifentrine has potential to become an important treatment for COPD and other respiratory diseases if our late-stage clinical program demonstrates favorable efficacy, safety and tolerability results for the compound.</w:t>
      </w:r>
    </w:p>
    <w:p>
      <w:pPr>
        <w:spacing w:after="0" w:line="206"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Despite treatment with currently approved therapies, many patients with COPD experience daily symptoms impairing their quality of life. Airway obstruction and air trapping due to narrow air passages are major causes of debilitating breathlessness (dyspnea) reducing the patient's physical ability and causing anxiety and depression.</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40"/>
          </w:cols>
          <w:pgMar w:left="220" w:top="552" w:right="239" w:bottom="1440" w:gutter="0" w:footer="0" w:header="0"/>
        </w:sectPr>
      </w:pPr>
    </w:p>
    <w:bookmarkStart w:id="44" w:name="page45"/>
    <w:bookmarkEnd w:id="44"/>
    <w:p>
      <w:pPr>
        <w:spacing w:after="0" w:line="261" w:lineRule="auto"/>
        <w:rPr>
          <w:sz w:val="20"/>
          <w:szCs w:val="20"/>
          <w:color w:val="auto"/>
        </w:rPr>
      </w:pPr>
      <w:r>
        <w:rPr>
          <w:rFonts w:ascii="Arial" w:cs="Arial" w:eastAsia="Arial" w:hAnsi="Arial"/>
          <w:sz w:val="14"/>
          <w:szCs w:val="14"/>
          <w:color w:val="auto"/>
        </w:rPr>
        <w:t>Of the patients treated with dual bronchodilator (long-acting antimuscarinic agents, or LAMA/long-acting beta2 agonists, or LABA) and triple therapy (LAMA/LABA/ICS), research suggests that up to 40% (approximately 1.2 millionpatients in the United States alone) are uncontrolled, remaining symptomatic and at an increased risk of exacerbations. Existing anti-inflammatory therapies used in COPD, namely ICS and the oral PDE4 inhibitor, roflumilast, have been shown to be effective in only subsets of COPD patients. Furthermore, significant side effects and adverse events such as pneumonia are associated with inhaled or systemic corticosteroid use, and significant gastrointestinal side effects are associated with roflumilast, which can limit compliance. Thus we believe there is a need for alternative anti-inflammatory therapies.</w:t>
      </w:r>
    </w:p>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Ensifentrine is an investigational, potential first-in-class, inhaled, dual inhibitor of phosphodiesterase, or PDE, enzymes PDE3 and PDE4. PDEs are well known and validated therapeutic targets, and many PDE inhibitors, with different specificities, are currently available in the market for a range of indications. PDE3 is present in airways and the lung, and inhibition of this enzyme is primarily responsible for the bronchodilatory action of ensifentrine. PDE4 is predominantly found in inflammatory and epithelial cells, and inhibition of this enzyme contributes to ensifentrine's anti-inflammatory design. PDEs metabolize the critical signaling molecules, cyclic adenosine monophosphate, or cAMP, and cyclic guanosine monophosphate, or cGMP. By inhibiting PDE3 and PDE4, ensifentrine is designed to increase the levels of cAMP and cGMP, resulting in bronchodilator and anti-inflammatory effects. Ensifentrine is also designed to stimulate the cystic fibrosis transmembrane conductance regulator, or CFTR, which is an ion channel in the epithelial cells lining the airways. Mutations in the CFTR protein result in poorly or non-functioning ion channels, which cause CF and are potentially important in COPD. CFTR stimulation leads to improved electrolyte balance in the lung and thinning of the mucus, which facilitates mucociliary clearance and leads to improved lung function and potentially a reduction in lung infections. Dual inhibition of PDE3 and PDE4 has been observed to be more effective than inhibition of either PDE alone at relaxing airway smooth muscle cells and suppressing the activation and functions of pro-inflammatory cells residing in the lung, both of which are commonly understood to play a significant role in COPD and CF. Ensifentrine is designed to target multiple aspects of respiratory diseases such as COPD and CF through its combined bronchodilatory, anti-inflammatory and mucociliary clearance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132715</wp:posOffset>
            </wp:positionV>
            <wp:extent cx="4544060" cy="2463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44060" cy="246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COPD patients are commonly treated with bronchodilators, which seek to relieve airway constriction and make it easier to breathe, and ICS, which seek to reduce lung inflammation. For patients with more severe disease who experience recurrent exacerbations, and for whom ICS are not effective, an oral formulation of a PDE4 inhibitor, which is an anti-inflammatory agent, may also be used. Despite these therapies, many COPD patients continue to suffer exacerbations and respiratory symptoms, which limit their daily activities. Furthermore, current therapies have not demonstrated an ability to change the progressive decline in lung function or reduce the mortality associated with COPD. We believe there is an urgent and unmet medical need for new and more effective treatments for COPD to reduce the number and burden of symptoms, reduce exacerbations and establish a consistent and durable treatment response.</w:t>
      </w:r>
    </w:p>
    <w:p>
      <w:pPr>
        <w:spacing w:after="0" w:line="204"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auto"/>
        </w:rPr>
        <w:t>Based on our pre-clinical studies, we believe that ensifentrine also has the potential to reduce the deleterious inflammation in CF patients, which seems to be largely driven by neutrophils, to reduce airway obstruction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40"/>
          </w:cols>
          <w:pgMar w:left="220" w:top="419" w:right="239" w:bottom="1440" w:gutter="0" w:footer="0" w:header="0"/>
        </w:sectPr>
      </w:pPr>
    </w:p>
    <w:bookmarkStart w:id="45" w:name="page46"/>
    <w:bookmarkEnd w:id="45"/>
    <w:p>
      <w:pPr>
        <w:ind w:right="120"/>
        <w:spacing w:after="0" w:line="265" w:lineRule="auto"/>
        <w:rPr>
          <w:sz w:val="20"/>
          <w:szCs w:val="20"/>
          <w:color w:val="auto"/>
        </w:rPr>
      </w:pPr>
      <w:r>
        <w:rPr>
          <w:rFonts w:ascii="Arial" w:cs="Arial" w:eastAsia="Arial" w:hAnsi="Arial"/>
          <w:sz w:val="14"/>
          <w:szCs w:val="14"/>
          <w:color w:val="auto"/>
        </w:rPr>
        <w:t>through bronchodilation and to enhance mucociliary clearance through stimulation of the CFTR on airway epithelial cells. We believe the bronchodilator and anti-inflammatory properties of ensifentrine, combined with its ability to decrease mucus viscosity thereby improving mucociliary clearance, suggest that inhibition of PDE3 and PDE4 is an attractive therapeutic strategy to treat CF.</w:t>
      </w:r>
    </w:p>
    <w:p>
      <w:pPr>
        <w:spacing w:after="0" w:line="200"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auto"/>
        </w:rPr>
        <w:t>Furthermore, ensifentrine may be a suitable treatment for patients with asthma. Asthma is also an inflammatory disease of the airways and causes symptoms such as shortness of breath and cough that vary over time in their frequency and intensity. These symptoms are associated with patients having difficulty breathing due to reversible airway obstruction, airway wall thickening, and mucus production. Asthma attacks can be triggered by a number of factors including allergens, infections, stress and certain drugs. Such exacerbations may occur even if patients are taking their medications, especially in those with more severe disease. We believe ensifentrine’s bronchodilator and anti-inflammatory properties may be useful also in patients with asthma.</w:t>
      </w:r>
    </w:p>
    <w:p>
      <w:pPr>
        <w:spacing w:after="0" w:line="20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have completed fifteen Phase 1 and Phase 2 clinical trials with ensifentrine, which have enrolled over 1,300 subjects with COPD, asthma, cystic fibrosis, or allergic rhinitis or healthy volunteers. In our clinical trials, treatment with ensifentrine has been repeatedly observed to result in statistically significant improvements in lung function as compared to placebo, whether dosed alone or in combination with commonly used short- and long-acting classes of bronchodilators, with or without ICS. Statistically significant means that there is a low statistical probability, typically less than 5%, that the observed results in a study or a trial occurred by chance alone.</w:t>
      </w:r>
    </w:p>
    <w:p>
      <w:pPr>
        <w:spacing w:after="0" w:line="202"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In two Phase 2b clinical trials of nebulized ensifentrine as a maintenance treatment for COPD, patients with moderate-to-severe COPD treated with ensifentrine showed clinically meaningful and statistically significant improvements in reported COPD symptom scores. In addition, our clinical trials have also shown clinically meaningful and statistically significant improvements in certain measures of lung function following combined treatment with ensifentrine as add-on to other approved bronchodilators; COPD patients experienced a marked reduction in residual lung volume, which is believed to be related to one of the most debilitating symptoms, breathlessness. The rapid onset of action observed when adding ensifentrine on top of tiotropium, a commonly used LAMA, was also notable, and may be particularly helpful to those patients suffering from morning breathlessness. We believe that the clinical effects observed with ensifentrine are driven by its bronchodilator, anti-inflammatory and mucociliary clearance mechanisms.</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Ensifentrine has been observed to be well tolerated in our clinical trials to date and has not been observed to result in the gastrointestinal or other side effects commonly associated with roflumilast (branded as Daxas</w:t>
      </w:r>
      <w:r>
        <w:rPr>
          <w:rFonts w:ascii="Arial" w:cs="Arial" w:eastAsia="Arial" w:hAnsi="Arial"/>
          <w:sz w:val="15"/>
          <w:szCs w:val="15"/>
          <w:color w:val="auto"/>
        </w:rPr>
        <w:t>®</w:t>
      </w:r>
      <w:r>
        <w:rPr>
          <w:rFonts w:ascii="Arial" w:cs="Arial" w:eastAsia="Arial" w:hAnsi="Arial"/>
          <w:sz w:val="14"/>
          <w:szCs w:val="14"/>
          <w:color w:val="auto"/>
        </w:rPr>
        <w:t>/Daliresp</w:t>
      </w:r>
      <w:r>
        <w:rPr>
          <w:rFonts w:ascii="Arial" w:cs="Arial" w:eastAsia="Arial" w:hAnsi="Arial"/>
          <w:sz w:val="15"/>
          <w:szCs w:val="15"/>
          <w:color w:val="auto"/>
        </w:rPr>
        <w:t>®</w:t>
      </w:r>
      <w:r>
        <w:rPr>
          <w:rFonts w:ascii="Arial" w:cs="Arial" w:eastAsia="Arial" w:hAnsi="Arial"/>
          <w:sz w:val="14"/>
          <w:szCs w:val="14"/>
          <w:color w:val="auto"/>
        </w:rPr>
        <w:t>), the only PDE4 inhibitor currently on the market for the treatment of COPD.</w:t>
      </w:r>
    </w:p>
    <w:p>
      <w:pPr>
        <w:spacing w:after="0" w:line="146"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We believe ensifentrine, having shown improvement in forced expiratory volume in one second, or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 measure of lung function), and symptoms (which commonly are a precursor to exacerbations) in clinical trials, may be an attractive additional treatment for COPD patients, if successfully developed and approved. In the United States, approximately three million COPD patients are treated with single bronchodilator (either a LAMA or LABA) therapy. In our clinical trials, ensifentrine has been observed to improve lung function, measured by FEV</w:t>
      </w:r>
      <w:r>
        <w:rPr>
          <w:rFonts w:ascii="Arial" w:cs="Arial" w:eastAsia="Arial" w:hAnsi="Arial"/>
          <w:sz w:val="17"/>
          <w:szCs w:val="17"/>
          <w:color w:val="auto"/>
          <w:vertAlign w:val="subscript"/>
        </w:rPr>
        <w:t>1</w:t>
      </w:r>
      <w:r>
        <w:rPr>
          <w:rFonts w:ascii="Arial" w:cs="Arial" w:eastAsia="Arial" w:hAnsi="Arial"/>
          <w:sz w:val="14"/>
          <w:szCs w:val="14"/>
          <w:color w:val="auto"/>
        </w:rPr>
        <w:t>, and residual volume, when used in addition to existing approved bronchodilators. As a result, we believe it has potential to meet the need for a safe and effective dual bronchodilator/anti-inflammatory treatment regimen as an add-on to other therapies, for example, a LAMA. Furthermore, in the United States, approximately another three million COPD patients are treated with dual bronchodilator therapy (LAMA/LABA) with or without ICS.</w:t>
      </w:r>
    </w:p>
    <w:p>
      <w:pPr>
        <w:spacing w:after="0" w:line="103"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In January 2020, we reported top-line results from our 4 week 416-patient Phase 2b dose-ranging clinical trial. This trial evaluated four doses of nebulized ensifentrine (0.375 mg, 0.75 mg, 1.5 mg and 3.0 mg) or placebo as an add-on treatment to tiotropium (Spiriva</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 commonly used LAMA bronchodilator, in symptomatic patients with moderate-to-severe COPD who required additional treatment. The trial met its primary endpoint of improved lung function, with ensifentrine plus tiotropium producing a clinically and statistically significant dose-dependent improvement in </w:t>
      </w:r>
      <w:r>
        <w:rPr>
          <w:rFonts w:ascii="Arial" w:cs="Arial" w:eastAsia="Arial" w:hAnsi="Arial"/>
          <w:sz w:val="14"/>
          <w:szCs w:val="14"/>
          <w:color w:val="0D0D0D"/>
        </w:rPr>
        <w:t>FEV</w:t>
      </w:r>
      <w:r>
        <w:rPr>
          <w:rFonts w:ascii="Arial" w:cs="Arial" w:eastAsia="Arial" w:hAnsi="Arial"/>
          <w:sz w:val="17"/>
          <w:szCs w:val="17"/>
          <w:color w:val="0D0D0D"/>
          <w:vertAlign w:val="subscript"/>
        </w:rPr>
        <w:t>1</w:t>
      </w:r>
      <w:r>
        <w:rPr>
          <w:rFonts w:ascii="Arial" w:cs="Arial" w:eastAsia="Arial" w:hAnsi="Arial"/>
          <w:sz w:val="14"/>
          <w:szCs w:val="14"/>
          <w:color w:val="auto"/>
        </w:rPr>
        <w:t xml:space="preserve"> at week 4, compared to placebo plus tiotropium. </w:t>
      </w:r>
      <w:r>
        <w:rPr>
          <w:rFonts w:ascii="Arial" w:cs="Arial" w:eastAsia="Arial" w:hAnsi="Arial"/>
          <w:sz w:val="14"/>
          <w:szCs w:val="14"/>
          <w:color w:val="0D0D0D"/>
        </w:rPr>
        <w:t>Additionally, c</w:t>
      </w:r>
      <w:r>
        <w:rPr>
          <w:rFonts w:ascii="Arial" w:cs="Arial" w:eastAsia="Arial" w:hAnsi="Arial"/>
          <w:sz w:val="14"/>
          <w:szCs w:val="14"/>
          <w:color w:val="auto"/>
        </w:rPr>
        <w:t>linically meaningful improvements in health-related quality of life (mean SGRQ-C) were observed on top of tiotropium. Ensifentrine was well tolerated at all doses with an adverse event profile similar to placebo. We believe that these data support dose selection for our planned Phase 3 program, which we anticipate initiating in the third quarter of 2020, subject to FDA feedback and funding.</w:t>
      </w:r>
    </w:p>
    <w:p>
      <w:pPr>
        <w:spacing w:after="0" w:line="219" w:lineRule="exact"/>
        <w:rPr>
          <w:sz w:val="20"/>
          <w:szCs w:val="20"/>
          <w:color w:val="auto"/>
        </w:rPr>
      </w:pPr>
    </w:p>
    <w:p>
      <w:pPr>
        <w:ind w:right="260"/>
        <w:spacing w:after="0" w:line="245" w:lineRule="auto"/>
        <w:rPr>
          <w:sz w:val="20"/>
          <w:szCs w:val="20"/>
          <w:color w:val="auto"/>
        </w:rPr>
      </w:pPr>
      <w:r>
        <w:rPr>
          <w:rFonts w:ascii="Arial" w:cs="Arial" w:eastAsia="Arial" w:hAnsi="Arial"/>
          <w:sz w:val="14"/>
          <w:szCs w:val="14"/>
          <w:color w:val="auto"/>
        </w:rPr>
        <w:t>In January 2019, we announced results from our exploratory pharmacological Phase 2 clinical trial evaluating nebulized ensifentrine administered twice daily on top of treatment with tiotropium and olodaterol. Although we did not meet the primary endpoint, treatment with ensifentrine showed statistically significant improvements in FEV</w:t>
      </w:r>
      <w:r>
        <w:rPr>
          <w:rFonts w:ascii="Arial" w:cs="Arial" w:eastAsia="Arial" w:hAnsi="Arial"/>
          <w:sz w:val="17"/>
          <w:szCs w:val="17"/>
          <w:color w:val="auto"/>
          <w:vertAlign w:val="subscript"/>
        </w:rPr>
        <w:t>1</w:t>
      </w:r>
      <w:r>
        <w:rPr>
          <w:rFonts w:ascii="Arial" w:cs="Arial" w:eastAsia="Arial" w:hAnsi="Arial"/>
          <w:sz w:val="14"/>
          <w:szCs w:val="14"/>
          <w:color w:val="auto"/>
        </w:rPr>
        <w:t>, including when measured over 24 hours, and after the second dose in the evening. We believe this suggests that ensifentrine could be an effective addition to dual bronchodilator therapy, in particular during the second half of the day following treatment, when patients may derive less benefit from their LAMA/LABA dual bronchodilator therapy.</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40"/>
          </w:cols>
          <w:pgMar w:left="220" w:top="419" w:right="239" w:bottom="1440" w:gutter="0" w:footer="0" w:header="0"/>
        </w:sectPr>
      </w:pPr>
    </w:p>
    <w:bookmarkStart w:id="46" w:name="page47"/>
    <w:bookmarkEnd w:id="46"/>
    <w:p>
      <w:pPr>
        <w:ind w:right="20"/>
        <w:spacing w:after="0" w:line="265" w:lineRule="auto"/>
        <w:rPr>
          <w:sz w:val="20"/>
          <w:szCs w:val="20"/>
          <w:color w:val="auto"/>
        </w:rPr>
      </w:pPr>
      <w:r>
        <w:rPr>
          <w:rFonts w:ascii="Arial" w:cs="Arial" w:eastAsia="Arial" w:hAnsi="Arial"/>
          <w:sz w:val="14"/>
          <w:szCs w:val="14"/>
          <w:color w:val="auto"/>
        </w:rPr>
        <w:t>Verona has completed a pilot Phase 2 study in CF patients , the results of which support the continued development of ensifentrine as a possible new treatment for CF patients. We believe ensifentrine, if approved, has the potential to become a novel treatment option for these patients. We may also explore, alone or with a collaborator, the development of ensifentrine to treat asthma and other respiratory diseases.</w:t>
      </w:r>
    </w:p>
    <w:p>
      <w:pPr>
        <w:spacing w:after="0" w:line="200"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We believe there is a need for nebulized therapies for COPD, as well as more convenient handheld inhalers such as a DPI or a pressurized metered-dose inhaler, or MDI. Initially, we are developing ensifentrine in a nebulized formulation for the maintenance treatment of COPD patients. Patients with moderate to severe COPD, who tend to suffer more frequent symptoms and exacerbations, may prefer treatment with a nebulizer as they view its perceived benefits, including greater confidence in effective drug administration and a reduced need to visit health care providers, as outweighing its perceived disadvantages, which include length of treatment administration (which may take approximately 5 minutes) and required nebulizer device cleaning. Furthermore, nebulizers may be more appropriate for certain groups of patients who may struggle to use an inhaler effectively.</w:t>
      </w:r>
    </w:p>
    <w:p>
      <w:pPr>
        <w:spacing w:after="0" w:line="202"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We also are developing ensifentrine in both DPI and MDI formulations for the maintenance treatment of COPD. In August 2019 we announced positive results from a Phase 2, two-part clinical trial evaluating a DPI formulation of ensifentrine in COPD patients. The trial showed clinically and statistically significant improvements in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following one week of treatment, compared to placebo, with a dose-dependent improvement over the dose range of 0.15 mg, 500 mg, 1500 mg and 3 mg ensifentrine. Handheld DPI and MDI devices are the most common forms of drug delivery in non-hospitalized COPD patients, and are well suited for maintenance therapy. About 5.5 million COPD patients in the United States are believed to use such devices. We believe the development of DPI and MDI formulations has the potential to substantially increase the market opportunity for ensifentrine, if approved, for the maintenance treatment of COPD. In addition, we may explore the development of ensifentrine in DPI and MDI formulations for the treatment of asthma and other respiratory diseases.</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DEVELOPMENT OF ENSIFENTRINE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development of ensifentrine in COPD</w:t>
      </w:r>
    </w:p>
    <w:p>
      <w:pPr>
        <w:spacing w:after="0" w:line="24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have completed six studies with a nebulized suspension formulation of ensifentrine and one study with a DPI formulation of ensifentrine in patients with moderate-to-severe COPD. A Phase 2 study with our MDI formulation of ensifentrine is ongoing. We anticipate reporting data from the single-dose portion of this trial (Part A) early in the second quarter of 2020, and reporting results from the second portion of the trial (Part B), which evaluates multiple doses of the MDI formulation of ensifentrine, in the second half of 2020.</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Clinical studies with nebulized formulation of ensifentrine</w:t>
      </w:r>
    </w:p>
    <w:p>
      <w:pPr>
        <w:spacing w:after="0" w:line="245" w:lineRule="exact"/>
        <w:rPr>
          <w:sz w:val="20"/>
          <w:szCs w:val="20"/>
          <w:color w:val="auto"/>
        </w:rPr>
      </w:pPr>
    </w:p>
    <w:p>
      <w:pPr>
        <w:ind w:right="240"/>
        <w:spacing w:after="0" w:line="248" w:lineRule="auto"/>
        <w:rPr>
          <w:sz w:val="20"/>
          <w:szCs w:val="20"/>
          <w:color w:val="auto"/>
        </w:rPr>
      </w:pPr>
      <w:r>
        <w:rPr>
          <w:rFonts w:ascii="Arial" w:cs="Arial" w:eastAsia="Arial" w:hAnsi="Arial"/>
          <w:sz w:val="14"/>
          <w:szCs w:val="14"/>
          <w:color w:val="auto"/>
        </w:rPr>
        <w:t>Clinical trials we have conducted with nebulized ensifentrine include a Phase 2, randomized, double-blind, double-dummy, placebo controlled, six-way complete block crossover study in 36 patients with moderate-to-severe COPD. Patients received albuterol (200 mg), ipratropium (40 mg) or placebo MDI followed immediately by nebulized ensifentrine (6 mg) or placebo. As shown in the graph below, ensifentrine alone was as effective as albuterol or ipratropium as a bronchodilator, and treatment with ensifentrine showed a significant additive bronchodilation (peak and average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over 8 hours) when dosed with either albuterol or ipratropium (p&lt;0.001 compared to albuterol or ipratropium alone). Ensifentrine also resulted in an additive and significant reduction in lung volume and airway resistance.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40"/>
          </w:cols>
          <w:pgMar w:left="220" w:top="419"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266700</wp:posOffset>
            </wp:positionV>
            <wp:extent cx="4544060" cy="255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544060" cy="255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We conducted a Phase 2a crossover study in 30 patients with moderate-to-severe COPD to examine the effect of ensifentrine when added to a standard dose of a single bronchodilator (LAMA, tiotropium or Spiriva</w:t>
      </w:r>
      <w:r>
        <w:rPr>
          <w:rFonts w:ascii="Arial" w:cs="Arial" w:eastAsia="Arial" w:hAnsi="Arial"/>
          <w:sz w:val="17"/>
          <w:szCs w:val="17"/>
          <w:color w:val="auto"/>
          <w:vertAlign w:val="superscript"/>
        </w:rPr>
        <w:t>®</w:t>
      </w:r>
      <w:r>
        <w:rPr>
          <w:rFonts w:ascii="Arial" w:cs="Arial" w:eastAsia="Arial" w:hAnsi="Arial"/>
          <w:sz w:val="14"/>
          <w:szCs w:val="14"/>
          <w:color w:val="auto"/>
        </w:rPr>
        <w:t>) in the United Kingdom. Patients received tiotropium 18 µg once daily, plus ensifentrine 1.5 mg, ensifentrine 6 mg or placebo twice daily for three days. In this study, we observed a significant increase in peak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when administering ensifentrine on top of tiotropium (103 mL and 127 mL for ensifentrine 1.5 mg and 6 mg, respectively) as compared to tiotropium and placebo. Average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on the third day of dosing (0 - 12 hours) of ensifentrine when added on top of tiotropium was larger than that of tiotropium alone (1.5mg, p=0.099; 6 mg, p&lt;0.001), thus the co-primary endpoints of peak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and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average AUC 0-12h were met. AUC, or area under the curve, is a measure of effectiveness over a period of time. As shown in the graph below, there was also significant improvement in both trough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and lung volume, including residual volume and functional residual capacity. The time to onset of ensifentrine and tiotropium was faster than with tiotropium alone (less than 5 minutes versus 37 minutes as shown in the graph below).</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40"/>
          </w:cols>
          <w:pgMar w:left="220" w:top="1440"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266700</wp:posOffset>
            </wp:positionV>
            <wp:extent cx="4544060" cy="2853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544060" cy="2853690"/>
                    </a:xfrm>
                    <a:prstGeom prst="rect">
                      <a:avLst/>
                    </a:prstGeom>
                    <a:noFill/>
                  </pic:spPr>
                </pic:pic>
              </a:graphicData>
            </a:graphic>
          </wp:anchor>
        </w:drawing>
        <w:drawing>
          <wp:anchor simplePos="0" relativeHeight="251657728" behindDoc="1" locked="0" layoutInCell="0" allowOverlap="1">
            <wp:simplePos x="0" y="0"/>
            <wp:positionH relativeFrom="page">
              <wp:posOffset>1512570</wp:posOffset>
            </wp:positionH>
            <wp:positionV relativeFrom="page">
              <wp:posOffset>3749675</wp:posOffset>
            </wp:positionV>
            <wp:extent cx="4544060" cy="2949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544060" cy="294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9019"/>
          </w:cols>
          <w:pgMar w:left="1440" w:top="1440" w:right="1440"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266700</wp:posOffset>
            </wp:positionV>
            <wp:extent cx="4544060" cy="301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544060" cy="301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conducted a Phase 2b parallel group study in 403 patients with COPD in Europe to examine the effect in patients without concomitant bronchodilator therapy. Patients received either placebo or ensifentrine at doses ranging from 0.75 mg to 6 mg twice daily over 4 weeks. Treatment with ensifentrine met the primary endpoint for all doses, showing a statistically significant increase in peak forced expiratory volume in 1 second (FEV</w:t>
      </w:r>
      <w:r>
        <w:rPr>
          <w:rFonts w:ascii="Arial" w:cs="Arial" w:eastAsia="Arial" w:hAnsi="Arial"/>
          <w:sz w:val="17"/>
          <w:szCs w:val="17"/>
          <w:color w:val="auto"/>
          <w:vertAlign w:val="subscript"/>
        </w:rPr>
        <w:t>1</w:t>
      </w:r>
      <w:r>
        <w:rPr>
          <w:rFonts w:ascii="Arial" w:cs="Arial" w:eastAsia="Arial" w:hAnsi="Arial"/>
          <w:sz w:val="14"/>
          <w:szCs w:val="14"/>
          <w:color w:val="auto"/>
        </w:rPr>
        <w:t>) compared to placebo (p&lt;0.001) with absolute changes from baseline &gt;200 mL in peak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after 4 weeks of dosing. In addition, statistically significant improvements in average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over 12 hours were observed at all doses after the first administration, and this effect was sustained over 4 weeks. Notably, statistically significant and clinically meaningful improvements in total COPD symptoms (p&lt;0.002) and dyspnea (p&lt;0.02) were shown using the EXACT - Respiratory Symptoms (E-RS), a recognized daily patient-reported outcome measure for use in clinical studies of COPD, as well as the Transition Dyspnea Index. We believe that the progressive improvement in COPD symptoms over the 4-week treatment period, which was different from the immediate onset of the bronchodilator response, suggests the involvement of an anti-inflammatory effect.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00"/>
          </w:cols>
          <w:pgMar w:left="220" w:top="1440" w:right="27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266700</wp:posOffset>
            </wp:positionV>
            <wp:extent cx="4544060" cy="5269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4060" cy="526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In January 2019, we announced top-line data from an exploratory Phase 2 three-way crossover pharmacological study in 79 moderate-to-severe COPD patients to study the effect of ensifentrine when added to dual bronchodilators (LAMA/LABA). The study was conducted in the United States and the United Kingdom. Patients were administered ensifentrine 1.5 mg or 6 mg or placebo twice daily for 3 days in addition to a tiotropium/olodaterol fixed dose combination (Stiolto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Patients were allowed to remain on a stable dose of ICS. Data showed a tolerability and safety profile generally in line with previous studies. This study was conducted in the challenging setting of COPD patients treated with what is thought to be "maximal bronchodilator therapy". Although the primary endpoint of a statistically significant improvement in morning peak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on the third day of dosing was not met, improvement in average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(additional bronchodilation) following the morning dose on the third day (0 - 4 hours) with 1.5 mg of ensifentrine was statistically significant when added on top of Stiolto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compared to placebo added on top of Stiolto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xml:space="preserve"> (1.5 mg, p=0.039). Statistically significant improvements in evening peak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(additional bronchodilation) on the third day of dosing, and significant reductions in lung volume after the evening dose of ensifentrine were observed with both the 1.5 mg and 6 mg dose groups, compared to placebo, when administered on top of Stiolto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xml:space="preserve"> (evening peak FEV</w:t>
      </w:r>
      <w:r>
        <w:rPr>
          <w:rFonts w:ascii="Arial" w:cs="Arial" w:eastAsia="Arial" w:hAnsi="Arial"/>
          <w:sz w:val="17"/>
          <w:szCs w:val="17"/>
          <w:color w:val="auto"/>
          <w:vertAlign w:val="subscript"/>
        </w:rPr>
        <w:t>1</w:t>
      </w:r>
      <w:r>
        <w:rPr>
          <w:rFonts w:ascii="Arial" w:cs="Arial" w:eastAsia="Arial" w:hAnsi="Arial"/>
          <w:sz w:val="14"/>
          <w:szCs w:val="14"/>
          <w:color w:val="auto"/>
        </w:rPr>
        <w:t>: 1.5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60"/>
          </w:cols>
          <w:pgMar w:left="220" w:top="1440" w:right="21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mg, p&lt;0.001; 6 mg p=0.002 (as shown in the graph below); post-evening dose residual volume: 1.5 mg, p=0.002; 6 mg, p=0.036).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144780</wp:posOffset>
            </wp:positionV>
            <wp:extent cx="4544060" cy="2607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4406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In January 2020, we reported top-line results from our 4 week 416-patient Phase 2b dose-ranging clinical trial. This trial evaluated four doses of nebulized ensifentrine (0.375 mg, 0.75 mg, 1.5 mg and 3.0 mg) or placebo as an add-on treatment to tiotropium (Spiriva</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a commonly used LAMA bronchodilator, in symptomatic patients with moderate-to-severe COPD who required additional treatment.</w:t>
      </w:r>
    </w:p>
    <w:p>
      <w:pPr>
        <w:spacing w:after="0" w:line="110"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 xml:space="preserve">The trial met its primary endpoint of improved lung function, with ensifentrine plus tiotropium producing a clinically and statistically significant dose-dependent improvement in peak </w:t>
      </w:r>
      <w:r>
        <w:rPr>
          <w:rFonts w:ascii="Arial" w:cs="Arial" w:eastAsia="Arial" w:hAnsi="Arial"/>
          <w:sz w:val="14"/>
          <w:szCs w:val="14"/>
          <w:color w:val="0D0D0D"/>
        </w:rPr>
        <w:t>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w:t>
      </w:r>
      <w:r>
        <w:rPr>
          <w:rFonts w:ascii="Arial" w:cs="Arial" w:eastAsia="Arial" w:hAnsi="Arial"/>
          <w:sz w:val="14"/>
          <w:szCs w:val="14"/>
          <w:color w:val="000000"/>
        </w:rPr>
        <w:t>at week 4, compared to placebo plus tiotropium. The improvements</w:t>
      </w:r>
      <w:r>
        <w:rPr>
          <w:rFonts w:ascii="Arial" w:cs="Arial" w:eastAsia="Arial" w:hAnsi="Arial"/>
          <w:sz w:val="14"/>
          <w:szCs w:val="14"/>
          <w:color w:val="0D0D0D"/>
        </w:rPr>
        <w:t xml:space="preserve"> ranged from 78 mL for the 0.375 mg dose (p=0.0368) to 124 mL for the 3.0 mg dose (p=0.0008) and were maintained over the 4-week study period. Dose-dependent improvements in lung function were observed on both average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0-4 hours and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0-12 hours. There was also a statistically significant improvement in average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0-12 hours of 87 mL for the 3.0 mg dose (p=0.0111), which we believe is supportive of twice daily dosing. </w:t>
      </w:r>
      <w:r>
        <w:rPr>
          <w:rFonts w:ascii="Arial" w:cs="Arial" w:eastAsia="Arial" w:hAnsi="Arial"/>
          <w:sz w:val="14"/>
          <w:szCs w:val="14"/>
          <w:color w:val="000000"/>
        </w:rPr>
        <w:t>Area</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Under the Curve over 0-12 hours post dose, or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AUC</w:t>
      </w:r>
      <w:r>
        <w:rPr>
          <w:rFonts w:ascii="Arial" w:cs="Arial" w:eastAsia="Arial" w:hAnsi="Arial"/>
          <w:sz w:val="17"/>
          <w:szCs w:val="17"/>
          <w:color w:val="auto"/>
          <w:vertAlign w:val="subscript"/>
        </w:rPr>
        <w:t>(0-12hr)</w:t>
      </w:r>
      <w:r>
        <w:rPr>
          <w:rFonts w:ascii="Arial" w:cs="Arial" w:eastAsia="Arial" w:hAnsi="Arial"/>
          <w:sz w:val="14"/>
          <w:szCs w:val="14"/>
          <w:color w:val="auto"/>
        </w:rPr>
        <w:t>, was calculated using the trapezoidal rule, divided by the observation time (12 hours) to report in mL, a measure of the aggregate effect over 12 hours.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419" w:right="21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198120</wp:posOffset>
            </wp:positionV>
            <wp:extent cx="4544060" cy="258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544060"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0D0D0D"/>
        </w:rPr>
        <w:t>Additionally, c</w:t>
      </w:r>
      <w:r>
        <w:rPr>
          <w:rFonts w:ascii="Arial" w:cs="Arial" w:eastAsia="Arial" w:hAnsi="Arial"/>
          <w:sz w:val="14"/>
          <w:szCs w:val="14"/>
          <w:color w:val="000000"/>
        </w:rPr>
        <w:t>linically meaningful improvements in health-related quality of life as measured by St. George's Respiratory Questionnaire for COPD (mean SGRQ-C) were observed</w:t>
      </w:r>
      <w:r>
        <w:rPr>
          <w:rFonts w:ascii="Arial" w:cs="Arial" w:eastAsia="Arial" w:hAnsi="Arial"/>
          <w:sz w:val="14"/>
          <w:szCs w:val="14"/>
          <w:color w:val="0D0D0D"/>
        </w:rPr>
        <w:t xml:space="preserve"> </w:t>
      </w:r>
      <w:r>
        <w:rPr>
          <w:rFonts w:ascii="Arial" w:cs="Arial" w:eastAsia="Arial" w:hAnsi="Arial"/>
          <w:sz w:val="14"/>
          <w:szCs w:val="14"/>
          <w:color w:val="000000"/>
        </w:rPr>
        <w:t>on top of tiotropium, exceeding the minimal clinically important difference (“MCID”) of 4 units compared to placebo at week 4, with the two highest doses 1.5 mg and 3 mg also achieving statistical significance. The SGRQ-C is a validated instrument that measures impact on overall health, daily life, and perceived well-being in patients with COPD (i.e. change in frequency and severity of COPD symptoms, and impact on activities, social functioning and psychological disturbances related to airways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60325</wp:posOffset>
            </wp:positionV>
            <wp:extent cx="4544060" cy="2313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44060"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In the trial, ensifentrine was well tolerated at all doses with an adverse event profile similar to placebo. We believe that these data support dose selection for our planned Phase 3 program, which we anticipate initiating in the third quarter of 2020, subject to FDA feedback and funding.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1440" w:right="2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Clinical studies with handheld DPI and MDI formulations of ensifentrine</w:t>
      </w:r>
    </w:p>
    <w:p>
      <w:pPr>
        <w:spacing w:after="0" w:line="137" w:lineRule="exact"/>
        <w:rPr>
          <w:sz w:val="20"/>
          <w:szCs w:val="20"/>
          <w:color w:val="auto"/>
        </w:rPr>
      </w:pPr>
    </w:p>
    <w:p>
      <w:pPr>
        <w:jc w:val="both"/>
        <w:ind w:right="520"/>
        <w:spacing w:after="0" w:line="245" w:lineRule="auto"/>
        <w:rPr>
          <w:sz w:val="20"/>
          <w:szCs w:val="20"/>
          <w:color w:val="auto"/>
        </w:rPr>
      </w:pPr>
      <w:r>
        <w:rPr>
          <w:rFonts w:ascii="Arial" w:cs="Arial" w:eastAsia="Arial" w:hAnsi="Arial"/>
          <w:sz w:val="14"/>
          <w:szCs w:val="14"/>
          <w:color w:val="auto"/>
        </w:rPr>
        <w:t>In August 2019, we announced results from our Phase 2 clinical trial evaluating a DPI formulation of ensifentrine for the maintenance treatment of patients with COPD. The magnitude of improvement in lung function, as measured by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was highly statistically significant and we believe this supports twice daily dosing of ensifentrine for COPD treatment. Secondary lung function endpoints were also met, and ensifentrine was well tolerated at all dose levels. We believe that delivery of ensifentrine with a hand-held inhalation device, such as the DPI format, could substantially expand the clinical utility and commercial opportunity in COPD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107950</wp:posOffset>
            </wp:positionV>
            <wp:extent cx="4544060" cy="1882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44060" cy="188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In June 2019, we announced the initiation of a Phase 2 dose-ranging trial to evaluate the pharmacokinetic, or PK profile, efficacy, and safety of a pressurized MDI formulation of ensifentrine in patients with moderate-to-severe COPD. We anticipate reporting data from the single-dose portion of this trial (Part A) early in the second quarter of 2020, and reporting results from the second portion of the trial (Part B), which evaluates multiple doses of the MDI formulation of ensifentrine, in the second half of 2020.</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Ensifentrine has been observed to be well tolerated in our clinical studies performed to date when administered alone, and as an add-on therapy to commonly used bronchodilators at dose levels ranging from 0.4 mg to 24 mg. Dose-limiting toxicities have not been observed. To date across all studies and populations, 13 subjects have reported 16 serious adverse events, or SAEs. Of these events, only two were assessed as possibly related to ensifentrine, although relevant mitigating factors were subsequently considered. In our completed clinical trials adverse events were rare, with nature and incidence similar to placebo. In ECGs assessed in over 800 patients with COPD, and 24-hour Holter monitoring in over 400 patients, no meaningful effects were observed compared to placebo, except for a small, transient and not clinically meaningful increase in peak heart rate of approximately 3 beats per minute with the 6 mg dose of ensifentrine. Ensifentrine had no observed effect on cardiac function as measured by electrocardiograms, including QT intervals, a measure of time between certain waves in the heart's electrical cycle and measure of a potential cardiovascular adverse event. In addition, we did not observe an increase in incidence of any adverse event compared to commonly used bronchodilators when ensifentrine was used alone. In our studies, the most common adverse events have been mild to moderate, and included headache, dizziness, cough, nasopharyngitis (throat irritation) and rash, which occurred with comparable frequency to placebo.</w:t>
      </w:r>
    </w:p>
    <w:p>
      <w:pPr>
        <w:spacing w:after="0" w:line="9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An End of Phase 2 Meeting with the FDA is planned to take place during the first half of 2020, to discuss our planned Phase 3 clinical trial design and program. We intend to use the data from all our completed studies, including data from our most recently completed Phase 2b trial to inform our future studies, including the design of our planned Phase 3 program for the maintenance treatment of COPD with nebulized ensifentrine.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40"/>
          </w:cols>
          <w:pgMar w:left="220" w:top="789" w:right="23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Additional studies with ensifentrine have been completed in healthy volunteers, and in patients with asthma and with cystic fibrosis.</w:t>
      </w:r>
    </w:p>
    <w:p>
      <w:pPr>
        <w:spacing w:after="0" w:line="227"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We conducted a single-dose pharmacokinetic, or PK, trial in 12 healthy volunteers in the United States. A PK trial involves the study of the process of bodily absorption, distribution, metabolism and excretion of a drug. With any inhaled or nebulized medication, a portion of the substance is deposited in the mouth and then swallowed by the patient. The results showed that in the study subjects only 10.4 percent of the inhaled dose of ensifentrine entered the bloodstream via the gastrointestinal tract. The low oral bioavailability of nebulized ensifentrine, as was shown in this study, is consistent with optimal inhaled delivery of medications for the treatment of COPD and asthma. Therefore the results from this study support our approach of developing inhalation formulations for the administration of ensifentrine.</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Ensifentrine has also shown anti-inflammatory effects in sputum samples from a model of COPD-like lung inflammation in human subjects. In a Phase 1 clinical trial, 21 healthy evaluable subjects were treated with either ensifentrine or placebo once daily for six days before airway challenge with aerosolized lipopolysaccharide, or LPS. LPS challenge induces an inflammatory response in the lung with a large proportion of neutrophils, which is a common type of white blood cell widely recognized as the most important inflammatory cell in COPD. LPS challenge is a well-validated and commonly used measure to assess the anti-inflammatory effects of novel compounds and is of particular relevance to drugs used in the treatment of COPD. Subjects treated with ensifentrine were observed to have significantly lower absolute numbers of neutrophils in sputum collected six hours after LPS challenge, and a significant reduction in the absolute numbers of other inflammatory cells, including lymphocytes, macrophages and eosinophils, at the same time point (as shown in the graph below). Eosinophils are prevalent in the lungs of some patients with COPD and in the vast majority of patients with asthma. These observations suggest that ensifentrine has the potential to target the chronic inflammatory processes in COPD, CF and other respiratory diseases, including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377190</wp:posOffset>
            </wp:positionV>
            <wp:extent cx="4544060" cy="257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4406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Development of Ensifentrine in Cystic Fibrosis and Asthma</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a Phase 2, double-blind, placebo-controlled, seven-way complete block crossover study in 29 patients with mild-to-moderate chronic asthma. Patients received four single doses of ensifentrine (0.4 mg, 1.5 mg, 6 mg and 24 mg), two doses of nebulized albuterol (2.5 mg and 7.5 mg) and placebo in a randomized sequence. The results demonstrated that ensifentrine produced dose-dependent bronchodilation with a magnitude that was comparable to a maximal dose of albuterol.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419" w:right="219" w:bottom="1440" w:gutter="0" w:footer="0" w:header="0"/>
        </w:sectPr>
      </w:pPr>
    </w:p>
    <w:bookmarkStart w:id="55" w:name="page56"/>
    <w:bookmarkEnd w:id="55"/>
    <w:p>
      <w:pPr>
        <w:ind w:right="20"/>
        <w:spacing w:after="0" w:line="248" w:lineRule="auto"/>
        <w:rPr>
          <w:sz w:val="20"/>
          <w:szCs w:val="20"/>
          <w:color w:val="auto"/>
        </w:rPr>
      </w:pPr>
      <w:r>
        <w:rPr>
          <w:rFonts w:ascii="Arial" w:cs="Arial" w:eastAsia="Arial" w:hAnsi="Arial"/>
          <w:sz w:val="14"/>
          <w:szCs w:val="14"/>
          <w:color w:val="auto"/>
        </w:rPr>
        <w:t>In March 2018, we reported top-line data from a Phase 2a single-dose PK and pharmacodynamics, or PD, trial in the United Kingdom evaluating ensifentrine in ten CF patients. A PD trial involves the study of the biochemical and physiological effects of a drug and its mechanism of action. The PK profile was consistent with that observed in patients with COPD, although with lower peak serum levels of ensifentrine in CF patients. The serum half-life was dose dependent: 7.5 to 10.1 hours for the 1.5 mg and 6 mg doses, respectively. Ensifentrine elicited a statistically significant increase in average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in treated patients for the 1.5 mg dose (all time points, p&lt;0.01) and the 6 mg dose (all time points p&lt;0.05) at 4-, 6-, and 8-hour time points. Ensifentrine was observed to be well-tolerated in this patient group with an adverse event profile consistent with other studies with the compound.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FURTHER INFORMATION</w:t>
      </w: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According to the World Health Organization, over one billion people suffer from chronic respiratory diseases. Among the most common of these afflictions is COPD, which is a progressive respiratory disease for which there is no cure. COPD damages the airways and the lungs and leads to shortness of breath, impacting a person's ability to perform daily activities. Chronic inflammation plays a central role in the pathology of the disease, and is particularly prominent in the airways of COPD patients. COPD includes chronic bronchitis, which refers to the inflammation of the lung and airways that results in coughing and sputum production, and emphysema, which refers to a destruction of distal lung tissue, or air sacs. According to the World Health Organization, COPD is expected to become the third leading cause of death globally by 2030, with 384 million people worldwide suffering from the disease. It is estimated that there are 24 million people with COPD in the United States,of whom 16 million have been diagnosed. Of those diagnosed with COPD in the United States, 3 million suffer from severe or very severe forms of the disease. Total annual medical costs relating to COPD in the United States are projected to rise to $49 billion in 2020. Global sales of drugs used for chronic maintenance therapy of COPD were $13.6 billion in 2019, of which $9.6 billion were in the US. While the number of patients diagnosed with COPD in the United States continues to increase annually, the growth in numbers in countries like China is significantly higher.</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CF is the most common fatal inherited disease in the United States and Europe. CF causes impaired lung function and is commonly associated with repeat and persistent lung infections due to the inability to clear thickened phlegm, or mucus, from the lung. This condition often results in frequent exacerbations and hospitalizations. There is no cure for CF and although current therapies are leading to longer lifespans the median age of death for CF patients is still only around 40 years. CF is considered a rare, or orphan, disease by both the FDA and the EMA. According to the Cystic Fibrosis Foundation, more than 30,000 people in the United States and more than 70,000 people worldwide are living with CF and approximately 1,000 new cases of CF are diagnosed each year. The FDA and the EMA provide incentives for sponsors to develop products for orphan diseases, and we plan to seek orphan drug designation for ensifentrine in treating CF. CF patients require lifelong treatment with multiple daily medications, frequent hospitalizations and, ultimately, lung transplants in some end-stage patients. The quality of life for CF patients is compromised as a result of spending significant time on self-care every day and frequent outpatient doctor visits and hospitalizations. CF patients take an average of seven medications daily. Global sales of drugs used for the treatment of CF were $3.5 billion in 2019, of which $2.0 billion were in the US.</w:t>
      </w: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Asthma is widely seen as a result of chronic inflammation in the lungs. Worldwide 300 million people suffer from asthma with about 25 million diagnosed in the US alone. Global sales of drugs used for the treatment of asthma were $16.5 billion in 2019, with $9.7 billion in the US. Established treatments include those adopted from the treatment of COPD (for example, bronchodilators and ICS), anti-IgE agents and leukotriene inhibitors. Approximately 1 million patients in the United States are refractory asthmatic patients who remain uncontrolled on established therapies. These patients are the target for injectable biologic anti-IL-5 agents. Annual sales of biologics in the United States for the treatment of asthma exceed $1.0 billion. We see potential for ensifentrine as an inhaled product for such patients.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We may also explore the development of ensifentrine in MDI and/or DPI formulations for the treatment of asthma and other respiratory diseases.</w:t>
      </w:r>
    </w:p>
    <w:p>
      <w:pPr>
        <w:spacing w:after="0" w:line="98" w:lineRule="exact"/>
        <w:rPr>
          <w:sz w:val="20"/>
          <w:szCs w:val="20"/>
          <w:color w:val="auto"/>
        </w:rPr>
      </w:pPr>
    </w:p>
    <w:p>
      <w:pPr>
        <w:jc w:val="both"/>
        <w:ind w:right="200"/>
        <w:spacing w:after="0" w:line="265" w:lineRule="auto"/>
        <w:rPr>
          <w:sz w:val="20"/>
          <w:szCs w:val="20"/>
          <w:color w:val="auto"/>
        </w:rPr>
      </w:pPr>
      <w:r>
        <w:rPr>
          <w:rFonts w:ascii="Arial" w:cs="Arial" w:eastAsia="Arial" w:hAnsi="Arial"/>
          <w:sz w:val="14"/>
          <w:szCs w:val="14"/>
          <w:color w:val="auto"/>
        </w:rPr>
        <w:t>We have worldwide commercialization rights for ensifentrine. Our intellectual property portfolio includes granted and issued patents as well as pending patent applications. These patents and patent applications include claims directed to ensifentrine composition of matter, new dosage formulations and a crystalline polymorph, as well as methods of making and using ensifentrine in the treatment of respiratory diseases, with expected expiry dates between 2020 and 2037, as described further below.</w:t>
      </w:r>
    </w:p>
    <w:p>
      <w:pPr>
        <w:spacing w:after="0" w:line="92"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We were incorporated in February 2005 and are headquartered in the United Kingdom. Since September 2006, our ordinary shares have traded on AIM, a market of the London Stock Exchange, under the symbol "VRP". We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419" w:right="219" w:bottom="1440" w:gutter="0" w:footer="0" w:header="0"/>
        </w:sectPr>
      </w:pPr>
    </w:p>
    <w:bookmarkStart w:id="56" w:name="page57"/>
    <w:bookmarkEnd w:id="56"/>
    <w:p>
      <w:pPr>
        <w:ind w:right="40"/>
        <w:spacing w:after="0" w:line="270" w:lineRule="auto"/>
        <w:rPr>
          <w:sz w:val="20"/>
          <w:szCs w:val="20"/>
          <w:color w:val="auto"/>
        </w:rPr>
      </w:pPr>
      <w:r>
        <w:rPr>
          <w:rFonts w:ascii="Arial" w:cs="Arial" w:eastAsia="Arial" w:hAnsi="Arial"/>
          <w:sz w:val="14"/>
          <w:szCs w:val="14"/>
          <w:color w:val="auto"/>
        </w:rPr>
        <w:t>have raised approximately £145 million in gross proceeds from investors since such listing, of which approximately £70.3 million was raised in our initial public offering of our American Depositary Shares, or ADSs, in April and May 2017, which are listed on The Nasdaq Global Market, or Nasdaq, under the symbol “VRNA,” and the accompanying private offering in Europe of our ordinary shares, or the global offering, and a concurrent private placement to certain shareholders of our ordinary shares, or the shareholder private placement, and £45 million was raised in our July 2016 private placement of equity securities with a number of European and U.S.-based healthcare specialist investment firms, or the July 2016 Placement. Members of our management team and board of directors have extensive experience in large pharmaceutical and biotechnology companies in respiratory product development from drug discovery through commercialization and have played important roles in the development and commercialization of several approved respiratory treatments, including Symbicort</w:t>
      </w:r>
      <w:r>
        <w:rPr>
          <w:rFonts w:ascii="Arial" w:cs="Arial" w:eastAsia="Arial" w:hAnsi="Arial"/>
          <w:sz w:val="15"/>
          <w:szCs w:val="15"/>
          <w:color w:val="auto"/>
        </w:rPr>
        <w:t>®,</w:t>
      </w:r>
      <w:r>
        <w:rPr>
          <w:rFonts w:ascii="Arial" w:cs="Arial" w:eastAsia="Arial" w:hAnsi="Arial"/>
          <w:sz w:val="14"/>
          <w:szCs w:val="14"/>
          <w:color w:val="auto"/>
        </w:rPr>
        <w:t xml:space="preserve"> Daliresp</w:t>
      </w:r>
      <w:r>
        <w:rPr>
          <w:rFonts w:ascii="Arial" w:cs="Arial" w:eastAsia="Arial" w:hAnsi="Arial"/>
          <w:sz w:val="15"/>
          <w:szCs w:val="15"/>
          <w:color w:val="auto"/>
        </w:rPr>
        <w:t>®</w:t>
      </w:r>
      <w:r>
        <w:rPr>
          <w:rFonts w:ascii="Arial" w:cs="Arial" w:eastAsia="Arial" w:hAnsi="Arial"/>
          <w:sz w:val="14"/>
          <w:szCs w:val="14"/>
          <w:color w:val="auto"/>
        </w:rPr>
        <w:t>/Daxas</w:t>
      </w:r>
      <w:r>
        <w:rPr>
          <w:rFonts w:ascii="Arial" w:cs="Arial" w:eastAsia="Arial" w:hAnsi="Arial"/>
          <w:sz w:val="15"/>
          <w:szCs w:val="15"/>
          <w:color w:val="auto"/>
        </w:rPr>
        <w:t>®</w:t>
      </w:r>
      <w:r>
        <w:rPr>
          <w:rFonts w:ascii="Arial" w:cs="Arial" w:eastAsia="Arial" w:hAnsi="Arial"/>
          <w:sz w:val="14"/>
          <w:szCs w:val="14"/>
          <w:color w:val="auto"/>
        </w:rPr>
        <w:t>, Flutiform</w:t>
      </w:r>
      <w:r>
        <w:rPr>
          <w:rFonts w:ascii="Arial" w:cs="Arial" w:eastAsia="Arial" w:hAnsi="Arial"/>
          <w:sz w:val="15"/>
          <w:szCs w:val="15"/>
          <w:color w:val="auto"/>
        </w:rPr>
        <w:t>®,</w:t>
      </w:r>
      <w:r>
        <w:rPr>
          <w:rFonts w:ascii="Arial" w:cs="Arial" w:eastAsia="Arial" w:hAnsi="Arial"/>
          <w:sz w:val="14"/>
          <w:szCs w:val="14"/>
          <w:color w:val="auto"/>
        </w:rPr>
        <w:t xml:space="preserve"> Advair</w:t>
      </w:r>
      <w:r>
        <w:rPr>
          <w:rFonts w:ascii="Arial" w:cs="Arial" w:eastAsia="Arial" w:hAnsi="Arial"/>
          <w:sz w:val="15"/>
          <w:szCs w:val="15"/>
          <w:color w:val="auto"/>
        </w:rPr>
        <w:t>®</w:t>
      </w:r>
      <w:r>
        <w:rPr>
          <w:rFonts w:ascii="Arial" w:cs="Arial" w:eastAsia="Arial" w:hAnsi="Arial"/>
          <w:sz w:val="14"/>
          <w:szCs w:val="14"/>
          <w:color w:val="auto"/>
        </w:rPr>
        <w:t>, Incruse</w:t>
      </w:r>
      <w:r>
        <w:rPr>
          <w:rFonts w:ascii="Arial" w:cs="Arial" w:eastAsia="Arial" w:hAnsi="Arial"/>
          <w:sz w:val="15"/>
          <w:szCs w:val="15"/>
          <w:color w:val="auto"/>
        </w:rPr>
        <w:t>®,</w:t>
      </w:r>
      <w:r>
        <w:rPr>
          <w:rFonts w:ascii="Arial" w:cs="Arial" w:eastAsia="Arial" w:hAnsi="Arial"/>
          <w:sz w:val="14"/>
          <w:szCs w:val="14"/>
          <w:color w:val="auto"/>
        </w:rPr>
        <w:t xml:space="preserve"> Ellipta</w:t>
      </w:r>
      <w:r>
        <w:rPr>
          <w:rFonts w:ascii="Arial" w:cs="Arial" w:eastAsia="Arial" w:hAnsi="Arial"/>
          <w:sz w:val="15"/>
          <w:szCs w:val="15"/>
          <w:color w:val="auto"/>
        </w:rPr>
        <w:t>®,</w:t>
      </w:r>
      <w:r>
        <w:rPr>
          <w:rFonts w:ascii="Arial" w:cs="Arial" w:eastAsia="Arial" w:hAnsi="Arial"/>
          <w:sz w:val="14"/>
          <w:szCs w:val="14"/>
          <w:color w:val="auto"/>
        </w:rPr>
        <w:t xml:space="preserve"> and Anoro Ellipta</w:t>
      </w:r>
      <w:r>
        <w:rPr>
          <w:rFonts w:ascii="Arial" w:cs="Arial" w:eastAsia="Arial" w:hAnsi="Arial"/>
          <w:sz w:val="15"/>
          <w:szCs w:val="15"/>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Candidate Pipeline</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depicts the potential indications for ensifentrine and their current development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144780</wp:posOffset>
            </wp:positionV>
            <wp:extent cx="4544060" cy="2819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44060" cy="281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Strengths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our company has the following key distinguishing characteristics:</w:t>
      </w:r>
    </w:p>
    <w:p>
      <w:pPr>
        <w:spacing w:after="0" w:line="211" w:lineRule="exact"/>
        <w:rPr>
          <w:sz w:val="20"/>
          <w:szCs w:val="20"/>
          <w:color w:val="auto"/>
        </w:rPr>
      </w:pPr>
    </w:p>
    <w:p>
      <w:pPr>
        <w:ind w:left="520" w:hanging="255"/>
        <w:spacing w:after="0" w:line="263" w:lineRule="auto"/>
        <w:tabs>
          <w:tab w:leader="none" w:pos="520" w:val="left"/>
        </w:tabs>
        <w:numPr>
          <w:ilvl w:val="0"/>
          <w:numId w:val="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Potential for multiple targeted indications, formulations and add-on therapies. </w:t>
      </w:r>
      <w:r>
        <w:rPr>
          <w:rFonts w:ascii="Arial" w:cs="Arial" w:eastAsia="Arial" w:hAnsi="Arial"/>
          <w:sz w:val="14"/>
          <w:szCs w:val="14"/>
          <w:color w:val="auto"/>
        </w:rPr>
        <w:t>We are initially developing ensifentrine in a nebulized formulation for the maintenance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treatment of COPD patients. While ensifentrine can be used as a standalone treatment in these patients, we are focusing on COPD patients who are symptomatic despite using currently available standard-of-care COPD treatments, because ensifentrine has shown improvements in lung function when administered as an add-on therapy to single and dual bronchodilators. We also are developing ensifentrine in both DPI and MDI formulations for the maintenance treatment of COPD. In addition, we may explore the development of ensifentrine in inhaled formulations for the treatment of CF, asthma and other respiratory diseases. Based on the favorable properties of ensifentrine that we have observed in our clinical trials, we believe ensifentrine has broad potential applicability in the treatment of other respiratory diseases, either as a single agent or as an add-on therapy.</w:t>
      </w:r>
    </w:p>
    <w:p>
      <w:pPr>
        <w:spacing w:after="0" w:line="79" w:lineRule="exact"/>
        <w:rPr>
          <w:rFonts w:ascii="Arial" w:cs="Arial" w:eastAsia="Arial" w:hAnsi="Arial"/>
          <w:sz w:val="14"/>
          <w:szCs w:val="14"/>
          <w:b w:val="1"/>
          <w:bCs w:val="1"/>
          <w:i w:val="1"/>
          <w:iCs w:val="1"/>
          <w:color w:val="auto"/>
        </w:rPr>
      </w:pPr>
    </w:p>
    <w:p>
      <w:pPr>
        <w:ind w:left="520" w:right="20" w:hanging="255"/>
        <w:spacing w:after="0" w:line="277" w:lineRule="auto"/>
        <w:tabs>
          <w:tab w:leader="none" w:pos="520" w:val="left"/>
        </w:tabs>
        <w:numPr>
          <w:ilvl w:val="0"/>
          <w:numId w:val="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Observed benefit and favorable tolerability as a single agent and as an add-on therapy in clinical trials. </w:t>
      </w:r>
      <w:r>
        <w:rPr>
          <w:rFonts w:ascii="Arial" w:cs="Arial" w:eastAsia="Arial" w:hAnsi="Arial"/>
          <w:sz w:val="14"/>
          <w:szCs w:val="14"/>
          <w:color w:val="auto"/>
        </w:rPr>
        <w:t>We have reported data from fifteen Phase 1 and 2 clinical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trials for ensifentrine with over 1,300 subjects enrolled. We have observed statistically significant improvements in lung function as compared to placebo, as well as clinically meaningful and statistically significant improvements in lung function when ensifentrine is added to several commonly used bronchodilators as compared to such</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430" w:right="219" w:bottom="1440" w:gutter="0" w:footer="0" w:header="0"/>
        </w:sectPr>
      </w:pPr>
    </w:p>
    <w:bookmarkStart w:id="57" w:name="page58"/>
    <w:bookmarkEnd w:id="57"/>
    <w:p>
      <w:pPr>
        <w:ind w:left="260" w:right="120"/>
        <w:spacing w:after="0" w:line="260" w:lineRule="auto"/>
        <w:rPr>
          <w:sz w:val="20"/>
          <w:szCs w:val="20"/>
          <w:color w:val="auto"/>
        </w:rPr>
      </w:pPr>
      <w:r>
        <w:rPr>
          <w:rFonts w:ascii="Arial" w:cs="Arial" w:eastAsia="Arial" w:hAnsi="Arial"/>
          <w:sz w:val="14"/>
          <w:szCs w:val="14"/>
          <w:color w:val="auto"/>
        </w:rPr>
        <w:t>bronchodilators administered as a single agent or in combination. In addition, we observed a more rapid time of onset of bronchodilation when ensifentrine was administered as an add-on therapy to these bronchodilators. We have also observed in a four-week study in COPD patients statistically significant improvements in COPD patient symptom scores. Notably, statistically significant and clinically meaningful improvements in total COPD symptoms (p&lt;0.002) and dyspnea (p&lt;0.02) were shown using the EXACT - Respiratory Symptoms (E-RS), a recognized daily patient-reported outcome measure for use in clinical studies of COPD, as well as the Transition Dyspnea Index. We believe that the progressive improvement in COPD symptoms over the 4-week treatment period, which was different from the immediate onset of the bronchodilator response, suggests the involvement of an anti-inflammatory effect.</w:t>
      </w:r>
    </w:p>
    <w:p>
      <w:pPr>
        <w:spacing w:after="0" w:line="96" w:lineRule="exact"/>
        <w:rPr>
          <w:sz w:val="20"/>
          <w:szCs w:val="20"/>
          <w:color w:val="auto"/>
        </w:rPr>
      </w:pPr>
    </w:p>
    <w:p>
      <w:pPr>
        <w:jc w:val="both"/>
        <w:ind w:left="260" w:right="180"/>
        <w:spacing w:after="0" w:line="239" w:lineRule="auto"/>
        <w:rPr>
          <w:sz w:val="20"/>
          <w:szCs w:val="20"/>
          <w:color w:val="auto"/>
        </w:rPr>
      </w:pPr>
      <w:r>
        <w:rPr>
          <w:rFonts w:ascii="Arial" w:cs="Arial" w:eastAsia="Arial" w:hAnsi="Arial"/>
          <w:sz w:val="14"/>
          <w:szCs w:val="14"/>
          <w:color w:val="auto"/>
        </w:rPr>
        <w:t>Our recently completed 4 week 416-patient Phase 2b dose-ranging clinical trial evaluated four doses of nebulized ensifentrine (0.375 mg, 0.75 mg, 1.5 mg and 3.0 mg) or placebo as an add-on treatment to tiotropium (Spiriva</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a commonly used LAMA bronchodilator, in symptomatic patients with moderate-to-severe COPD who required additional treatment.</w:t>
      </w:r>
    </w:p>
    <w:p>
      <w:pPr>
        <w:spacing w:after="0" w:line="110" w:lineRule="exact"/>
        <w:rPr>
          <w:sz w:val="20"/>
          <w:szCs w:val="20"/>
          <w:color w:val="auto"/>
        </w:rPr>
      </w:pPr>
    </w:p>
    <w:p>
      <w:pPr>
        <w:ind w:left="260" w:right="20"/>
        <w:spacing w:after="0" w:line="221" w:lineRule="auto"/>
        <w:rPr>
          <w:sz w:val="20"/>
          <w:szCs w:val="20"/>
          <w:color w:val="auto"/>
        </w:rPr>
      </w:pPr>
      <w:r>
        <w:rPr>
          <w:rFonts w:ascii="Arial" w:cs="Arial" w:eastAsia="Arial" w:hAnsi="Arial"/>
          <w:sz w:val="14"/>
          <w:szCs w:val="14"/>
          <w:color w:val="auto"/>
        </w:rPr>
        <w:t xml:space="preserve">The trial met its primary endpoint of improved lung function, with ensifentrine plus tiotropium producing a clinically and statistically significant dose-dependent improvement in peak </w:t>
      </w:r>
      <w:r>
        <w:rPr>
          <w:rFonts w:ascii="Arial" w:cs="Arial" w:eastAsia="Arial" w:hAnsi="Arial"/>
          <w:sz w:val="14"/>
          <w:szCs w:val="14"/>
          <w:color w:val="0D0D0D"/>
        </w:rPr>
        <w:t>FEV</w:t>
      </w:r>
      <w:r>
        <w:rPr>
          <w:rFonts w:ascii="Arial" w:cs="Arial" w:eastAsia="Arial" w:hAnsi="Arial"/>
          <w:sz w:val="17"/>
          <w:szCs w:val="17"/>
          <w:color w:val="0D0D0D"/>
          <w:vertAlign w:val="subscript"/>
        </w:rPr>
        <w:t>1</w:t>
      </w:r>
      <w:r>
        <w:rPr>
          <w:rFonts w:ascii="Arial" w:cs="Arial" w:eastAsia="Arial" w:hAnsi="Arial"/>
          <w:sz w:val="14"/>
          <w:szCs w:val="14"/>
          <w:color w:val="auto"/>
        </w:rPr>
        <w:t xml:space="preserve"> at week 4, compared to placebo plus tiotropium. The improvements </w:t>
      </w:r>
      <w:r>
        <w:rPr>
          <w:rFonts w:ascii="Arial" w:cs="Arial" w:eastAsia="Arial" w:hAnsi="Arial"/>
          <w:sz w:val="14"/>
          <w:szCs w:val="14"/>
          <w:color w:val="0D0D0D"/>
        </w:rPr>
        <w:t>ranged from 78 mL for the 0.375 mg dose (p=0.0368) to 124 mL for the 3.0 mg dose</w:t>
      </w:r>
      <w:r>
        <w:rPr>
          <w:rFonts w:ascii="Arial" w:cs="Arial" w:eastAsia="Arial" w:hAnsi="Arial"/>
          <w:sz w:val="14"/>
          <w:szCs w:val="14"/>
          <w:color w:val="auto"/>
        </w:rPr>
        <w:t xml:space="preserve"> </w:t>
      </w:r>
      <w:r>
        <w:rPr>
          <w:rFonts w:ascii="Arial" w:cs="Arial" w:eastAsia="Arial" w:hAnsi="Arial"/>
          <w:sz w:val="14"/>
          <w:szCs w:val="14"/>
          <w:color w:val="0D0D0D"/>
        </w:rPr>
        <w:t>(p=0.0008) and were maintained over the 4-week study period. Dose-dependent improvements in lung function were observed on both average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0-4 hours and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0-12 hours. There was also a statistically significant improvement in average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0-12 hours of 87 mL for the 3.0 mg dose (p=0.0111), which we believe is</w:t>
      </w:r>
    </w:p>
    <w:p>
      <w:pPr>
        <w:spacing w:after="0" w:line="1" w:lineRule="exact"/>
        <w:rPr>
          <w:sz w:val="20"/>
          <w:szCs w:val="20"/>
          <w:color w:val="auto"/>
        </w:rPr>
      </w:pPr>
    </w:p>
    <w:p>
      <w:pPr>
        <w:ind w:left="260" w:right="120"/>
        <w:spacing w:after="0" w:line="231" w:lineRule="auto"/>
        <w:rPr>
          <w:sz w:val="20"/>
          <w:szCs w:val="20"/>
          <w:color w:val="auto"/>
        </w:rPr>
      </w:pPr>
      <w:r>
        <w:rPr>
          <w:rFonts w:ascii="Arial" w:cs="Arial" w:eastAsia="Arial" w:hAnsi="Arial"/>
          <w:sz w:val="14"/>
          <w:szCs w:val="14"/>
          <w:color w:val="0D0D0D"/>
        </w:rPr>
        <w:t xml:space="preserve">supportive of twice daily dosing. </w:t>
      </w:r>
      <w:r>
        <w:rPr>
          <w:rFonts w:ascii="Arial" w:cs="Arial" w:eastAsia="Arial" w:hAnsi="Arial"/>
          <w:sz w:val="14"/>
          <w:szCs w:val="14"/>
          <w:color w:val="000000"/>
        </w:rPr>
        <w:t>Area Under the Curve over 0-12 hours post dose, or FEV</w:t>
      </w:r>
      <w:r>
        <w:rPr>
          <w:rFonts w:ascii="Arial" w:cs="Arial" w:eastAsia="Arial" w:hAnsi="Arial"/>
          <w:sz w:val="17"/>
          <w:szCs w:val="17"/>
          <w:color w:val="000000"/>
          <w:vertAlign w:val="subscript"/>
        </w:rPr>
        <w:t>1</w:t>
      </w:r>
      <w:r>
        <w:rPr>
          <w:rFonts w:ascii="Arial" w:cs="Arial" w:eastAsia="Arial" w:hAnsi="Arial"/>
          <w:sz w:val="14"/>
          <w:szCs w:val="14"/>
          <w:color w:val="0D0D0D"/>
        </w:rPr>
        <w:t xml:space="preserve"> </w:t>
      </w:r>
      <w:r>
        <w:rPr>
          <w:rFonts w:ascii="Arial" w:cs="Arial" w:eastAsia="Arial" w:hAnsi="Arial"/>
          <w:sz w:val="14"/>
          <w:szCs w:val="14"/>
          <w:color w:val="000000"/>
        </w:rPr>
        <w:t>AUC</w:t>
      </w:r>
      <w:r>
        <w:rPr>
          <w:rFonts w:ascii="Arial" w:cs="Arial" w:eastAsia="Arial" w:hAnsi="Arial"/>
          <w:sz w:val="17"/>
          <w:szCs w:val="17"/>
          <w:color w:val="000000"/>
          <w:vertAlign w:val="subscript"/>
        </w:rPr>
        <w:t>(0-12hr)</w:t>
      </w:r>
      <w:r>
        <w:rPr>
          <w:rFonts w:ascii="Arial" w:cs="Arial" w:eastAsia="Arial" w:hAnsi="Arial"/>
          <w:sz w:val="14"/>
          <w:szCs w:val="14"/>
          <w:color w:val="000000"/>
        </w:rPr>
        <w:t>, was calculated using the trapezoidal rule, divided by the observation</w:t>
      </w:r>
      <w:r>
        <w:rPr>
          <w:rFonts w:ascii="Arial" w:cs="Arial" w:eastAsia="Arial" w:hAnsi="Arial"/>
          <w:sz w:val="14"/>
          <w:szCs w:val="14"/>
          <w:color w:val="0D0D0D"/>
        </w:rPr>
        <w:t xml:space="preserve"> </w:t>
      </w:r>
      <w:r>
        <w:rPr>
          <w:rFonts w:ascii="Arial" w:cs="Arial" w:eastAsia="Arial" w:hAnsi="Arial"/>
          <w:sz w:val="14"/>
          <w:szCs w:val="14"/>
          <w:color w:val="000000"/>
        </w:rPr>
        <w:t>time (12 hours) to report in mL, a measure of the aggregate effect over 12 hours.</w:t>
      </w:r>
    </w:p>
    <w:p>
      <w:pPr>
        <w:spacing w:after="0" w:line="94" w:lineRule="exact"/>
        <w:rPr>
          <w:sz w:val="20"/>
          <w:szCs w:val="20"/>
          <w:color w:val="auto"/>
        </w:rPr>
      </w:pPr>
    </w:p>
    <w:p>
      <w:pPr>
        <w:ind w:left="260" w:right="20" w:hanging="255"/>
        <w:spacing w:after="0" w:line="262" w:lineRule="auto"/>
        <w:tabs>
          <w:tab w:leader="none" w:pos="260" w:val="left"/>
        </w:tabs>
        <w:numPr>
          <w:ilvl w:val="0"/>
          <w:numId w:val="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Differentiated mechanism of action in a single compound. </w:t>
      </w:r>
      <w:r>
        <w:rPr>
          <w:rFonts w:ascii="Arial" w:cs="Arial" w:eastAsia="Arial" w:hAnsi="Arial"/>
          <w:sz w:val="14"/>
          <w:szCs w:val="14"/>
          <w:color w:val="auto"/>
        </w:rPr>
        <w:t>Ensifentrine is an investigational potential first-in-class, inhaled, dual inhibitor of PDE3 and PDE4 that 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designed to act as both a bronchodilator and an anti-inflammatory agent in a single compound and stimulate the CFTR. Dual inhibition of PDE3 and PDE4 has been shown to be more effective than inhibition of either PDE alone at relaxing airway smooth muscle cells and suppressing the activation and functions of pro-inflammatory cells residing in the lung, both of which are commonly understood to play a significant role in COPD, CF and asthma. In addition, through this dual mechanism, ensifentrine is also designed to stimulate the CFTR, which we believe is important in the treatment of CF and potentially COPD. We believe that ensifentrine, if successfully developed and approved, has the potential to be a more effective and better tolerated treatment for COPD than existing treatments, including roflumilast, the only currently approved PDE4 inhibitor. This dual mechanism of action also suggests that ensifentrine could be a useful treatment for patients with moderate to severe asthma that remain symptomatic despite being treated with standard-of-care.</w:t>
      </w:r>
    </w:p>
    <w:p>
      <w:pPr>
        <w:spacing w:after="0" w:line="81" w:lineRule="exact"/>
        <w:rPr>
          <w:rFonts w:ascii="Arial" w:cs="Arial" w:eastAsia="Arial" w:hAnsi="Arial"/>
          <w:sz w:val="14"/>
          <w:szCs w:val="14"/>
          <w:b w:val="1"/>
          <w:bCs w:val="1"/>
          <w:i w:val="1"/>
          <w:iCs w:val="1"/>
          <w:color w:val="auto"/>
        </w:rPr>
      </w:pPr>
    </w:p>
    <w:p>
      <w:pPr>
        <w:ind w:left="260" w:hanging="255"/>
        <w:spacing w:after="0" w:line="252" w:lineRule="auto"/>
        <w:tabs>
          <w:tab w:leader="none" w:pos="260" w:val="left"/>
        </w:tabs>
        <w:numPr>
          <w:ilvl w:val="0"/>
          <w:numId w:val="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Established regulatory pathway and well-defined clinical endpoints. </w:t>
      </w:r>
      <w:r>
        <w:rPr>
          <w:rFonts w:ascii="Arial" w:cs="Arial" w:eastAsia="Arial" w:hAnsi="Arial"/>
          <w:sz w:val="14"/>
          <w:szCs w:val="14"/>
          <w:color w:val="auto"/>
        </w:rPr>
        <w:t>Our planned clinical trials for ensifentrine for the maintenance treatment of COPD will be designed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evaluate the compound's effect on FEV</w:t>
      </w:r>
      <w:r>
        <w:rPr>
          <w:rFonts w:ascii="Arial" w:cs="Arial" w:eastAsia="Arial" w:hAnsi="Arial"/>
          <w:sz w:val="17"/>
          <w:szCs w:val="17"/>
          <w:color w:val="auto"/>
          <w:vertAlign w:val="subscript"/>
        </w:rPr>
        <w:t>1</w:t>
      </w:r>
      <w:r>
        <w:rPr>
          <w:rFonts w:ascii="Arial" w:cs="Arial" w:eastAsia="Arial" w:hAnsi="Arial"/>
          <w:sz w:val="14"/>
          <w:szCs w:val="14"/>
          <w:color w:val="auto"/>
        </w:rPr>
        <w:t>, COPD symptoms, exacerbations and its duration of action. We will also monitor COPD-like symptoms as an improvement would be considered very important to these patients. These clinical endpoints are commonly used in clinical trials for respiratory diseases and have been used by other companies in obtaining FDA approval of drugs addressing respiratory diseases.</w:t>
      </w:r>
    </w:p>
    <w:p>
      <w:pPr>
        <w:spacing w:after="0" w:line="85" w:lineRule="exact"/>
        <w:rPr>
          <w:rFonts w:ascii="Arial" w:cs="Arial" w:eastAsia="Arial" w:hAnsi="Arial"/>
          <w:sz w:val="14"/>
          <w:szCs w:val="14"/>
          <w:b w:val="1"/>
          <w:bCs w:val="1"/>
          <w:i w:val="1"/>
          <w:iCs w:val="1"/>
          <w:color w:val="auto"/>
        </w:rPr>
      </w:pPr>
    </w:p>
    <w:p>
      <w:pPr>
        <w:ind w:left="260" w:right="140" w:hanging="255"/>
        <w:spacing w:after="0" w:line="265" w:lineRule="auto"/>
        <w:tabs>
          <w:tab w:leader="none" w:pos="260" w:val="left"/>
        </w:tabs>
        <w:numPr>
          <w:ilvl w:val="0"/>
          <w:numId w:val="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Addressing significant market opportunities. </w:t>
      </w:r>
      <w:r>
        <w:rPr>
          <w:rFonts w:ascii="Arial" w:cs="Arial" w:eastAsia="Arial" w:hAnsi="Arial"/>
          <w:sz w:val="14"/>
          <w:szCs w:val="14"/>
          <w:color w:val="auto"/>
        </w:rPr>
        <w:t>Despite the availability of bronchodilators and anti-inflammatory corticosteroid or PDE4 inhibitor treatments for COPD,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many patients continue to suffer from significant symptoms and may experience acute exacerbations leading to hospitalization. Furthermore, current therapies have not demonstrated an ability to change the progressive decline in lung function or reduce the mortality associated with COPD. We believe a large market opportunity with significant unmet medical need exists in COPD and especially in moderate to severe patients with limited further treatment alternatives. We believe the properties of ensifentrine, namely bronchodilation and the reduction of COPD-like symptoms, make it attractive as an important and novel potential treatment of patients with COPD, as well as for patients with CF and asthma. We plan to seek orphan drug designation of ensifentrine for the treatment of CF.</w:t>
      </w:r>
    </w:p>
    <w:p>
      <w:pPr>
        <w:spacing w:after="0" w:line="75" w:lineRule="exact"/>
        <w:rPr>
          <w:rFonts w:ascii="Arial" w:cs="Arial" w:eastAsia="Arial" w:hAnsi="Arial"/>
          <w:sz w:val="14"/>
          <w:szCs w:val="14"/>
          <w:b w:val="1"/>
          <w:bCs w:val="1"/>
          <w:i w:val="1"/>
          <w:iCs w:val="1"/>
          <w:color w:val="auto"/>
        </w:rPr>
      </w:pPr>
    </w:p>
    <w:p>
      <w:pPr>
        <w:ind w:left="260" w:right="120" w:hanging="255"/>
        <w:spacing w:after="0" w:line="277" w:lineRule="auto"/>
        <w:tabs>
          <w:tab w:leader="none" w:pos="260" w:val="left"/>
        </w:tabs>
        <w:numPr>
          <w:ilvl w:val="0"/>
          <w:numId w:val="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Experienced management team. </w:t>
      </w:r>
      <w:r>
        <w:rPr>
          <w:rFonts w:ascii="Arial" w:cs="Arial" w:eastAsia="Arial" w:hAnsi="Arial"/>
          <w:sz w:val="14"/>
          <w:szCs w:val="14"/>
          <w:color w:val="auto"/>
        </w:rPr>
        <w:t>Members of our management team and board of directors have extensive experience in large pharmaceutical and biotechnology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in respiratory product development from drug discovery through commercialization, and have played important roles in the development and commercialization of several approved respiratory treatments. We believe that the experience of our management team and our network of relationships within the industry and medical</w:t>
      </w:r>
    </w:p>
    <w:p>
      <w:pPr>
        <w:spacing w:after="0" w:line="148"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00"/>
          </w:cols>
          <w:pgMar w:left="480" w:top="419" w:right="219" w:bottom="1440" w:gutter="0" w:footer="0" w:header="0"/>
        </w:sectPr>
      </w:pPr>
    </w:p>
    <w:bookmarkStart w:id="58" w:name="page59"/>
    <w:bookmarkEnd w:id="58"/>
    <w:p>
      <w:pPr>
        <w:ind w:left="520"/>
        <w:spacing w:after="0"/>
        <w:rPr>
          <w:sz w:val="20"/>
          <w:szCs w:val="20"/>
          <w:color w:val="auto"/>
        </w:rPr>
      </w:pPr>
      <w:r>
        <w:rPr>
          <w:rFonts w:ascii="Arial" w:cs="Arial" w:eastAsia="Arial" w:hAnsi="Arial"/>
          <w:sz w:val="14"/>
          <w:szCs w:val="14"/>
          <w:color w:val="auto"/>
        </w:rPr>
        <w:t>community provides us with insight into product development and identification of other opportunities in the respiratory field.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245"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We intend to become a leading biopharmaceutical company focused on the treatment of respiratory diseases with significant unmet medical needs. The key elements of our strategy to achieve this goal include:</w:t>
      </w:r>
    </w:p>
    <w:p>
      <w:pPr>
        <w:spacing w:after="0" w:line="178" w:lineRule="exact"/>
        <w:rPr>
          <w:sz w:val="20"/>
          <w:szCs w:val="20"/>
          <w:color w:val="auto"/>
        </w:rPr>
      </w:pPr>
    </w:p>
    <w:p>
      <w:pPr>
        <w:ind w:left="520" w:right="20" w:hanging="255"/>
        <w:spacing w:after="0" w:line="265" w:lineRule="auto"/>
        <w:tabs>
          <w:tab w:leader="none" w:pos="520" w:val="left"/>
        </w:tabs>
        <w:numPr>
          <w:ilvl w:val="0"/>
          <w:numId w:val="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Advance the development of nebulized ensifentrine for the maintenance treatment of COPD. </w:t>
      </w:r>
      <w:r>
        <w:rPr>
          <w:rFonts w:ascii="Arial" w:cs="Arial" w:eastAsia="Arial" w:hAnsi="Arial"/>
          <w:sz w:val="14"/>
          <w:szCs w:val="14"/>
          <w:color w:val="auto"/>
        </w:rPr>
        <w:t>We intend to initially develop nebulized ensifentrine for the maintenance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treatment of COPD. We believe there is a large market opportunity for ensifentrine as a maintenance treatment as many of the moderate-to-severe COPD patients continue to be uncontrolled and symptomatic despite treatment with currently available medications. We believe that we have validated the dose and commercial positioning of ensifentrine in our comprehensive Phase 2 clinical trial program, and we plan to participate in an End of Phase 2 Meeting with the FDA to obtain guidance on our planned Phase 3 program, which we anticipate will include two large-scale pivotal studies. We expect to meet with the FDA for our End of Phase 2 Meeting in the first half of 2020, and initiate our Phase 3 clinical studies in the third quarter of 2020, subject to FDA feedback and to funding.</w:t>
      </w:r>
    </w:p>
    <w:p>
      <w:pPr>
        <w:spacing w:after="0" w:line="91" w:lineRule="exact"/>
        <w:rPr>
          <w:rFonts w:ascii="Arial" w:cs="Arial" w:eastAsia="Arial" w:hAnsi="Arial"/>
          <w:sz w:val="14"/>
          <w:szCs w:val="14"/>
          <w:b w:val="1"/>
          <w:bCs w:val="1"/>
          <w:i w:val="1"/>
          <w:iCs w:val="1"/>
          <w:color w:val="auto"/>
        </w:rPr>
      </w:pPr>
    </w:p>
    <w:p>
      <w:pPr>
        <w:ind w:left="520" w:right="300" w:hanging="255"/>
        <w:spacing w:after="0" w:line="239"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have shown that ensifentrine can provide additional bronchodilation as add-on to patients treated with maximum approved bronchodilator therapy (LAMA/LABA), as measured by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and residual volume, over a 24-hour period and, in particular, following the evening dose. This data is very encouraging in a large but hard-to-treat population who have very limited alternative treatment options.</w:t>
      </w:r>
    </w:p>
    <w:p>
      <w:pPr>
        <w:spacing w:after="0" w:line="109" w:lineRule="exact"/>
        <w:rPr>
          <w:rFonts w:ascii="Arial" w:cs="Arial" w:eastAsia="Arial" w:hAnsi="Arial"/>
          <w:sz w:val="14"/>
          <w:szCs w:val="14"/>
          <w:color w:val="auto"/>
        </w:rPr>
      </w:pPr>
    </w:p>
    <w:p>
      <w:pPr>
        <w:ind w:left="520" w:right="40" w:hanging="255"/>
        <w:spacing w:after="0" w:line="262"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Taking into account the data from all clinical trials conducted with ensifentrine to date, interactions with regulatory authorities and our commercial assessment of different development options for nebulized ensifentrine, we are focusing our development plans on proceeding rapidly towards Phase 3 clinical trials with nebulized ensifentrine for the maintenance treatment of COPD. Therefore our focus is currently on the COPD maintenance market as a priority in the short term over progressing our planned trials to evaluate nebulized ensifentrine as a treatment for acute exacerbations of COPD hospitalized patients and as a treatment for CF and asthma patients.</w:t>
      </w:r>
    </w:p>
    <w:p>
      <w:pPr>
        <w:spacing w:after="0" w:line="78" w:lineRule="exact"/>
        <w:rPr>
          <w:sz w:val="20"/>
          <w:szCs w:val="20"/>
          <w:color w:val="auto"/>
        </w:rPr>
      </w:pPr>
    </w:p>
    <w:p>
      <w:pPr>
        <w:ind w:left="520" w:right="100" w:hanging="255"/>
        <w:spacing w:after="0" w:line="270" w:lineRule="auto"/>
        <w:tabs>
          <w:tab w:leader="none" w:pos="520" w:val="left"/>
        </w:tabs>
        <w:numPr>
          <w:ilvl w:val="0"/>
          <w:numId w:val="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Adapt the current nebulized formulation and presentation of ensifentrine. </w:t>
      </w:r>
      <w:r>
        <w:rPr>
          <w:rFonts w:ascii="Arial" w:cs="Arial" w:eastAsia="Arial" w:hAnsi="Arial"/>
          <w:sz w:val="14"/>
          <w:szCs w:val="14"/>
          <w:color w:val="auto"/>
        </w:rPr>
        <w:t>The ensifentrine suspension for nebulized administration has been presented in a glass vial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a flip, tear-up cap in clinical studies to date. This format is adequate for clinical trials but patient acceptance in a commercial setting is expected to be improved by a switch to presenting the suspension formulation of ensifentrine in plastic ampules, which is also more cost effective for manufacturing in larger volumes. A unit dose plastic ampule presentation format for the ensifentrine nebulizer suspension has been under development, and we are positioning this for use in Phase 3 clinical trials.</w:t>
      </w:r>
    </w:p>
    <w:p>
      <w:pPr>
        <w:spacing w:after="0" w:line="73" w:lineRule="exact"/>
        <w:rPr>
          <w:sz w:val="20"/>
          <w:szCs w:val="20"/>
          <w:color w:val="auto"/>
        </w:rPr>
      </w:pPr>
    </w:p>
    <w:p>
      <w:pPr>
        <w:ind w:left="520" w:right="80" w:hanging="255"/>
        <w:spacing w:after="0" w:line="265" w:lineRule="auto"/>
        <w:tabs>
          <w:tab w:leader="none" w:pos="520" w:val="left"/>
        </w:tabs>
        <w:numPr>
          <w:ilvl w:val="0"/>
          <w:numId w:val="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Develop DPI and MDI formulations of ensifentrine. </w:t>
      </w:r>
      <w:r>
        <w:rPr>
          <w:rFonts w:ascii="Arial" w:cs="Arial" w:eastAsia="Arial" w:hAnsi="Arial"/>
          <w:sz w:val="14"/>
          <w:szCs w:val="14"/>
          <w:color w:val="auto"/>
        </w:rPr>
        <w:t>In addition to our nebulized formulation of ensifentrine, we are developing ensifentrine in both DPI and MDI</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formulations for the maintenance treatment of COPD. We believe the development of DPI and MDI formulations has the potential to substantially increase the market opportunity for ensifentrine, if approved, for the maintenance treatment of COPD. We have now developed DPI and MDI formulations of ensifentrine, and have obtained favorable Phase 2 clinical trial results for our DPI formulation. We expect complete results from our Phase 2 MDI trial in the third quarter of 2020, and we are seeking partnerships with larger commercial-stage pharmaceutical and biotechnology companies to advance these programs further, including potential opportunities to explore the development of ensifentrine in these formulations for the treatment of asthma and other respiratory diseases.</w:t>
      </w:r>
    </w:p>
    <w:p>
      <w:pPr>
        <w:spacing w:after="0" w:line="75" w:lineRule="exact"/>
        <w:rPr>
          <w:rFonts w:ascii="Arial" w:cs="Arial" w:eastAsia="Arial" w:hAnsi="Arial"/>
          <w:sz w:val="14"/>
          <w:szCs w:val="14"/>
          <w:b w:val="1"/>
          <w:bCs w:val="1"/>
          <w:i w:val="1"/>
          <w:iCs w:val="1"/>
          <w:color w:val="auto"/>
        </w:rPr>
      </w:pPr>
    </w:p>
    <w:p>
      <w:pPr>
        <w:ind w:left="520" w:right="20" w:hanging="255"/>
        <w:spacing w:after="0" w:line="178" w:lineRule="exact"/>
        <w:tabs>
          <w:tab w:leader="none" w:pos="520" w:val="left"/>
        </w:tabs>
        <w:numPr>
          <w:ilvl w:val="0"/>
          <w:numId w:val="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Develop ensifentrine for the treatment of CF. </w:t>
      </w:r>
      <w:r>
        <w:rPr>
          <w:rFonts w:ascii="Arial" w:cs="Arial" w:eastAsia="Arial" w:hAnsi="Arial"/>
          <w:sz w:val="14"/>
          <w:szCs w:val="14"/>
          <w:color w:val="auto"/>
        </w:rPr>
        <w:t>We have completed a Phase 2a single</w:t>
      </w:r>
      <w:r>
        <w:rPr>
          <w:rFonts w:ascii="MS PGothic" w:cs="MS PGothic" w:eastAsia="MS PGothic" w:hAnsi="MS PGothic"/>
          <w:sz w:val="14"/>
          <w:szCs w:val="14"/>
          <w:color w:val="auto"/>
        </w:rPr>
        <w:t>‑</w:t>
      </w:r>
      <w:r>
        <w:rPr>
          <w:rFonts w:ascii="Arial" w:cs="Arial" w:eastAsia="Arial" w:hAnsi="Arial"/>
          <w:sz w:val="14"/>
          <w:szCs w:val="14"/>
          <w:color w:val="auto"/>
        </w:rPr>
        <w:t>dose trial in the United Kingdom of ensifentrine in ten CF patients to evaluate the PK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PD profile and tolerability of ensifentrine, as well as examine the effect on lung function. Ensifentrine demonstrated a statistically significant bronchodilator effect, a PK profile that is consistent with that observed in patients with COPD while being well tolerated.</w:t>
      </w:r>
    </w:p>
    <w:p>
      <w:pPr>
        <w:spacing w:after="0" w:line="93" w:lineRule="exact"/>
        <w:rPr>
          <w:rFonts w:ascii="Arial" w:cs="Arial" w:eastAsia="Arial" w:hAnsi="Arial"/>
          <w:sz w:val="14"/>
          <w:szCs w:val="14"/>
          <w:b w:val="1"/>
          <w:bCs w:val="1"/>
          <w:i w:val="1"/>
          <w:iCs w:val="1"/>
          <w:color w:val="auto"/>
        </w:rPr>
      </w:pPr>
    </w:p>
    <w:p>
      <w:pPr>
        <w:jc w:val="both"/>
        <w:ind w:left="520" w:hanging="255"/>
        <w:spacing w:after="0" w:line="277" w:lineRule="auto"/>
        <w:tabs>
          <w:tab w:leader="none" w:pos="520" w:val="left"/>
        </w:tabs>
        <w:numPr>
          <w:ilvl w:val="0"/>
          <w:numId w:val="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Pursue development of ensifentrine in other forms of respiratory disease. </w:t>
      </w:r>
      <w:r>
        <w:rPr>
          <w:rFonts w:ascii="Arial" w:cs="Arial" w:eastAsia="Arial" w:hAnsi="Arial"/>
          <w:sz w:val="14"/>
          <w:szCs w:val="14"/>
          <w:color w:val="auto"/>
        </w:rPr>
        <w:t>We believe that ensifentrine's properties as an inhaled dual inhibitor of PDE3 and PDE4 give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it broad potential applicability in the treatment of other respiratory diseases. We may explore development of ensifentrine to treat other forms of respiratory disease following development of ensifentrine for the treatment of COPD, CF and asthma.</w:t>
      </w:r>
    </w:p>
    <w:p>
      <w:pPr>
        <w:spacing w:after="0" w:line="67" w:lineRule="exact"/>
        <w:rPr>
          <w:rFonts w:ascii="Arial" w:cs="Arial" w:eastAsia="Arial" w:hAnsi="Arial"/>
          <w:sz w:val="14"/>
          <w:szCs w:val="14"/>
          <w:b w:val="1"/>
          <w:bCs w:val="1"/>
          <w:i w:val="1"/>
          <w:iCs w:val="1"/>
          <w:color w:val="auto"/>
        </w:rPr>
      </w:pPr>
    </w:p>
    <w:p>
      <w:pPr>
        <w:ind w:left="520" w:right="480" w:hanging="255"/>
        <w:spacing w:after="0" w:line="297" w:lineRule="auto"/>
        <w:tabs>
          <w:tab w:leader="none" w:pos="520" w:val="left"/>
        </w:tabs>
        <w:numPr>
          <w:ilvl w:val="0"/>
          <w:numId w:val="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Seek strategic collaborative relationships. </w:t>
      </w:r>
      <w:r>
        <w:rPr>
          <w:rFonts w:ascii="Arial" w:cs="Arial" w:eastAsia="Arial" w:hAnsi="Arial"/>
          <w:sz w:val="14"/>
          <w:szCs w:val="14"/>
          <w:color w:val="auto"/>
        </w:rPr>
        <w:t>We may seek strategic collaborations with market-leading biopharmaceutical companies to develop and commercialize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ensifentrine. We believe these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419" w:right="219" w:bottom="1440" w:gutter="0" w:footer="0" w:header="0"/>
        </w:sectPr>
      </w:pPr>
    </w:p>
    <w:bookmarkStart w:id="59" w:name="page60"/>
    <w:bookmarkEnd w:id="59"/>
    <w:p>
      <w:pPr>
        <w:ind w:left="520"/>
        <w:spacing w:after="0" w:line="273" w:lineRule="auto"/>
        <w:rPr>
          <w:sz w:val="20"/>
          <w:szCs w:val="20"/>
          <w:color w:val="auto"/>
        </w:rPr>
      </w:pPr>
      <w:r>
        <w:rPr>
          <w:rFonts w:ascii="Arial" w:cs="Arial" w:eastAsia="Arial" w:hAnsi="Arial"/>
          <w:sz w:val="14"/>
          <w:szCs w:val="14"/>
          <w:color w:val="auto"/>
        </w:rPr>
        <w:t>collaborations could provide significant funding to advance the development of ensifentrine while allowing us to benefit from the development or commercialization expertise of our collaborators.</w:t>
      </w:r>
    </w:p>
    <w:p>
      <w:pPr>
        <w:spacing w:after="0" w:line="221" w:lineRule="exact"/>
        <w:rPr>
          <w:sz w:val="20"/>
          <w:szCs w:val="20"/>
          <w:color w:val="auto"/>
        </w:rPr>
      </w:pPr>
    </w:p>
    <w:p>
      <w:pPr>
        <w:ind w:left="520" w:right="80" w:hanging="255"/>
        <w:spacing w:after="0" w:line="277" w:lineRule="auto"/>
        <w:tabs>
          <w:tab w:leader="none" w:pos="520" w:val="left"/>
        </w:tabs>
        <w:numPr>
          <w:ilvl w:val="0"/>
          <w:numId w:val="3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Acquire or in-license product candidates for the treatment of respiratory diseases. </w:t>
      </w:r>
      <w:r>
        <w:rPr>
          <w:rFonts w:ascii="Arial" w:cs="Arial" w:eastAsia="Arial" w:hAnsi="Arial"/>
          <w:sz w:val="14"/>
          <w:szCs w:val="14"/>
          <w:color w:val="auto"/>
        </w:rPr>
        <w:t>We plan to leverage our respiratory disease expertise to identify and in-license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acquire additional clinical-stage product candidates that we believe have the potential to become novel treatments for respiratory diseases with significant unmet medical needs.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Ligand (formerly Vernalis) Agreement</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In February 2005, Rhinopharma Limited, or Rhinopharma, entered into an assignment and license agreement with Vernalis Development Limited, or Vernalis (in October 2018, Vernalis was acquired by, and became a wholly owned subsidiary of, Ligand Pharmaceuticals, Inc., or Ligand). We refer to the assignment and license agreement as the Ligand Agreement. In 2006, we acquired Rhinopharma and all of its rights and liabilities under the Ligand Agreement. Pursuant to the Ligand Agreement, Ligand has assigned to us all of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76"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Under the Ligand Agreement, we are obligated to pay Ligand a milestone payment of £5.0 million upon the first approval of any regulatory authority for the commercialization of any Licensed Product, and a portion equal to a percentage in the mid-twenties of any consideration received from any of our sublicensees for Ligand Patents or Ligand know-how, excluding royalties. We must also pay Ligand, on a Licensed Product-by-Licensed Product and country-by-country basis, a low to mid-single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Ligand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Ligand Agreement continues until terminated by either party in accordance with its terms. Either party may terminate the Ligand Agreement for an uncured material breach, bankruptcy or insolvency of the other party.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rely on, and expect to continue to rely, on third-party contract manufacturing organizations, or CMOs, for the supply of current good manufacturing practices, or cGMP, compliant clinical trial materials of ensifentrine, and any future product candidates, as well as for commercial quantities of ensifentrine and any future product candidates, if approved. We currently do not have any agreements for the commercial production of ensifentrine. While we may contract with other CMOs in the future, we currently contract with only one pharmaceuticals CMO for the manufacture of ensifentrine drug substance. For ensifentrine drug product in our nebulized formulation, we currently have one CMO for the manufacture in glass vials and one CMO for the manufacture of the same nebulized formulation in plastic ampules. Similarly, we currently have one CMO for our DPI development and manufacturing program and one CMO for our MDI development and manufacturing program. We believe that the ensifentrine manufacturing processes can be transferred to other CMOs for the production of clinical and commercial supplies of ensifentrine in the ordinary course of business.</w:t>
      </w:r>
    </w:p>
    <w:p>
      <w:pPr>
        <w:spacing w:after="0" w:line="77" w:lineRule="exact"/>
        <w:rPr>
          <w:sz w:val="20"/>
          <w:szCs w:val="20"/>
          <w:color w:val="auto"/>
        </w:rPr>
      </w:pPr>
    </w:p>
    <w:p>
      <w:pPr>
        <w:ind w:right="620"/>
        <w:spacing w:after="0" w:line="265" w:lineRule="auto"/>
        <w:rPr>
          <w:sz w:val="20"/>
          <w:szCs w:val="20"/>
          <w:color w:val="auto"/>
        </w:rPr>
      </w:pPr>
      <w:r>
        <w:rPr>
          <w:rFonts w:ascii="Arial" w:cs="Arial" w:eastAsia="Arial" w:hAnsi="Arial"/>
          <w:sz w:val="14"/>
          <w:szCs w:val="14"/>
          <w:color w:val="auto"/>
        </w:rPr>
        <w:t>Manufacturing of any product candidate is subject to extensive regulations that impose various procedural and documentation requirements governing record-keeping, manufacturing processes and controls, personnel, quality control, quality assurance, and quality by design among others. We require that all of our CMOs will manufacture ensifentrine in accordance with cGMP guidelines.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40"/>
          </w:cols>
          <w:pgMar w:left="220" w:top="419" w:right="2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Commercialization, Sales and Marketing</w:t>
      </w:r>
    </w:p>
    <w:p>
      <w:pPr>
        <w:spacing w:after="0" w:line="116"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believe ensifentrine, if successfully developed and approved, has the potential to address the unmet clinical need in a number of commercially attractive respiratory conditions and markets including the treatment of COPD in the maintenance and acute settings, asthma and CF. Based on market research, we believe that the key markets for ensifentrine, if approved, are the United States, European Union and China. Our commercial priority is to develop and launch ensifentrine for the United States. COPD maintenance setting, initially delivered via a standard jet nebulizer.</w:t>
      </w:r>
    </w:p>
    <w:p>
      <w:pPr>
        <w:spacing w:after="0" w:line="7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Ensifentrine's clinical profile offers the potential to further reduce COPD symptoms and exacerbations when added on top of current therapies. US physicians, responding to Verona Pharma market research, reported a willingness to prescribe ensifentrine on top of current therapies including patients currently receiving maximum available dual bronchodilatory therapy (LAMA plus LABA, with or without ICS). We believe 3 million US COPD patients are currently treated with dual bronchodilatory therapy, and of these approximately 1.2 million have uncontrolled disease and continue to experience debilitating symptoms of breathlessness and flare ups of disease called 'exacerbations', requiring hospitalization.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1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Ensifentrine is a unique, first-in-class drug candidate with both bronchodilator and anti-inflammatory properties. No other dual PDE3 and PDE4 inhibitor is on the market nor in clinical development, as far as we can ascertain. Generically, we consider ensifentrine's current closest potential competitors in the nebulized maintenance treatment of COPD in the U.S. market to be long-acting beta2-agonist bronchodilators (Brovana® and Perforomist®) and long-acting anti-muscarinic bronchodilators (Yupelri® and Lonhala®Magnair®). However, neither class of drug provides an anti-inflammatory effect. We consider ensifentrine's current closest potential competitors in the DPI/MDI maintenance treatment of COPD to be Symbicort®, a combination of a long-acting beta2-agonist bronchodilator and ICS marketed by AstraZeneca plc, Spiriva®, a long-acting anti-muscarinic bronchodilator marketed by Boehringer IngelheimGmbH, Advair®, a combination of a long-acting beta2-agonist bronchodilator and ICS marketed by GlaxoSmithKline plc, or GlaxoSmithKline, Utibron Neohaler®, a combination of a long-acting beta2-agonist and long-acting anti-muscarinic bronchodilator marketed by Novartis International AG, Breo®, a combination of a long-acting beta2-agonist bronchodilator and ICS marketed by GlaxoSmithKline, and Anoro®, a combination of a long-acting beta2-agonist bronchodilator and long-acting anti-muscarinic bronchodilator marketed by GlaxoSmithKline. A triple-combination therapy of a LAMA, a LABA and ICS, developed by GlaxoSmithKline and Chiesi Farmaceutici S.p.A. has been approved in the United States and the European Union and AstraZeneca also has a triple-therapy combination product that was approved in China in December 2019.</w:t>
      </w:r>
    </w:p>
    <w:p>
      <w:pPr>
        <w:spacing w:after="0" w:line="8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compete directly with biotechnology and pharmaceutical companies that focus on the treatment of respiratory diseases. We also face competition from academic research institutions, governmental agencies and other various public and private research institutions. We expect to face increasingly intense competition as new technologies become available. Any product candidates, including ensifentrine, that we successfully develop and commercialize will compete with existing therapies and new therapies that may become available in the future.</w:t>
      </w:r>
    </w:p>
    <w:p>
      <w:pPr>
        <w:spacing w:after="0" w:line="73"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Many of our competitors have significantly greater financial, manufacturing, marketing, drug development, technical and human resources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73" w:lineRule="exact"/>
        <w:rPr>
          <w:sz w:val="20"/>
          <w:szCs w:val="20"/>
          <w:color w:val="auto"/>
        </w:rPr>
      </w:pPr>
    </w:p>
    <w:p>
      <w:pPr>
        <w:ind w:right="620"/>
        <w:spacing w:after="0" w:line="273" w:lineRule="auto"/>
        <w:rPr>
          <w:sz w:val="20"/>
          <w:szCs w:val="20"/>
          <w:color w:val="auto"/>
        </w:rPr>
      </w:pPr>
      <w:r>
        <w:rPr>
          <w:rFonts w:ascii="Arial" w:cs="Arial" w:eastAsia="Arial" w:hAnsi="Arial"/>
          <w:sz w:val="14"/>
          <w:szCs w:val="14"/>
          <w:color w:val="auto"/>
        </w:rPr>
        <w:t>The key competitive factors affecting the success of ensifentrine, if approved, are likely to be its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65"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more effective, less expensive, more convenient or easier to administer, or have fewer or less severe side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ensifentrine achieves marketing approval, it may be priced at a significant premium over competitive products or be priced at a level that makes it difficult for us to supply ensifentrine in a cost-efficient and profitable way.</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40"/>
          </w:cols>
          <w:pgMar w:left="220" w:top="293" w:right="2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auto"/>
        </w:rPr>
        <w:t>Intellectual Property</w:t>
      </w:r>
    </w:p>
    <w:p>
      <w:pPr>
        <w:spacing w:after="0" w:line="116"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73"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As of February 6, 2020 our patent portfolio consisted of ten issued US patents, four pending US patent applications, thirty-seven issued foreign patents and fifty pending foreign applications including one patent application made under the Patent Cooperation Treaty. These patents and patent applications include claims directed to ensifentrine composition of matter, new dosage formulations and a crystalline polymorph, as well as methods of making and using ensifentrine in the treatment of respiratory diseases, with expected expiry dates between 2020 and 2040.</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 patent portfolio relating to ensifentrine includes ten patent families:</w:t>
      </w:r>
    </w:p>
    <w:p>
      <w:pPr>
        <w:spacing w:after="0" w:line="84" w:lineRule="exact"/>
        <w:rPr>
          <w:sz w:val="20"/>
          <w:szCs w:val="20"/>
          <w:color w:val="auto"/>
        </w:rPr>
      </w:pPr>
    </w:p>
    <w:p>
      <w:pPr>
        <w:ind w:left="520" w:right="480" w:hanging="255"/>
        <w:spacing w:after="0" w:line="294"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The first of these patent families relates to ensifentrine </w:t>
      </w:r>
      <w:r>
        <w:rPr>
          <w:rFonts w:ascii="Arial" w:cs="Arial" w:eastAsia="Arial" w:hAnsi="Arial"/>
          <w:sz w:val="14"/>
          <w:szCs w:val="14"/>
          <w:i w:val="1"/>
          <w:iCs w:val="1"/>
          <w:color w:val="auto"/>
        </w:rPr>
        <w:t>per se</w:t>
      </w:r>
      <w:r>
        <w:rPr>
          <w:rFonts w:ascii="Arial" w:cs="Arial" w:eastAsia="Arial" w:hAnsi="Arial"/>
          <w:sz w:val="14"/>
          <w:szCs w:val="14"/>
          <w:color w:val="auto"/>
        </w:rPr>
        <w:t>. As of February 6, 2020, this patent family includes granted patents in Australia, Brazil, Canada, China, Europe, Japan, Mexico as well as four granted patents in the United States. We expect patents in this family to expire in March 2020.</w:t>
      </w:r>
    </w:p>
    <w:p>
      <w:pPr>
        <w:spacing w:after="0" w:line="50" w:lineRule="exact"/>
        <w:rPr>
          <w:rFonts w:ascii="Arial" w:cs="Arial" w:eastAsia="Arial" w:hAnsi="Arial"/>
          <w:sz w:val="14"/>
          <w:szCs w:val="14"/>
          <w:color w:val="auto"/>
        </w:rPr>
      </w:pPr>
    </w:p>
    <w:p>
      <w:pPr>
        <w:ind w:left="520" w:right="20" w:hanging="255"/>
        <w:spacing w:after="0" w:line="265"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second of these patent families relates to a crystalline polymorph of ensifentrine. As of February 6, 2020, this patent family included granted patents in Australia, Canada, China, Europe, Indonesia, Israel, Japan, South Korea, Malaysia, Mexico, the Philippines, Russia, the United States and Taiwan and patent applications in Thailand and the Gulf Cooperation Council. We expect patents in this family to expire in August 2031.</w:t>
      </w:r>
    </w:p>
    <w:p>
      <w:pPr>
        <w:spacing w:after="0" w:line="70" w:lineRule="exact"/>
        <w:rPr>
          <w:rFonts w:ascii="Arial" w:cs="Arial" w:eastAsia="Arial" w:hAnsi="Arial"/>
          <w:sz w:val="14"/>
          <w:szCs w:val="14"/>
          <w:color w:val="auto"/>
        </w:rPr>
      </w:pPr>
    </w:p>
    <w:p>
      <w:pPr>
        <w:ind w:left="520" w:right="420" w:hanging="255"/>
        <w:spacing w:after="0" w:line="172" w:lineRule="exact"/>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third of these patent families relates to the combination of ensifentrine with a beta</w:t>
      </w:r>
      <w:r>
        <w:rPr>
          <w:rFonts w:ascii="MS PGothic" w:cs="MS PGothic" w:eastAsia="MS PGothic" w:hAnsi="MS PGothic"/>
          <w:sz w:val="14"/>
          <w:szCs w:val="14"/>
          <w:color w:val="auto"/>
        </w:rPr>
        <w:t>‑</w:t>
      </w:r>
      <w:r>
        <w:rPr>
          <w:rFonts w:ascii="Arial" w:cs="Arial" w:eastAsia="Arial" w:hAnsi="Arial"/>
          <w:sz w:val="14"/>
          <w:szCs w:val="14"/>
          <w:color w:val="auto"/>
        </w:rPr>
        <w:t>adrenergic receptor agonist. As of February 6, 2020, this patent family included granted patents in Europe and the United States and a patent application in Canada. We expect patents in this family to expire in March 2034.</w:t>
      </w:r>
    </w:p>
    <w:p>
      <w:pPr>
        <w:spacing w:after="0" w:line="87" w:lineRule="exact"/>
        <w:rPr>
          <w:rFonts w:ascii="Arial" w:cs="Arial" w:eastAsia="Arial" w:hAnsi="Arial"/>
          <w:sz w:val="14"/>
          <w:szCs w:val="14"/>
          <w:color w:val="auto"/>
        </w:rPr>
      </w:pPr>
    </w:p>
    <w:p>
      <w:pPr>
        <w:ind w:left="520" w:right="460" w:hanging="255"/>
        <w:spacing w:after="0" w:line="265"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fourth of these patent families relates to the combination of ensifentrine with a muscarinic receptor antagonist. As of February 6, 2020, this patent family included granted patents in Australia, Europe, Japan, Russia and the United States (two patents) and patent applications in Canada, China, India, South Korea, Mexico and Thailand. We expect patents in this family to expire in March 2034.</w:t>
      </w:r>
    </w:p>
    <w:p>
      <w:pPr>
        <w:spacing w:after="0" w:line="70" w:lineRule="exact"/>
        <w:rPr>
          <w:rFonts w:ascii="Arial" w:cs="Arial" w:eastAsia="Arial" w:hAnsi="Arial"/>
          <w:sz w:val="14"/>
          <w:szCs w:val="14"/>
          <w:color w:val="auto"/>
        </w:rPr>
      </w:pPr>
    </w:p>
    <w:p>
      <w:pPr>
        <w:ind w:left="520" w:right="80" w:hanging="255"/>
        <w:spacing w:after="0" w:line="265"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fifth of these patent families relates to certain specific salts of ensifentrine. As of February 6, 2020, this patent family included a granted patent in the United States and patent applications in Australia, Canada, China, Europe, Israel, Japan, Mexico, New Zealand, the United States (continuation application) and South Africa. We expect patents in this family to expire in February 2036.</w:t>
      </w:r>
    </w:p>
    <w:p>
      <w:pPr>
        <w:spacing w:after="0" w:line="70" w:lineRule="exact"/>
        <w:rPr>
          <w:rFonts w:ascii="Arial" w:cs="Arial" w:eastAsia="Arial" w:hAnsi="Arial"/>
          <w:sz w:val="14"/>
          <w:szCs w:val="14"/>
          <w:color w:val="auto"/>
        </w:rPr>
      </w:pPr>
    </w:p>
    <w:p>
      <w:pPr>
        <w:ind w:left="520" w:right="160" w:hanging="255"/>
        <w:spacing w:after="0" w:line="265"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sixth of these patent families relates to use of ensifentrine to treat certain diseases associated with the function of CFTR (including cystic fibrosis). As of February 6, 2020, this patent family included a granted patents in Europe (two patents) and Russia and patent applications in Australia, Canada, Israel, Mexico, the United States and South Africa. We expect patents in this family to expire in May 2035.</w:t>
      </w:r>
    </w:p>
    <w:p>
      <w:pPr>
        <w:spacing w:after="0" w:line="70" w:lineRule="exact"/>
        <w:rPr>
          <w:rFonts w:ascii="Arial" w:cs="Arial" w:eastAsia="Arial" w:hAnsi="Arial"/>
          <w:sz w:val="14"/>
          <w:szCs w:val="14"/>
          <w:color w:val="auto"/>
        </w:rPr>
      </w:pPr>
    </w:p>
    <w:p>
      <w:pPr>
        <w:ind w:left="520" w:right="60" w:hanging="255"/>
        <w:spacing w:after="0" w:line="261"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seventh of these patent families relates to an inhalable formulation of ensifentrine. As of February 6, 2020, this patent family included granted patents in Europe (two patents), Hong Kong (two patents), Israel, Russia, the United States, Singapore and South Africa and patent applications in Australia (parent and divisional applications), Brazil, Canada, China (parent and divisional applications), Europe (divisional application), Hong Kong (divisional application), Indonesia, India, Japan (parent and divisional applications), South Korea, Mexico, Malaysia, New Zealand, the Philippines, Thailand and the United States (continuation application). We expect patents in this family to expire in September 2035.</w:t>
      </w:r>
    </w:p>
    <w:p>
      <w:pPr>
        <w:spacing w:after="0" w:line="72" w:lineRule="exact"/>
        <w:rPr>
          <w:rFonts w:ascii="Arial" w:cs="Arial" w:eastAsia="Arial" w:hAnsi="Arial"/>
          <w:sz w:val="14"/>
          <w:szCs w:val="14"/>
          <w:color w:val="auto"/>
        </w:rPr>
      </w:pPr>
    </w:p>
    <w:p>
      <w:pPr>
        <w:jc w:val="both"/>
        <w:ind w:left="520" w:right="200" w:hanging="255"/>
        <w:spacing w:after="0" w:line="265"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eighth of these patent families relates to a new intermediate for the manufacture of ensifentrine and to processes useful for the production of ensifentrine and related compounds. As of February 6, 2020, this patent family included a granted European patent and patent applications in China, Hong Kong, India, Japan, United States and Taiwan. We expect patents in this family to expire in July 2037.</w:t>
      </w:r>
    </w:p>
    <w:p>
      <w:pPr>
        <w:spacing w:after="0" w:line="70" w:lineRule="exact"/>
        <w:rPr>
          <w:rFonts w:ascii="Arial" w:cs="Arial" w:eastAsia="Arial" w:hAnsi="Arial"/>
          <w:sz w:val="14"/>
          <w:szCs w:val="14"/>
          <w:color w:val="auto"/>
        </w:rPr>
      </w:pPr>
    </w:p>
    <w:p>
      <w:pPr>
        <w:ind w:left="520" w:hanging="255"/>
        <w:spacing w:after="0" w:line="273"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ninth of these patent families relates to a formulation comprising ensifentrine for a MDI. As of February 6, 2020, this patent family included a pending, unpublished PCT patent application and a pending, unpublished patent application in the United Kingdom. We expect patents in this family to expire in October 2039.</w:t>
      </w:r>
    </w:p>
    <w:p>
      <w:pPr>
        <w:spacing w:after="0" w:line="64" w:lineRule="exact"/>
        <w:rPr>
          <w:rFonts w:ascii="Arial" w:cs="Arial" w:eastAsia="Arial" w:hAnsi="Arial"/>
          <w:sz w:val="14"/>
          <w:szCs w:val="14"/>
          <w:color w:val="auto"/>
        </w:rPr>
      </w:pPr>
    </w:p>
    <w:p>
      <w:pPr>
        <w:ind w:left="520" w:right="60" w:hanging="255"/>
        <w:spacing w:after="0" w:line="273"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tenth of these patent families relates to a formulation comprising ensifentrine for DPI. As of February 6, 2020, this patent family included a pending, unpublished patent application in the United Kingdom. We expect patents in this family to expire in August 2040.</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293" w:right="219" w:bottom="1440" w:gutter="0" w:footer="0" w:header="0"/>
        </w:sectPr>
      </w:pPr>
    </w:p>
    <w:bookmarkStart w:id="62" w:name="page63"/>
    <w:bookmarkEnd w:id="62"/>
    <w:p>
      <w:pPr>
        <w:ind w:right="80"/>
        <w:spacing w:after="0" w:line="172" w:lineRule="exact"/>
        <w:rPr>
          <w:sz w:val="20"/>
          <w:szCs w:val="20"/>
          <w:color w:val="auto"/>
        </w:rPr>
      </w:pPr>
      <w:r>
        <w:rPr>
          <w:rFonts w:ascii="Arial" w:cs="Arial" w:eastAsia="Arial" w:hAnsi="Arial"/>
          <w:sz w:val="14"/>
          <w:szCs w:val="14"/>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w:t>
      </w:r>
      <w:r>
        <w:rPr>
          <w:rFonts w:ascii="MS PGothic" w:cs="MS PGothic" w:eastAsia="MS PGothic" w:hAnsi="MS PGothic"/>
          <w:sz w:val="14"/>
          <w:szCs w:val="14"/>
          <w:color w:val="auto"/>
        </w:rPr>
        <w:t>‑</w:t>
      </w:r>
      <w:r>
        <w:rPr>
          <w:rFonts w:ascii="Arial" w:cs="Arial" w:eastAsia="Arial" w:hAnsi="Arial"/>
          <w:sz w:val="14"/>
          <w:szCs w:val="14"/>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w:t>
      </w:r>
      <w:r>
        <w:rPr>
          <w:rFonts w:ascii="MS PGothic" w:cs="MS PGothic" w:eastAsia="MS PGothic" w:hAnsi="MS PGothic"/>
          <w:sz w:val="14"/>
          <w:szCs w:val="14"/>
          <w:color w:val="auto"/>
        </w:rPr>
        <w:t>‑</w:t>
      </w:r>
      <w:r>
        <w:rPr>
          <w:rFonts w:ascii="Arial" w:cs="Arial" w:eastAsia="Arial" w:hAnsi="Arial"/>
          <w:sz w:val="14"/>
          <w:szCs w:val="14"/>
          <w:color w:val="auto"/>
        </w:rPr>
        <w:t>related extensions, the availability of legal remedies in a particular country and the validity and enforceability of the patent.</w:t>
      </w:r>
    </w:p>
    <w:p>
      <w:pPr>
        <w:spacing w:after="0" w:line="92" w:lineRule="exact"/>
        <w:rPr>
          <w:sz w:val="20"/>
          <w:szCs w:val="20"/>
          <w:color w:val="auto"/>
        </w:rPr>
      </w:pPr>
    </w:p>
    <w:p>
      <w:pPr>
        <w:ind w:right="20"/>
        <w:spacing w:after="0" w:line="172" w:lineRule="exact"/>
        <w:rPr>
          <w:sz w:val="20"/>
          <w:szCs w:val="20"/>
          <w:color w:val="auto"/>
        </w:rPr>
      </w:pPr>
      <w:r>
        <w:rPr>
          <w:rFonts w:ascii="Arial" w:cs="Arial" w:eastAsia="Arial" w:hAnsi="Arial"/>
          <w:sz w:val="14"/>
          <w:szCs w:val="14"/>
          <w:color w:val="auto"/>
        </w:rPr>
        <w:t>Furthermore, we rely upon trade secrets and know</w:t>
      </w:r>
      <w:r>
        <w:rPr>
          <w:rFonts w:ascii="MS PGothic" w:cs="MS PGothic" w:eastAsia="MS PGothic" w:hAnsi="MS PGothic"/>
          <w:sz w:val="14"/>
          <w:szCs w:val="14"/>
          <w:color w:val="auto"/>
        </w:rPr>
        <w:t>‑</w:t>
      </w:r>
      <w:r>
        <w:rPr>
          <w:rFonts w:ascii="Arial" w:cs="Arial" w:eastAsia="Arial" w:hAnsi="Arial"/>
          <w:sz w:val="14"/>
          <w:szCs w:val="14"/>
          <w:color w:val="auto"/>
        </w:rPr>
        <w:t>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MS PGothic" w:cs="MS PGothic" w:eastAsia="MS PGothic" w:hAnsi="MS PGothic"/>
          <w:sz w:val="14"/>
          <w:szCs w:val="14"/>
          <w:color w:val="auto"/>
        </w:rPr>
        <w:t>‑</w:t>
      </w:r>
      <w:r>
        <w:rPr>
          <w:rFonts w:ascii="Arial" w:cs="Arial" w:eastAsia="Arial" w:hAnsi="Arial"/>
          <w:sz w:val="14"/>
          <w:szCs w:val="14"/>
          <w:color w:val="auto"/>
        </w:rPr>
        <w:t>how and inventions.</w:t>
      </w:r>
    </w:p>
    <w:p>
      <w:pPr>
        <w:spacing w:after="0" w:line="91" w:lineRule="exact"/>
        <w:rPr>
          <w:sz w:val="20"/>
          <w:szCs w:val="20"/>
          <w:color w:val="auto"/>
        </w:rPr>
      </w:pPr>
    </w:p>
    <w:p>
      <w:pPr>
        <w:ind w:right="60"/>
        <w:spacing w:after="0" w:line="172" w:lineRule="exact"/>
        <w:rPr>
          <w:sz w:val="20"/>
          <w:szCs w:val="20"/>
          <w:color w:val="auto"/>
        </w:rPr>
      </w:pPr>
      <w:r>
        <w:rPr>
          <w:rFonts w:ascii="Arial" w:cs="Arial" w:eastAsia="Arial" w:hAnsi="Arial"/>
          <w:sz w:val="14"/>
          <w:szCs w:val="14"/>
          <w:color w:val="auto"/>
        </w:rPr>
        <w:t>Our commercial success will also depend in part on not infringing upon the proprietary rights of third parties. It is uncertain whether the issuance of any third</w:t>
      </w:r>
      <w:r>
        <w:rPr>
          <w:rFonts w:ascii="MS PGothic" w:cs="MS PGothic" w:eastAsia="MS PGothic" w:hAnsi="MS PGothic"/>
          <w:sz w:val="14"/>
          <w:szCs w:val="14"/>
          <w:color w:val="auto"/>
        </w:rPr>
        <w:t>‑</w:t>
      </w:r>
      <w:r>
        <w:rPr>
          <w:rFonts w:ascii="Arial" w:cs="Arial" w:eastAsia="Arial" w:hAnsi="Arial"/>
          <w:sz w:val="14"/>
          <w:szCs w:val="14"/>
          <w:color w:val="auto"/>
        </w:rPr>
        <w:t>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“Item 3.D. Risk Factors - Risks Related to Intellectual Property and Information Technology.”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1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FDA and comparable regulatory authorities in state and local jurisdictions and in other countries impose substantial and burdensome requirements upon companies involved in the clinical development, manufacture, marketing and distribution of drug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Regulation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In the United States, the FDA regulates drugs under the Federal Food, Drug, and Cosmetic Act, or FDCA, and its implementing regulations.</w:t>
      </w:r>
    </w:p>
    <w:p>
      <w:pPr>
        <w:spacing w:after="0" w:line="98"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 process required by the FDA before a drug may be marketed in the United States generally involves the following:</w:t>
      </w:r>
    </w:p>
    <w:p>
      <w:pPr>
        <w:spacing w:after="0" w:line="98" w:lineRule="exact"/>
        <w:rPr>
          <w:sz w:val="20"/>
          <w:szCs w:val="20"/>
          <w:color w:val="auto"/>
        </w:rPr>
      </w:pPr>
    </w:p>
    <w:p>
      <w:pPr>
        <w:ind w:left="520" w:hanging="255"/>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Completion of pre-clinical laboratory tests, animal studies and formulation studies in compliance with the FDA's good laboratory practice, or GLP, regulations;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Submission to the FDA of an investigational new drug application, or IND, which must become effective before human clinical trials may begin;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311" w:right="219" w:bottom="1440" w:gutter="0" w:footer="0" w:header="0"/>
        </w:sectPr>
      </w:pPr>
    </w:p>
    <w:bookmarkStart w:id="63" w:name="page64"/>
    <w:bookmarkEnd w:id="63"/>
    <w:p>
      <w:pPr>
        <w:ind w:left="520" w:hanging="255"/>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Approval by an independent institutional review board, or IRB, at each clinical site before each trial may be initiated;</w:t>
      </w:r>
    </w:p>
    <w:p>
      <w:pPr>
        <w:spacing w:after="0" w:line="97" w:lineRule="exact"/>
        <w:rPr>
          <w:rFonts w:ascii="Arial" w:cs="Arial" w:eastAsia="Arial" w:hAnsi="Arial"/>
          <w:sz w:val="14"/>
          <w:szCs w:val="14"/>
          <w:color w:val="auto"/>
        </w:rPr>
      </w:pPr>
    </w:p>
    <w:p>
      <w:pPr>
        <w:ind w:left="520" w:right="100" w:hanging="255"/>
        <w:spacing w:after="0" w:line="273"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in accordance with good clinical practice, or GCP, requirements to establish the safety and efficacy of the proposed drug product for each indication;</w:t>
      </w:r>
    </w:p>
    <w:p>
      <w:pPr>
        <w:spacing w:after="0" w:line="64" w:lineRule="exact"/>
        <w:rPr>
          <w:rFonts w:ascii="Arial" w:cs="Arial" w:eastAsia="Arial" w:hAnsi="Arial"/>
          <w:sz w:val="14"/>
          <w:szCs w:val="14"/>
          <w:color w:val="auto"/>
        </w:rPr>
      </w:pPr>
    </w:p>
    <w:p>
      <w:pPr>
        <w:ind w:left="520" w:hanging="255"/>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Submission to the FDA of an NDA;</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Satisfactory completion of an FDA advisory committee review, if applicable;</w:t>
      </w:r>
    </w:p>
    <w:p>
      <w:pPr>
        <w:spacing w:after="0" w:line="97" w:lineRule="exact"/>
        <w:rPr>
          <w:rFonts w:ascii="Arial" w:cs="Arial" w:eastAsia="Arial" w:hAnsi="Arial"/>
          <w:sz w:val="14"/>
          <w:szCs w:val="14"/>
          <w:color w:val="auto"/>
        </w:rPr>
      </w:pPr>
    </w:p>
    <w:p>
      <w:pPr>
        <w:ind w:left="520" w:right="340" w:hanging="255"/>
        <w:spacing w:after="0" w:line="265"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 and</w:t>
      </w:r>
    </w:p>
    <w:p>
      <w:pPr>
        <w:spacing w:after="0" w:line="70" w:lineRule="exact"/>
        <w:rPr>
          <w:rFonts w:ascii="Arial" w:cs="Arial" w:eastAsia="Arial" w:hAnsi="Arial"/>
          <w:sz w:val="14"/>
          <w:szCs w:val="14"/>
          <w:color w:val="auto"/>
        </w:rPr>
      </w:pPr>
    </w:p>
    <w:p>
      <w:pPr>
        <w:ind w:left="520" w:hanging="255"/>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FDA review and approval of the NDA.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Studies</w:t>
      </w:r>
    </w:p>
    <w:p>
      <w:pPr>
        <w:spacing w:after="0" w:line="114"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Pre-clinical testing may continue after the IND is effective.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Trials</w:t>
      </w:r>
    </w:p>
    <w:p>
      <w:pPr>
        <w:spacing w:after="0" w:line="114"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 website.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Human clinical trials are typically conducted in three sequential phases, which may overlap or be combined:</w:t>
      </w:r>
    </w:p>
    <w:p>
      <w:pPr>
        <w:spacing w:after="0" w:line="98" w:lineRule="exact"/>
        <w:rPr>
          <w:sz w:val="20"/>
          <w:szCs w:val="20"/>
          <w:color w:val="auto"/>
        </w:rPr>
      </w:pPr>
    </w:p>
    <w:p>
      <w:pPr>
        <w:ind w:left="520" w:right="340" w:hanging="255"/>
        <w:spacing w:after="0" w:line="273"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64" w:lineRule="exact"/>
        <w:rPr>
          <w:rFonts w:ascii="Arial" w:cs="Arial" w:eastAsia="Arial" w:hAnsi="Arial"/>
          <w:sz w:val="14"/>
          <w:szCs w:val="14"/>
          <w:color w:val="auto"/>
        </w:rPr>
      </w:pPr>
    </w:p>
    <w:p>
      <w:pPr>
        <w:ind w:left="520" w:right="100" w:hanging="255"/>
        <w:spacing w:after="0" w:line="273"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64" w:lineRule="exact"/>
        <w:rPr>
          <w:rFonts w:ascii="Arial" w:cs="Arial" w:eastAsia="Arial" w:hAnsi="Arial"/>
          <w:sz w:val="14"/>
          <w:szCs w:val="14"/>
          <w:color w:val="auto"/>
        </w:rPr>
      </w:pPr>
    </w:p>
    <w:p>
      <w:pPr>
        <w:jc w:val="both"/>
        <w:ind w:left="520" w:right="240" w:hanging="255"/>
        <w:spacing w:after="0" w:line="265"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70"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Special Protocol Assessment</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special protocol assessment, or SPA, process is designed to facilitate the FDA's review and approval of drugs by allowing the FDA to evaluate issues related to the adequacy of certain clinical trials, including Phase 3 clinical trials that are intended to form the primary basis for a drug product's efficacy claim in an NDA. Upon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60"/>
          </w:cols>
          <w:pgMar w:left="220" w:top="311" w:right="219" w:bottom="1440" w:gutter="0" w:footer="0" w:header="0"/>
        </w:sectPr>
      </w:pPr>
    </w:p>
    <w:bookmarkStart w:id="64" w:name="page65"/>
    <w:bookmarkEnd w:id="64"/>
    <w:p>
      <w:pPr>
        <w:ind w:right="180"/>
        <w:spacing w:after="0" w:line="273" w:lineRule="auto"/>
        <w:rPr>
          <w:sz w:val="20"/>
          <w:szCs w:val="20"/>
          <w:color w:val="auto"/>
        </w:rPr>
      </w:pPr>
      <w:r>
        <w:rPr>
          <w:rFonts w:ascii="Arial" w:cs="Arial" w:eastAsia="Arial" w:hAnsi="Arial"/>
          <w:sz w:val="14"/>
          <w:szCs w:val="14"/>
          <w:color w:val="auto"/>
        </w:rPr>
        <w:t>specific request by a clinical trial sponsor, the FDA will evaluate the protocol and respond to a sponsor's questions regarding, among other things, primary efficacy endpoints, trial conduct and data analysis, within 45 days of receipt of the request.</w:t>
      </w:r>
    </w:p>
    <w:p>
      <w:pPr>
        <w:spacing w:after="0" w:line="65"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spacing w:after="0" w:line="70"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Even if the FDA agrees to the design, execution and analyses proposed in protocols reviewed under the SPA process, the FDA may revoke or alter its agreement under the following circumstances:</w:t>
      </w:r>
    </w:p>
    <w:p>
      <w:pPr>
        <w:spacing w:after="0" w:line="65" w:lineRule="exact"/>
        <w:rPr>
          <w:sz w:val="20"/>
          <w:szCs w:val="20"/>
          <w:color w:val="auto"/>
        </w:rPr>
      </w:pPr>
    </w:p>
    <w:p>
      <w:pPr>
        <w:ind w:left="520" w:hanging="255"/>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Public health concerns emerge that were unrecognized at the time of the protocol assessment:</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director of the review division determines that a substantial scientific issue essential to determining safety or efficacy has been identified after testing has begun;</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sponsor fails to follow a protocol that was agreed upon with the FDA; or</w:t>
      </w:r>
    </w:p>
    <w:p>
      <w:pPr>
        <w:spacing w:after="0" w:line="97" w:lineRule="exact"/>
        <w:rPr>
          <w:rFonts w:ascii="Arial" w:cs="Arial" w:eastAsia="Arial" w:hAnsi="Arial"/>
          <w:sz w:val="14"/>
          <w:szCs w:val="14"/>
          <w:color w:val="auto"/>
        </w:rPr>
      </w:pPr>
    </w:p>
    <w:p>
      <w:pPr>
        <w:ind w:left="520" w:right="280" w:hanging="255"/>
        <w:spacing w:after="0" w:line="273"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relevant data, assumptions, or information provided by the sponsor in a request for SPA change, are found to be false statements or misstatements, or are found to omit relevant facts.</w:t>
      </w:r>
    </w:p>
    <w:p>
      <w:pPr>
        <w:spacing w:after="0" w:line="65"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Marketing Approval</w:t>
      </w:r>
    </w:p>
    <w:p>
      <w:pPr>
        <w:spacing w:after="0" w:line="114"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7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73" w:lineRule="exact"/>
        <w:rPr>
          <w:sz w:val="20"/>
          <w:szCs w:val="20"/>
          <w:color w:val="auto"/>
        </w:rPr>
      </w:pPr>
    </w:p>
    <w:p>
      <w:pPr>
        <w:jc w:val="both"/>
        <w:ind w:right="240"/>
        <w:spacing w:after="0" w:line="265" w:lineRule="auto"/>
        <w:rPr>
          <w:sz w:val="20"/>
          <w:szCs w:val="20"/>
          <w:color w:val="auto"/>
        </w:rPr>
      </w:pPr>
      <w:r>
        <w:rPr>
          <w:rFonts w:ascii="Arial" w:cs="Arial" w:eastAsia="Arial" w:hAnsi="Arial"/>
          <w:sz w:val="14"/>
          <w:szCs w:val="14"/>
          <w:color w:val="auto"/>
        </w:rPr>
        <w:t>The FDA may also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70"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73" w:lineRule="exact"/>
        <w:rPr>
          <w:sz w:val="20"/>
          <w:szCs w:val="20"/>
          <w:color w:val="auto"/>
        </w:rPr>
      </w:pPr>
    </w:p>
    <w:p>
      <w:pPr>
        <w:ind w:right="420"/>
        <w:spacing w:after="0" w:line="265" w:lineRule="auto"/>
        <w:rPr>
          <w:sz w:val="20"/>
          <w:szCs w:val="20"/>
          <w:color w:val="auto"/>
        </w:rPr>
      </w:pPr>
      <w:r>
        <w:rPr>
          <w:rFonts w:ascii="Arial" w:cs="Arial" w:eastAsia="Arial" w:hAnsi="Arial"/>
          <w:sz w:val="14"/>
          <w:szCs w:val="14"/>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40"/>
          </w:cols>
          <w:pgMar w:left="220" w:top="311" w:right="239" w:bottom="1440" w:gutter="0" w:footer="0" w:header="0"/>
        </w:sectPr>
      </w:pPr>
    </w:p>
    <w:bookmarkStart w:id="65" w:name="page66"/>
    <w:bookmarkEnd w:id="65"/>
    <w:p>
      <w:pPr>
        <w:ind w:right="40"/>
        <w:spacing w:after="0" w:line="260" w:lineRule="auto"/>
        <w:rPr>
          <w:sz w:val="20"/>
          <w:szCs w:val="20"/>
          <w:color w:val="auto"/>
        </w:rPr>
      </w:pPr>
      <w:r>
        <w:rPr>
          <w:rFonts w:ascii="Arial" w:cs="Arial" w:eastAsia="Arial" w:hAnsi="Arial"/>
          <w:sz w:val="14"/>
          <w:szCs w:val="14"/>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7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Post-Approval Requirements</w:t>
      </w:r>
    </w:p>
    <w:p>
      <w:pPr>
        <w:spacing w:after="0" w:line="11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73"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6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73"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45" w:lineRule="exact"/>
        <w:rPr>
          <w:sz w:val="20"/>
          <w:szCs w:val="20"/>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Fines, warning letters or holds on post-approval clinical trials;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Refusal of the FDA to approve pending NDAs or supplements to approved NDAs, or suspension or revocation of product approvals;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 or</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9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60"/>
          </w:cols>
          <w:pgMar w:left="220" w:top="311" w:right="21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i w:val="1"/>
          <w:iCs w:val="1"/>
          <w:color w:val="auto"/>
        </w:rPr>
        <w:t>Foreign Government Regulation</w:t>
      </w:r>
    </w:p>
    <w:p>
      <w:pPr>
        <w:spacing w:after="0" w:line="11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privacy laws and implementation of corporate compliance programs and reporting of payments or other transfers of value to healthcare professionals.</w:t>
      </w:r>
    </w:p>
    <w:p>
      <w:pPr>
        <w:spacing w:after="0" w:line="70"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order to market our future products in the EEA (which is comprised of the 27 Member States of the EU plus Norway, Iceland and Liechtenstein, and the United Kingdom until the end of the transition period on December 31, 2020 provided for in the Withdrawal Agreement between the EU and the United Kingdom)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73" w:lineRule="exact"/>
        <w:rPr>
          <w:sz w:val="20"/>
          <w:szCs w:val="20"/>
          <w:color w:val="auto"/>
        </w:rPr>
      </w:pPr>
    </w:p>
    <w:p>
      <w:pPr>
        <w:ind w:left="520" w:right="60" w:hanging="255"/>
        <w:spacing w:after="0" w:line="258" w:lineRule="auto"/>
        <w:tabs>
          <w:tab w:leader="none" w:pos="520" w:val="left"/>
        </w:tabs>
        <w:numPr>
          <w:ilvl w:val="0"/>
          <w:numId w:val="40"/>
        </w:numPr>
        <w:rPr>
          <w:rFonts w:ascii="Arial" w:cs="Arial" w:eastAsia="Arial" w:hAnsi="Arial"/>
          <w:sz w:val="11"/>
          <w:szCs w:val="11"/>
          <w:color w:val="auto"/>
        </w:rPr>
      </w:pPr>
      <w:r>
        <w:rPr>
          <w:rFonts w:ascii="Arial" w:cs="Arial" w:eastAsia="Arial" w:hAnsi="Arial"/>
          <w:sz w:val="14"/>
          <w:szCs w:val="14"/>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human medicinal products, such as medicines derived from biotechnology processes, advanced therapy medicinal products (such as gene therapy, somatic cell therapy and tissue engineered products), orphan designated medicinal products, products that contain a new active substance indicated for the treatment of certain diseases such as HIV/AIDS,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Committee for Medicinal Products for Human Use, or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 and</w:t>
      </w:r>
    </w:p>
    <w:p>
      <w:pPr>
        <w:spacing w:after="0" w:line="79" w:lineRule="exact"/>
        <w:rPr>
          <w:rFonts w:ascii="Arial" w:cs="Arial" w:eastAsia="Arial" w:hAnsi="Arial"/>
          <w:sz w:val="11"/>
          <w:szCs w:val="11"/>
          <w:color w:val="auto"/>
        </w:rPr>
      </w:pPr>
    </w:p>
    <w:p>
      <w:pPr>
        <w:ind w:left="520" w:right="100" w:hanging="255"/>
        <w:spacing w:after="0" w:line="262"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73"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65"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w:t>
      </w:r>
    </w:p>
    <w:p>
      <w:pPr>
        <w:ind w:right="180"/>
        <w:spacing w:after="0" w:line="273" w:lineRule="auto"/>
        <w:rPr>
          <w:sz w:val="20"/>
          <w:szCs w:val="20"/>
          <w:color w:val="auto"/>
        </w:rPr>
      </w:pPr>
      <w:r>
        <w:rPr>
          <w:rFonts w:ascii="Arial" w:cs="Arial" w:eastAsia="Arial" w:hAnsi="Arial"/>
          <w:sz w:val="14"/>
          <w:szCs w:val="14"/>
          <w:color w:val="auto"/>
        </w:rPr>
        <w:t>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60"/>
          </w:cols>
          <w:pgMar w:left="220" w:top="295" w:right="219" w:bottom="1440" w:gutter="0" w:footer="0" w:header="0"/>
        </w:sectPr>
      </w:pPr>
    </w:p>
    <w:bookmarkStart w:id="67" w:name="page68"/>
    <w:bookmarkEnd w:id="67"/>
    <w:p>
      <w:pPr>
        <w:spacing w:after="0" w:line="265" w:lineRule="auto"/>
        <w:rPr>
          <w:sz w:val="20"/>
          <w:szCs w:val="20"/>
          <w:color w:val="auto"/>
        </w:rPr>
      </w:pPr>
      <w:r>
        <w:rPr>
          <w:rFonts w:ascii="Arial" w:cs="Arial" w:eastAsia="Arial" w:hAnsi="Arial"/>
          <w:sz w:val="14"/>
          <w:szCs w:val="14"/>
          <w:color w:val="auto"/>
        </w:rPr>
        <w:t>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70"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are also subject to privacy laws in the jurisdictions in which we are established or in which we sell or market our products or run clinical trials. For example, in Europe, we are subject to Regulation (EU) 2016/679 (General Data Protection Regulation,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We are also subject to EU rules with respect to cross-border transfers of personal data out of the EU and EEA. We are subject to the supervision of local data protection authorities in those EU jurisdictions where we are established or otherwise subject to the GDPR. Fines for certain breaches of the GDPR are significant: up to the greater of €20 million or 4% of total global annual turnover. In addition to the foregoing, a breach of the GDPR could result in regulatory investigations, reputational damage, orders to cease/change our use of data, enforcement notices, as well potential civil claims including class action type litigation where individuals suffer harm.</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U.S. Healthcare Laws</w:t>
      </w:r>
    </w:p>
    <w:p>
      <w:pPr>
        <w:spacing w:after="0" w:line="114"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and drug pricing transparency laws.</w:t>
      </w:r>
    </w:p>
    <w:p>
      <w:pPr>
        <w:spacing w:after="0" w:line="70"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5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73"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40"/>
          </w:cols>
          <w:pgMar w:left="220" w:top="311" w:right="239" w:bottom="1440" w:gutter="0" w:footer="0" w:header="0"/>
        </w:sectPr>
      </w:pPr>
    </w:p>
    <w:bookmarkStart w:id="68" w:name="page69"/>
    <w:bookmarkEnd w:id="68"/>
    <w:p>
      <w:pPr>
        <w:spacing w:after="0" w:line="259" w:lineRule="auto"/>
        <w:rPr>
          <w:sz w:val="20"/>
          <w:szCs w:val="20"/>
          <w:color w:val="auto"/>
        </w:rPr>
      </w:pPr>
      <w:r>
        <w:rPr>
          <w:rFonts w:ascii="Arial" w:cs="Arial" w:eastAsia="Arial" w:hAnsi="Arial"/>
          <w:sz w:val="14"/>
          <w:szCs w:val="14"/>
          <w:color w:val="auto"/>
        </w:rPr>
        <w:t>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74"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7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74" w:lineRule="exact"/>
        <w:rPr>
          <w:sz w:val="20"/>
          <w:szCs w:val="20"/>
          <w:color w:val="auto"/>
        </w:rPr>
      </w:pPr>
    </w:p>
    <w:p>
      <w:pPr>
        <w:ind w:right="340"/>
        <w:spacing w:after="0" w:line="259" w:lineRule="auto"/>
        <w:rPr>
          <w:sz w:val="20"/>
          <w:szCs w:val="20"/>
          <w:color w:val="auto"/>
        </w:rPr>
      </w:pPr>
      <w:r>
        <w:rPr>
          <w:rFonts w:ascii="Arial" w:cs="Arial" w:eastAsia="Arial" w:hAnsi="Arial"/>
          <w:sz w:val="14"/>
          <w:szCs w:val="14"/>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$165,786 per year and up to an aggregate of $1.105 million per year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40"/>
          </w:cols>
          <w:pgMar w:left="220" w:top="311" w:right="2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color w:val="auto"/>
        </w:rPr>
        <w:t>Coverage and Reimbursement</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74"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Healthcare Reform</w:t>
      </w:r>
    </w:p>
    <w:p>
      <w:pPr>
        <w:spacing w:after="0" w:line="11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creation of the Independent Payment Advisory Board, once empaneled, will have authority to recommend certain changes to the Medicare program that could result in reduced payments for prescription drugs; and establishment of a Center for Medicare Innovation at the CMS to test innovative payment and service delivery models to lower Medicare and Medicaid spending. Since its enactment, the U.S. federal government has delayed or suspended implementation of certain provisions of the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60"/>
          </w:cols>
          <w:pgMar w:left="220" w:top="293" w:right="219" w:bottom="1440" w:gutter="0" w:footer="0" w:header="0"/>
        </w:sectPr>
      </w:pPr>
    </w:p>
    <w:bookmarkStart w:id="70" w:name="page71"/>
    <w:bookmarkEnd w:id="70"/>
    <w:p>
      <w:pPr>
        <w:ind w:right="120"/>
        <w:spacing w:after="0" w:line="259" w:lineRule="auto"/>
        <w:rPr>
          <w:sz w:val="20"/>
          <w:szCs w:val="20"/>
          <w:color w:val="auto"/>
        </w:rPr>
      </w:pPr>
      <w:r>
        <w:rPr>
          <w:rFonts w:ascii="Arial" w:cs="Arial" w:eastAsia="Arial" w:hAnsi="Arial"/>
          <w:sz w:val="14"/>
          <w:szCs w:val="14"/>
          <w:color w:val="auto"/>
        </w:rPr>
        <w:t>ACA. In addition, there have been judicial and Congressional challenges to certain aspects of the ACA, and we expect there will be additional challenges and amendments to the ACA in the future. In addition, Congress could consider subsequent legislation to replace those elements of the ACA if so repealed. Further,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Centers for Medicare &amp; Medicaid Services, have stated that this ruling will have no immediate effect, it is unclear how this decision, subsequent appeals, and other efforts to repeal and replace the ACA will impact the law. The ultimate content, timing or effect of any healthcare reform legislation on the U.S. healthcare industry is unclear.</w:t>
      </w:r>
    </w:p>
    <w:p>
      <w:pPr>
        <w:spacing w:after="0" w:line="77"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drugs.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was enacted, which, among other things, included aggregate reductions of Medicare payments to providers of 2% per fiscal year, which went into effect on April 1, 2013 and, due to subsequent legislative amendments to the statute, will stay in effect through 2027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76"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we had 25 employees. None of our employees is subject to a collective bargaining agreement or represented by a trade or labor union.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16" w:lineRule="exact"/>
        <w:rPr>
          <w:sz w:val="20"/>
          <w:szCs w:val="20"/>
          <w:color w:val="auto"/>
        </w:rPr>
      </w:pPr>
    </w:p>
    <w:p>
      <w:pPr>
        <w:jc w:val="both"/>
        <w:ind w:right="280"/>
        <w:spacing w:after="0" w:line="265" w:lineRule="auto"/>
        <w:rPr>
          <w:sz w:val="20"/>
          <w:szCs w:val="20"/>
          <w:color w:val="auto"/>
        </w:rPr>
      </w:pPr>
      <w:r>
        <w:rPr>
          <w:rFonts w:ascii="Arial" w:cs="Arial" w:eastAsia="Arial" w:hAnsi="Arial"/>
          <w:sz w:val="14"/>
          <w:szCs w:val="14"/>
          <w:color w:val="auto"/>
        </w:rPr>
        <w:t>Our principal office is located at 3 More London Riverside, London, SE1 2RE, United Kingdom, where we lease office space under three leases that terminate in early 2022. We also lease office space at 434 West 33rd Street, New York City, New York, under a lease that terminates in 2021. We intend to add new facilities as we add employees, and we believe that suitable additional or substitute space will be available as needed to accommodate any such expansion of our operations.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We are not subject to any material legal proceedings.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Organizational Structure.</w:t>
      </w:r>
    </w:p>
    <w:p>
      <w:pPr>
        <w:spacing w:after="0" w:line="116"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We have two wholly-owned subsidiaries, Verona Pharma Inc., which is incorporated in the United States in the State of Delaware, and Rhinopharma Ltd., which is incorporated in Canada.</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Property, Plants and Equipment.</w:t>
      </w:r>
    </w:p>
    <w:p>
      <w:pPr>
        <w:spacing w:after="0" w:line="11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principal office is located at 3 More London Riverside, London SE1 2RE, United Kingdom, where we lease office space. We also lease office space in Manhattan, New York. The office space in these two locations is held under six leases that terminate between October 2021 and February 2022. We intend to add new facilities as we add employees, and we believe that suitable additional or substitute space will be available as needed to accommodate any such expansion of our operations.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40"/>
          </w:cols>
          <w:pgMar w:left="220" w:top="311"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auto"/>
        </w:rPr>
        <w:t>Environmental Issues</w:t>
      </w:r>
    </w:p>
    <w:p>
      <w:pPr>
        <w:spacing w:after="0" w:line="11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 xml:space="preserve">For information on environmental issues that may affect our utilization of our facilities, see Item 3.D. Risk Factors — Risks Related to Healthcare Laws and Other Legal Compliance Matters — </w:t>
      </w:r>
      <w:r>
        <w:rPr>
          <w:rFonts w:ascii="Arial" w:cs="Arial" w:eastAsia="Arial" w:hAnsi="Arial"/>
          <w:sz w:val="14"/>
          <w:szCs w:val="14"/>
          <w:i w:val="1"/>
          <w:iCs w:val="1"/>
          <w:color w:val="auto"/>
        </w:rPr>
        <w:t>We are subject to environmental, health and safety laws and regulations, and we may become exposed to liability and substantial expenses in connection with</w:t>
      </w:r>
      <w:r>
        <w:rPr>
          <w:rFonts w:ascii="Arial" w:cs="Arial" w:eastAsia="Arial" w:hAnsi="Arial"/>
          <w:sz w:val="14"/>
          <w:szCs w:val="14"/>
          <w:color w:val="auto"/>
        </w:rPr>
        <w:t xml:space="preserve"> </w:t>
      </w:r>
      <w:r>
        <w:rPr>
          <w:rFonts w:ascii="Arial" w:cs="Arial" w:eastAsia="Arial" w:hAnsi="Arial"/>
          <w:sz w:val="14"/>
          <w:szCs w:val="14"/>
          <w:i w:val="1"/>
          <w:iCs w:val="1"/>
          <w:color w:val="auto"/>
        </w:rPr>
        <w:t>environmental compliance or remediation activities</w:t>
      </w:r>
      <w:r>
        <w:rPr>
          <w:rFonts w:ascii="Arial" w:cs="Arial" w:eastAsia="Arial" w:hAnsi="Arial"/>
          <w:sz w:val="14"/>
          <w:szCs w:val="14"/>
          <w:color w:val="auto"/>
        </w:rPr>
        <w:t>.</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4A: UNRESOLVED STAFF COMMENTS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00"/>
          </w:cols>
          <w:pgMar w:left="220" w:top="552" w:right="27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ITEM 5: OPERATING AND FINANCIAL REVIEW AND PROSPECTS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are a clinical-stage biopharmaceutical company focused on developing and commercializing innovative therapeutics for the treatment of respiratory diseases with significant unmet medical need. Our product candidate, ensifentrine (RPL554) is an investigational, potential first-in-class, inhaled, dual inhibitor of the enzymes phosphodiesterase 3 and 4, or PDE3 and PDE4, that is designed to act as both a bronchodilator and an anti-inflammatory agent. We are not aware of any other single compound in clinical development or approved by the U.S. Food and Drug Administration, or FDA, nor the European Medicines Agency, or EMA, for the treatment of respiratory diseases that acts as both a bronchodilator and anti-inflammatory agent. We believe ensifentrine has the potential to be the first novel class of bronchodilator in over 40 years. A nebulized formulation of ensifentrine has currently completed Phase 2 clinical development for the treatment of chronic obstructive pulmonary disease, or COPD, and we are preparing to meet with the FDA to discuss plans for Phase 3 clinical trials, which we expect to commence in the third quarter of 2020, subject to FDA feedback and to funding.</w:t>
      </w:r>
    </w:p>
    <w:p>
      <w:pPr>
        <w:spacing w:after="0" w:line="206"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Successful Phase 1 and 2 studies have been completed with nebulized ensifentrine in healthy volunteers and in patients with cystic fibrosis, or CF, chronic asthma and allergic rhinitis, in addition to COPD. A Phase 2 study in COPD with ensifentrine formulated in a dry powder inhaler, or DPI, has been completed, with positive clinical results reported in August 2019. A Phase 2 study in COPD with ensifentrine formulated in a pressurized metered dose inhaler, or MDI, is ongoing with clinical results expected in the second half of 2020. We intend to develop ensifentrine as a nebulized therapy for the treatment of COPD.</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For the past 40 years, the treatment of COPD has been dominated by three classes of inhaled therapies approved for use by the FDA or EMA: antimuscarinic agents and beta2-agonists, both available as either short-acting or long-acting bronchodilators, and inhaled corticosteroids, or ICS, known for their anti-inflammatory effects. However, despite existing treatment with one or multiple combinations of these therapies, and owing to the progressive and incurable nature of COPD, many COPD patients on maximum inhaled therapy still experience significant lung function impairment and symptoms for which limited further approved treatment options are available. One such treatment is an oral formulation of a PDE4 inhibitor (roflumilast) with anti-inflammatory properties, although frequency of adverse events has limited its use in COPD patients. Clinicians have expressed desire to use this oral PDE4 inhibitor in more patients were it not for the adverse events. We believe this suggests that ensifentrine has potential to become an important treatment for COPD and other respiratory diseases if our late-stage clinical program demonstrates favorable efficacy, safety and tolerability results for the compound.</w:t>
      </w:r>
    </w:p>
    <w:p>
      <w:pPr>
        <w:spacing w:after="0" w:line="185"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have completed fifteen Phase 1 and Phase 2 clinical trials with ensifentrine, which have enrolled over 1,300 subjects with COPD, asthma, cystic fibrosis, or allergic rhinitis or healthy volunteers. In our clinical trials, treatment with ensifentrine has been repeatedly observed to result in statistically significant improvements in lung function as compared to placebo, whether dosed alone or in combination with commonly used short- and long-acting classes of bronchodilators, with or without ICS. Statistically significant means that there is a low statistical probability, typically less than 5%, that the observed results in a study or a trial occurred by chance alone.</w:t>
      </w:r>
    </w:p>
    <w:p>
      <w:pPr>
        <w:spacing w:after="0" w:line="94"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In two Phase 2b clinical trials of nebulized ensifentrine as a maintenance treatment for COPD, patients with moderate-to-severe COPD treated with ensifentrine showed clinically meaningful and statistically significant improvements in reported COPD symptom scores. In addition, our clinical trials have also shown clinically meaningful and statistically significant improvements in certain measures of lung function following combined treatment with ensifentrine as add-on to other approved bronchodilators; COPD patients experienced a marked reduction in residual lung volume, which is believed to be related to one of the most debilitating symptoms, breathlessness. The rapid onset of action observed when adding ensifentrine on top of tiotropium, a commonly used LAMA, was also notable, and may be particularly helpful to those patients suffering from morning breathlessness. We believe that the clinical effects observed with ensifentrine are driven by its bronchodilator, anti-inflammatory and mucociliary clearance mechanisms.</w:t>
      </w:r>
    </w:p>
    <w:p>
      <w:pPr>
        <w:spacing w:after="0" w:line="85"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Ensifentrine has been observed to be well tolerated in our clinical trials to date and has not been observed to result in the gastrointestinal or other side effects commonly associated with roflumilast (branded as Daxas</w:t>
      </w:r>
      <w:r>
        <w:rPr>
          <w:rFonts w:ascii="Arial" w:cs="Arial" w:eastAsia="Arial" w:hAnsi="Arial"/>
          <w:sz w:val="15"/>
          <w:szCs w:val="15"/>
          <w:color w:val="auto"/>
        </w:rPr>
        <w:t>®</w:t>
      </w:r>
      <w:r>
        <w:rPr>
          <w:rFonts w:ascii="Arial" w:cs="Arial" w:eastAsia="Arial" w:hAnsi="Arial"/>
          <w:sz w:val="14"/>
          <w:szCs w:val="14"/>
          <w:color w:val="auto"/>
        </w:rPr>
        <w:t>/Daliresp</w:t>
      </w:r>
      <w:r>
        <w:rPr>
          <w:rFonts w:ascii="Arial" w:cs="Arial" w:eastAsia="Arial" w:hAnsi="Arial"/>
          <w:sz w:val="15"/>
          <w:szCs w:val="15"/>
          <w:color w:val="auto"/>
        </w:rPr>
        <w:t>®</w:t>
      </w:r>
      <w:r>
        <w:rPr>
          <w:rFonts w:ascii="Arial" w:cs="Arial" w:eastAsia="Arial" w:hAnsi="Arial"/>
          <w:sz w:val="14"/>
          <w:szCs w:val="14"/>
          <w:color w:val="auto"/>
        </w:rPr>
        <w:t>), the only PDE4 inhibitor currently on the market for the treatment of COPD.</w:t>
      </w:r>
    </w:p>
    <w:p>
      <w:pPr>
        <w:spacing w:after="0" w:line="16" w:lineRule="exact"/>
        <w:rPr>
          <w:sz w:val="20"/>
          <w:szCs w:val="20"/>
          <w:color w:val="auto"/>
        </w:rPr>
      </w:pPr>
    </w:p>
    <w:p>
      <w:pPr>
        <w:ind w:right="480"/>
        <w:spacing w:after="0" w:line="268" w:lineRule="auto"/>
        <w:rPr>
          <w:sz w:val="20"/>
          <w:szCs w:val="20"/>
          <w:color w:val="auto"/>
        </w:rPr>
      </w:pPr>
      <w:r>
        <w:rPr>
          <w:rFonts w:ascii="Arial" w:cs="Arial" w:eastAsia="Arial" w:hAnsi="Arial"/>
          <w:sz w:val="14"/>
          <w:szCs w:val="14"/>
          <w:color w:val="auto"/>
        </w:rPr>
        <w:t>We believe ensifentrine, having shown improvement in forced expiratory volume in one second, or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 measure of lung function), and symptoms (which commonly are a precursor to exacerbations) in clinical trials, may be an attractive additional treatment for COPD patients, if successfully developed and approved. In the United States, approximately three million COPD patients are treated with single bronchodilator (either a LAMA</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40"/>
          </w:cols>
          <w:pgMar w:left="220" w:top="293" w:right="239" w:bottom="1440" w:gutter="0" w:footer="0" w:header="0"/>
        </w:sectPr>
      </w:pPr>
    </w:p>
    <w:bookmarkStart w:id="73" w:name="page74"/>
    <w:bookmarkEnd w:id="73"/>
    <w:p>
      <w:pPr>
        <w:ind w:right="20"/>
        <w:spacing w:after="0" w:line="263" w:lineRule="auto"/>
        <w:rPr>
          <w:sz w:val="20"/>
          <w:szCs w:val="20"/>
          <w:color w:val="auto"/>
        </w:rPr>
      </w:pPr>
      <w:r>
        <w:rPr>
          <w:rFonts w:ascii="Arial" w:cs="Arial" w:eastAsia="Arial" w:hAnsi="Arial"/>
          <w:sz w:val="14"/>
          <w:szCs w:val="14"/>
          <w:color w:val="auto"/>
        </w:rPr>
        <w:t>or LABA) therapy. In our clinical trials, ensifentrine has been observed to improve lung function, measured by FEV</w:t>
      </w:r>
      <w:r>
        <w:rPr>
          <w:rFonts w:ascii="Arial" w:cs="Arial" w:eastAsia="Arial" w:hAnsi="Arial"/>
          <w:sz w:val="17"/>
          <w:szCs w:val="17"/>
          <w:color w:val="auto"/>
          <w:vertAlign w:val="subscript"/>
        </w:rPr>
        <w:t>1</w:t>
      </w:r>
      <w:r>
        <w:rPr>
          <w:rFonts w:ascii="Arial" w:cs="Arial" w:eastAsia="Arial" w:hAnsi="Arial"/>
          <w:sz w:val="14"/>
          <w:szCs w:val="14"/>
          <w:color w:val="auto"/>
        </w:rPr>
        <w:t>, and residual volume, when used in addition to existing approved bronchodilators. As a result, we believe it has potential to meet the need for a safe and effective dual bronchodilator/anti-inflammatory treatment regimen as an add-on to other therapies, for example, a LAMA.Verona has completed a pilot Phase 2 study in CF patients , the results of which support the continued development of ensifentrine as a possible new treatment for CF patients. We believe ensifentrine, if approved, has the potential to become a novel treatment option for these patients. We may also explore, alone or with a collaborator, the development of ensifentrine to treat asthma and other respiratory diseases.</w:t>
      </w:r>
    </w:p>
    <w:p>
      <w:pPr>
        <w:spacing w:after="0" w:line="72"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In January 2020, we reported top-line results from our 4 week 416-patient Phase 2b dose-ranging clinical trial. This trial evaluated four doses of nebulized ensifentrine (0.375 mg, 0.75 mg, 1.5 mg and 3.0 mg) or placebo as an add-on treatment to tiotropium (Spiriva</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a commonly used LAMA bronchodilator, in symptomatic patients with moderate-to-severe COPD who required additional treatment.</w:t>
      </w:r>
    </w:p>
    <w:p>
      <w:pPr>
        <w:spacing w:after="0" w:line="110"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 xml:space="preserve">The trial met its primary endpoint of improved lung function, with ensifentrine plus tiotropium producing a clinically and statistically significant dose-dependent improvement in peak </w:t>
      </w:r>
      <w:r>
        <w:rPr>
          <w:rFonts w:ascii="Arial" w:cs="Arial" w:eastAsia="Arial" w:hAnsi="Arial"/>
          <w:sz w:val="14"/>
          <w:szCs w:val="14"/>
          <w:color w:val="0D0D0D"/>
        </w:rPr>
        <w:t>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w:t>
      </w:r>
      <w:r>
        <w:rPr>
          <w:rFonts w:ascii="Arial" w:cs="Arial" w:eastAsia="Arial" w:hAnsi="Arial"/>
          <w:sz w:val="14"/>
          <w:szCs w:val="14"/>
          <w:color w:val="000000"/>
        </w:rPr>
        <w:t>at week 4, compared to placebo plus tiotropium. The improvements</w:t>
      </w:r>
      <w:r>
        <w:rPr>
          <w:rFonts w:ascii="Arial" w:cs="Arial" w:eastAsia="Arial" w:hAnsi="Arial"/>
          <w:sz w:val="14"/>
          <w:szCs w:val="14"/>
          <w:color w:val="0D0D0D"/>
        </w:rPr>
        <w:t xml:space="preserve"> ranged from 78 mL for the 0.375 mg dose (p=0.0368) to 124 mL for the 3.0 mg dose (p=0.0008) and were maintained over the 4-week study period. Dose-dependent improvements in lung function were observed on both average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0-4 hours and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0-12 hours. There was also a statistically significant improvement in average FEV</w:t>
      </w:r>
      <w:r>
        <w:rPr>
          <w:rFonts w:ascii="Arial" w:cs="Arial" w:eastAsia="Arial" w:hAnsi="Arial"/>
          <w:sz w:val="17"/>
          <w:szCs w:val="17"/>
          <w:color w:val="0D0D0D"/>
          <w:vertAlign w:val="subscript"/>
        </w:rPr>
        <w:t>1</w:t>
      </w:r>
      <w:r>
        <w:rPr>
          <w:rFonts w:ascii="Arial" w:cs="Arial" w:eastAsia="Arial" w:hAnsi="Arial"/>
          <w:sz w:val="14"/>
          <w:szCs w:val="14"/>
          <w:color w:val="0D0D0D"/>
        </w:rPr>
        <w:t xml:space="preserve"> AUC 0-12 hours of 87 mL for the 3.0 mg dose (p=0.0111), which we believe is supportive of twice daily dosing. </w:t>
      </w:r>
      <w:r>
        <w:rPr>
          <w:rFonts w:ascii="Arial" w:cs="Arial" w:eastAsia="Arial" w:hAnsi="Arial"/>
          <w:sz w:val="14"/>
          <w:szCs w:val="14"/>
          <w:color w:val="000000"/>
        </w:rPr>
        <w:t>Area</w:t>
      </w:r>
    </w:p>
    <w:p>
      <w:pPr>
        <w:spacing w:after="0" w:line="1"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Under the Curve over 0-12 hours post dose, or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AUC</w:t>
      </w:r>
      <w:r>
        <w:rPr>
          <w:rFonts w:ascii="Arial" w:cs="Arial" w:eastAsia="Arial" w:hAnsi="Arial"/>
          <w:sz w:val="17"/>
          <w:szCs w:val="17"/>
          <w:color w:val="auto"/>
          <w:vertAlign w:val="subscript"/>
        </w:rPr>
        <w:t>(0-12hr)</w:t>
      </w:r>
      <w:r>
        <w:rPr>
          <w:rFonts w:ascii="Arial" w:cs="Arial" w:eastAsia="Arial" w:hAnsi="Arial"/>
          <w:sz w:val="14"/>
          <w:szCs w:val="14"/>
          <w:color w:val="auto"/>
        </w:rPr>
        <w:t>, was calculated using the trapezoidal rule, divided by the observation time (12 hours) to report in mL, a measure of the aggregate effect over 12 hours.</w:t>
      </w:r>
    </w:p>
    <w:p>
      <w:pPr>
        <w:spacing w:after="0" w:line="11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0D0D0D"/>
        </w:rPr>
        <w:t>Additionally, c</w:t>
      </w:r>
      <w:r>
        <w:rPr>
          <w:rFonts w:ascii="Arial" w:cs="Arial" w:eastAsia="Arial" w:hAnsi="Arial"/>
          <w:sz w:val="14"/>
          <w:szCs w:val="14"/>
          <w:color w:val="000000"/>
        </w:rPr>
        <w:t>linically meaningful improvements in health-related quality of life as measured by St. George's Respiratory Questionnaire for COPD (mean SGRQ-C) were observed</w:t>
      </w:r>
      <w:r>
        <w:rPr>
          <w:rFonts w:ascii="Arial" w:cs="Arial" w:eastAsia="Arial" w:hAnsi="Arial"/>
          <w:sz w:val="14"/>
          <w:szCs w:val="14"/>
          <w:color w:val="0D0D0D"/>
        </w:rPr>
        <w:t xml:space="preserve"> </w:t>
      </w:r>
      <w:r>
        <w:rPr>
          <w:rFonts w:ascii="Arial" w:cs="Arial" w:eastAsia="Arial" w:hAnsi="Arial"/>
          <w:sz w:val="14"/>
          <w:szCs w:val="14"/>
          <w:color w:val="000000"/>
        </w:rPr>
        <w:t>on top of tiotropium, exceeding the minimal clinically important difference (“MCID”) of 4 units compared to placebo at week 4, with the two highest doses 1.5 mg and 3 mg also achieving statistical significance. The SGRQ-C is a validated instrument that measures impact on overall health, daily life, and perceived well-being in patients with COPD (i.e. change in frequency and severity of COPD symptoms, and impact on activities, social functioning and psychological disturbances related to airways disease). Ensifentrine was well tolerated at all doses with an adverse event profile similar to placebo. We believe that these data support dose selection for our planned Phase 3 program, which we anticipate initiating in the third quarter of 2020, subject to FDA feedback and to funding.</w:t>
      </w:r>
    </w:p>
    <w:p>
      <w:pPr>
        <w:spacing w:after="0" w:line="96"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We plan to meet with the FDA in the second quarter of 2020 for an End Of Phase 2 meeting, in which we intend to discuss our clinical data to date and determine the design of our Phase 3 clinical trials.</w:t>
      </w:r>
    </w:p>
    <w:p>
      <w:pPr>
        <w:spacing w:after="0" w:line="86" w:lineRule="exact"/>
        <w:rPr>
          <w:sz w:val="20"/>
          <w:szCs w:val="20"/>
          <w:color w:val="auto"/>
        </w:rPr>
      </w:pPr>
    </w:p>
    <w:p>
      <w:pPr>
        <w:jc w:val="both"/>
        <w:ind w:right="540"/>
        <w:spacing w:after="0" w:line="245" w:lineRule="auto"/>
        <w:rPr>
          <w:sz w:val="20"/>
          <w:szCs w:val="20"/>
          <w:color w:val="auto"/>
        </w:rPr>
      </w:pPr>
      <w:r>
        <w:rPr>
          <w:rFonts w:ascii="Arial" w:cs="Arial" w:eastAsia="Arial" w:hAnsi="Arial"/>
          <w:sz w:val="14"/>
          <w:szCs w:val="14"/>
          <w:color w:val="auto"/>
        </w:rPr>
        <w:t>In August 2019, we announced results from our Phase 2 clinical trial evaluating a DPI formulation of ensifentrine for the maintenance treatment of patients with COPD. The magnitude of improvement in lung function, as measured by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was highly statistically significant and we believe this supports twice daily dosing of ensifentrine for COPD treatment. Secondary lung function endpoints were also met, and ensifentrine was well tolerated at all dose levels. We believe that delivery of ensifentrine with a hand-held inhalation device, such as the DPI format, could substantially expand the clinical utility and commercial opportunity in COPD treatment.</w:t>
      </w:r>
    </w:p>
    <w:p>
      <w:pPr>
        <w:spacing w:after="0" w:line="105"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In January 2019, we announced top-line data from an exploratory Phase 2 three-way crossover pharmacological study in 79 moderate-to-severe COPD patients to study the effect of ensifentrine when added to dual bronchodilators (LAMA/LABA). The study was conducted in the United States and the United Kingdom. Patients were administered ensifentrine 1.5 mg or 6 mg or placebo twice daily for 3 days in addition to a tiotropium/olodaterol fixed dose combination (Stiolto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Patients were allowed to remain on a stable dose of ICS. Data showed a tolerability and safety profile generally in line with previous studies. This study was conducted in the challenging setting of COPD patients treated with what is thought to be "maximal bronchodilator therapy". Although the primary endpoint of a statistically significant improvement in morning peak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on the third day of dosing was not met, improvement in average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(additional bronchodilation) following the morning dose on the third day (0 - 4 hours) with 1.5 mg of ensifentrine was statistically significant when added on top of Stiolto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compared to placebo added on top of Stiolto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xml:space="preserve"> (1.5 mg, p=0.039). Statistically significant improvements in evening peak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(additional bronchodilation) on the third day of dosing, and significant reductions in lung volume after the evening dose of ensifentrine were observed with both the 1.5 mg and 6 mg dose groups, compared to placebo, when administered on top of Stiolto</w:t>
      </w:r>
      <w:r>
        <w:rPr>
          <w:rFonts w:ascii="Arial" w:cs="Arial" w:eastAsia="Arial" w:hAnsi="Arial"/>
          <w:sz w:val="17"/>
          <w:szCs w:val="17"/>
          <w:color w:val="auto"/>
          <w:vertAlign w:val="superscript"/>
        </w:rPr>
        <w:t>®</w:t>
      </w:r>
      <w:r>
        <w:rPr>
          <w:rFonts w:ascii="Arial" w:cs="Arial" w:eastAsia="Arial" w:hAnsi="Arial"/>
          <w:sz w:val="14"/>
          <w:szCs w:val="14"/>
          <w:color w:val="auto"/>
        </w:rPr>
        <w:t xml:space="preserve"> Respimat</w:t>
      </w:r>
      <w:r>
        <w:rPr>
          <w:rFonts w:ascii="Arial" w:cs="Arial" w:eastAsia="Arial" w:hAnsi="Arial"/>
          <w:sz w:val="17"/>
          <w:szCs w:val="17"/>
          <w:color w:val="auto"/>
          <w:vertAlign w:val="superscript"/>
        </w:rPr>
        <w:t>®</w:t>
      </w:r>
      <w:r>
        <w:rPr>
          <w:rFonts w:ascii="Arial" w:cs="Arial" w:eastAsia="Arial" w:hAnsi="Arial"/>
          <w:sz w:val="14"/>
          <w:szCs w:val="14"/>
          <w:color w:val="auto"/>
        </w:rPr>
        <w:t xml:space="preserve"> (evening peak FEV</w:t>
      </w:r>
      <w:r>
        <w:rPr>
          <w:rFonts w:ascii="Arial" w:cs="Arial" w:eastAsia="Arial" w:hAnsi="Arial"/>
          <w:sz w:val="17"/>
          <w:szCs w:val="17"/>
          <w:color w:val="auto"/>
          <w:vertAlign w:val="subscript"/>
        </w:rPr>
        <w:t>1</w:t>
      </w:r>
      <w:r>
        <w:rPr>
          <w:rFonts w:ascii="Arial" w:cs="Arial" w:eastAsia="Arial" w:hAnsi="Arial"/>
          <w:sz w:val="14"/>
          <w:szCs w:val="14"/>
          <w:color w:val="auto"/>
        </w:rPr>
        <w:t>: 1.5 mg, p&lt;0.001; 6 mg p=0.002 (as shown in the graph below); post-evening dose residual volume: 1.5 mg, p=0.002; 6 mg, p=0.036).</w:t>
      </w:r>
    </w:p>
    <w:p>
      <w:pPr>
        <w:spacing w:after="0" w:line="109" w:lineRule="exact"/>
        <w:rPr>
          <w:sz w:val="20"/>
          <w:szCs w:val="20"/>
          <w:color w:val="auto"/>
        </w:rPr>
      </w:pPr>
    </w:p>
    <w:p>
      <w:pPr>
        <w:jc w:val="both"/>
        <w:ind w:right="160"/>
        <w:spacing w:after="0" w:line="243" w:lineRule="auto"/>
        <w:rPr>
          <w:sz w:val="20"/>
          <w:szCs w:val="20"/>
          <w:color w:val="auto"/>
        </w:rPr>
      </w:pPr>
      <w:r>
        <w:rPr>
          <w:rFonts w:ascii="Arial" w:cs="Arial" w:eastAsia="Arial" w:hAnsi="Arial"/>
          <w:sz w:val="14"/>
          <w:szCs w:val="14"/>
          <w:color w:val="auto"/>
        </w:rPr>
        <w:t>In March 2018, we reported data from our Phase 2b parallel group study in 403 patients with COPD in Europe to examine the effect in patients without concomitant bronchodilator therapy. Patients in this study received either placebo or ensifentrine at doses ranging from 0.75 mg to 6 mg twice daily over 4 weeks. Treatment with ensifentrine met the primary endpoint for all doses, showing a statistically significant increase in peak FEV</w:t>
      </w:r>
      <w:r>
        <w:rPr>
          <w:rFonts w:ascii="Arial" w:cs="Arial" w:eastAsia="Arial" w:hAnsi="Arial"/>
          <w:sz w:val="17"/>
          <w:szCs w:val="17"/>
          <w:color w:val="auto"/>
          <w:vertAlign w:val="subscript"/>
        </w:rPr>
        <w:t>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60"/>
          </w:cols>
          <w:pgMar w:left="220" w:top="268" w:right="219" w:bottom="1440" w:gutter="0" w:footer="0" w:header="0"/>
        </w:sectPr>
      </w:pPr>
    </w:p>
    <w:bookmarkStart w:id="74" w:name="page75"/>
    <w:bookmarkEnd w:id="74"/>
    <w:p>
      <w:pPr>
        <w:ind w:right="140"/>
        <w:spacing w:after="0" w:line="261" w:lineRule="auto"/>
        <w:rPr>
          <w:sz w:val="20"/>
          <w:szCs w:val="20"/>
          <w:color w:val="auto"/>
        </w:rPr>
      </w:pPr>
      <w:r>
        <w:rPr>
          <w:rFonts w:ascii="Arial" w:cs="Arial" w:eastAsia="Arial" w:hAnsi="Arial"/>
          <w:sz w:val="14"/>
          <w:szCs w:val="14"/>
          <w:color w:val="auto"/>
        </w:rPr>
        <w:t>compared to placebo (p&lt;0.001) with absolute changes from baseline &gt;200 mL in peak FEV1 after 4 weeks of dosing. In addition, statistically significant improvements in average FEV1 over 12 hours were observed at all doses after the first administration, and this effect was sustained over 4 weeks. Notably, statistically significant and clinically meaningful improvements in total COPD symptoms (p&lt;0.002) and dyspnea (p&lt;0.02) were shown using the EXACT - Respiratory Symptoms (E-RS), a recognized daily patient-reported outcome measure for use in clinical studies of COPD, as well as the Transition Dyspnea Index. We believe that the progressive improvement in COPD symptoms over the 4-week treatment period, which was different from the immediate onset of the bronchodilator response, suggests the involvement of an anti-inflammatory effect.</w:t>
      </w:r>
    </w:p>
    <w:p>
      <w:pPr>
        <w:spacing w:after="0" w:line="159"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In March 2018, we reported top-line data from a Phase 2a single-dose PK and pharmacodynamics, or PD, trial in the United Kingdom evaluating ensifentrine in ten CF patients. A PD trial involves the study of the biochemical and physiological effects of a drug and its mechanism of action. The PK profile was consistent with that observed in patients with COPD, although with lower peak serum levels of ensifentrine in CF patients. The serum half-life was dose dependent: 7.5 to 10.1 hours for the 1.5 mg and 6 mg doses, respectively. Ensifentrine elicited a statistically significant increase in average FEV</w:t>
      </w:r>
      <w:r>
        <w:rPr>
          <w:rFonts w:ascii="Arial" w:cs="Arial" w:eastAsia="Arial" w:hAnsi="Arial"/>
          <w:sz w:val="17"/>
          <w:szCs w:val="17"/>
          <w:color w:val="auto"/>
          <w:vertAlign w:val="subscript"/>
        </w:rPr>
        <w:t>1</w:t>
      </w:r>
      <w:r>
        <w:rPr>
          <w:rFonts w:ascii="Arial" w:cs="Arial" w:eastAsia="Arial" w:hAnsi="Arial"/>
          <w:sz w:val="14"/>
          <w:szCs w:val="14"/>
          <w:color w:val="auto"/>
        </w:rPr>
        <w:t xml:space="preserve"> in treated patients for the 1.5 mg dose (all time points, p&lt;0.01) and the 6 mg dose (all time points p&lt;0.05) at 4-, 6-, and 8-hour time points. Ensifentrine was observed to be well-tolerated in this patient group with an adverse event profile consistent with other studies with the compound.</w:t>
      </w:r>
    </w:p>
    <w:p>
      <w:pPr>
        <w:spacing w:after="0" w:line="81"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We do not have any approved products and, as a result, have not generated any revenue from product sales or otherwise. Ensifentrine is our only current product candidate, and our ability to generate revenue sufficient to achieve profitability will depend on our successful development and eventual commercialization of ensifentrine, if approved, for one or more of its targeted indications. Since our inception, we have incurred significant operating losses. For the years ended December 31, 2018 and 2019 we incurred net losses of £19.9 million and £32.0 million, respectively. As of December 31, 2019, we had an accumulated loss of £100.6 million.</w:t>
      </w:r>
    </w:p>
    <w:p>
      <w:pPr>
        <w:spacing w:after="0" w:line="7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expect to incur significant expenses and operating losses for the foreseeable future as we advance the clinical development of ensifentrine, and seek regulatory approval and pursue commercialization of ensifentrine, if approved. In addition, if we obtain regulatory approval for ensifentrine, we expect to incur significant commercialization expenses related to product manufacturing, marketing, sales and distribution. In addition, we may incur expenses in connection with the in-license or acquisition of additional product candidates and the potential clinical development of any such product candidates.</w:t>
      </w:r>
    </w:p>
    <w:p>
      <w:pPr>
        <w:spacing w:after="0" w:line="73"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7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were incorporated in February 2005 and are headquartered in the United Kingdom. Since September 2006, our ordinary shares have traded on AIM, a market of the London Stock Exchange, under the symbol "VRP". We have raised approximately £145 million in gross proceeds from investors since such listing, of which approximately £70.3 million was raised in our initial public offering of our American Depositary Shares, or ADSs, in April and May 2017, which are listed on The Nasdaq Global Market, or Nasdaq, under the symbol “VRNA,” and the accompanying private offering in Europe of our ordinary shares, or the global offering, and a concurrent private placement to certain shareholders of our ordinary shares, or the shareholder private placement, and £45 million was raised in our July 2016 private placement of equity securities with a number of European and U.S.-based healthcare specialist investment firms, or the July 2016 Placement.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40"/>
          </w:cols>
          <w:pgMar w:left="220" w:top="311" w:right="2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License Agreement with Ligand (formerly Vernalis)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In February 2005, Rhinopharma Limited, or Rhinopharma, entered into an assignment and license agreement with Vernalis Development Limited, or Vernalis (in October 2018, Vernalis was acquired by, and became a wholly owned subsidiary of, Ligand Pharmaceuticals, Inc., or Ligand). We refer to the assignment and license agreement as the Ligand Agreement. In 2006, we acquired Rhinopharma and all of its rights and liabilities under the Ligand Agreement. Pursuant to the Ligand Agreement, Ligand has assigned to us all of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7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Under the Ligand Agreement, we are obligated to pay Ligand a milestone payment of £5.0 million upon the first approval of any regulatory authority for the commercialization of any Licensed Product, and a portion equal to a percentage in the mid-twenties of any consideration received from any of our sublicensees for Ligand Patents or Ligand know-how, excluding royalties. We must also pay Ligand, on a Licensed Product-by-Licensed Product and country-by-country basis, a low to mid-single digit percentage royalty based on net sales of each Licensed Product for a period beginning with the first commercial sale of such Licensed Product in a country and ending on the later of the expiration of a certain number of years after such first commercial sale and if applicable the expiration of the last to expire valid claim in the Ligand Patents covering the development, manufacture or commercialization of such Licensed Product in such country. Prior to the first commercial sale of each Licensed Product, such royalties also are due in the same percentages for any named patient sales.</w:t>
      </w:r>
    </w:p>
    <w:p>
      <w:pPr>
        <w:spacing w:after="0" w:line="247"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The Ligand Agreement continues until terminated by either party in accordance with its terms. Either party may terminate the Ligand Agreement for an uncured material breach, bankruptcy or insolvency of the other party.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 See "— Financial Operations Overview — Finance Income and Expense" and Note 2.12 of our Annual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14"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We do not have any approved products. Accordingly, we have not generated any revenue, and we do not expect to generate any revenue from the sale of any products unless or until we obtain regulatory approvals of and commercialize ensifentrine or any other product candidate we may develop in the future, which may never occur.</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Research and development costs include:</w:t>
      </w:r>
    </w:p>
    <w:p>
      <w:pPr>
        <w:spacing w:after="0" w:line="98" w:lineRule="exact"/>
        <w:rPr>
          <w:sz w:val="20"/>
          <w:szCs w:val="20"/>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employee-related expenses, such as salaries, share-based compensation, benefits and travel expense, for our research and development personnel;</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costs for production of drug substance by contract manufacturing organizations;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fees and other costs paid to contract research organizations and consultants to conduct our clinical trials and pre-clinical and non-clinical studies;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costs of related facilities, materials and equipment;</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costs associated with obtaining and maintaining patents and other intellectual property; and</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amortization and depreciation of intangible and tangible fixed assets used to develop ensifentrine.</w:t>
      </w:r>
    </w:p>
    <w:p>
      <w:pPr>
        <w:spacing w:after="0" w:line="98"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Research and development activities will continue to be central to our business model. Product candidates in later stages of clinical development, such as ensifentrine for the maintenance treatment of COPD, generally have higher development costs than those in earlier stages of clinical development, primarily due to the increased size and duration of later-stage clinical trials. We expect our research and development costs to be significant over the next several years as we hire additional research and development personnel and increase compensation costs, advance the clinical development of ensifentrine, develop new formulations of ensifentrine for the treatment of COPD, continue the clinical development of ensifentrine for the treatment of CF and asthma and potentially pursue the development of ensifentrine for other forms of respiratory disease.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60"/>
          </w:cols>
          <w:pgMar w:left="220" w:top="293" w:right="219" w:bottom="1440" w:gutter="0" w:footer="0" w:header="0"/>
        </w:sectPr>
      </w:pPr>
    </w:p>
    <w:bookmarkStart w:id="76" w:name="page77"/>
    <w:bookmarkEnd w:id="76"/>
    <w:p>
      <w:pPr>
        <w:ind w:right="260"/>
        <w:spacing w:after="0" w:line="265" w:lineRule="auto"/>
        <w:rPr>
          <w:sz w:val="20"/>
          <w:szCs w:val="20"/>
          <w:color w:val="auto"/>
        </w:rPr>
      </w:pPr>
      <w:r>
        <w:rPr>
          <w:rFonts w:ascii="Arial" w:cs="Arial" w:eastAsia="Arial" w:hAnsi="Arial"/>
          <w:sz w:val="14"/>
          <w:szCs w:val="14"/>
          <w:color w:val="auto"/>
        </w:rPr>
        <w:t>The successful development and commercialization of ensifentrine is highly uncertain. At this time, we cannot reasonably estimate the nature, timing and estimated costs of the efforts that will be necessary to complete the development of, or the period, if any, in which material net cash inflows may commence from, ensifentrine or any future product candidates. This is due to numerous risks and uncertainties associated with developing drugs, including the uncertainty of:</w:t>
      </w:r>
    </w:p>
    <w:p>
      <w:pPr>
        <w:spacing w:after="0" w:line="70" w:lineRule="exact"/>
        <w:rPr>
          <w:sz w:val="20"/>
          <w:szCs w:val="20"/>
          <w:color w:val="auto"/>
        </w:rPr>
      </w:pPr>
    </w:p>
    <w:p>
      <w:pPr>
        <w:ind w:left="520" w:hanging="255"/>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scope, rate of progress and expense of our research and development activities;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progress and results of clinical trials and pre-clinical and non-clinical studies;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terms and timing of regulatory approvals;</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expense of filing, prosecuting, defending and enforcing patent claims and other intellectual property rights; and</w:t>
      </w:r>
    </w:p>
    <w:p>
      <w:pPr>
        <w:spacing w:after="0" w:line="97" w:lineRule="exact"/>
        <w:rPr>
          <w:rFonts w:ascii="Arial" w:cs="Arial" w:eastAsia="Arial" w:hAnsi="Arial"/>
          <w:sz w:val="14"/>
          <w:szCs w:val="14"/>
          <w:color w:val="auto"/>
        </w:rPr>
      </w:pPr>
    </w:p>
    <w:p>
      <w:pPr>
        <w:ind w:left="520" w:hanging="255"/>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ability to market, commercialize and achieve market acceptance for ensifentrine or any other future product candidate, if approved.</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Any of these variables with respect to the development of ensifentrine or any other future product candidate that we may develop could result in a significant change in the costs and timing associated with the development of ensifentrine or such future product candidate. For example, if the FDA, the EMA or 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Costs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general and administrative costs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requirements of being a listed public company on AIM and Nasdaq. 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Additionally, we anticipate continued increased costs associated with being a U.S. public company, including expenses related to services associated with maintaining compliance with Nasdaq rules and SEC requirements, director compensation, insurance and investor relation costs. If ensifentrine obtains regulatory approval for marketing, we expect that we will incur expenses associated with building a sales and marketing team. In addition, we expect to continue to grant share-based compensation awards to key management personnel and other employees.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Finance Income and Expense</w:t>
      </w:r>
    </w:p>
    <w:p>
      <w:pPr>
        <w:spacing w:after="0" w:line="114"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Finance income consists of interest earned on our cash and cash equivalents and any decrease in the fair value of the derivative financial liability related to the 31,115,926 units issued by us to new and existing institutional and other investors in the July 2016 Placement.</w:t>
      </w:r>
    </w:p>
    <w:p>
      <w:pPr>
        <w:spacing w:after="0" w:line="65"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Finance expense consists of any increase in the carrying value resulting from the unwinding of the discount factor related to the assumed contingent arrangement under the Ligand Agreement and any increase in the fair value of the derivative financial liability related to the July 2016 Placement.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a U.K. resident trading entity, we are subject to U.K. corporate taxation. Due to the nature of our business, we have generated losses since inception. As a company that carries out extensive research and development activities, we benefit from the U.K. research and development tax credit regime for small or medium sized entities and are currently able to surrender some of our trading losses that arise from our research and development activities for a cash rebate of up to 33.35% of eligible research and development expenditure.</w:t>
      </w:r>
    </w:p>
    <w:p>
      <w:pPr>
        <w:ind w:right="220"/>
        <w:spacing w:after="0" w:line="265" w:lineRule="auto"/>
        <w:rPr>
          <w:sz w:val="20"/>
          <w:szCs w:val="20"/>
          <w:color w:val="auto"/>
        </w:rPr>
      </w:pPr>
      <w:r>
        <w:rPr>
          <w:rFonts w:ascii="Arial" w:cs="Arial" w:eastAsia="Arial" w:hAnsi="Arial"/>
          <w:sz w:val="14"/>
          <w:szCs w:val="14"/>
          <w:color w:val="auto"/>
        </w:rPr>
        <w:t>The amount of such rebates is currently under review and may in future be subject to certain additional conditions and/or a cap. Qualifying expenditures largely comprise employment costs for research staff, consumables and certain internal overhead costs incurred as part of research projects. In the event we generate revenues in the future, we may benefit from the "patent box" initiative that allows profits attributable to revenues from patents or patented products to be taxed at a lower rate than other revenue of 10%.</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00"/>
          </w:cols>
          <w:pgMar w:left="220" w:top="311" w:right="27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auto"/>
        </w:rPr>
        <w:t>Critical Accounting Judgments and Estimates</w:t>
      </w:r>
    </w:p>
    <w:p>
      <w:pPr>
        <w:spacing w:after="0" w:line="11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Our discussion and analysis of our financial condition and results of operations is based on our financial statements, which we have prepared in accordance with IFRS as issued by the IASB.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Actual results may differ from these estimates under different assumptions or conditions.</w:t>
      </w:r>
    </w:p>
    <w:p>
      <w:pPr>
        <w:spacing w:after="0" w:line="73" w:lineRule="exact"/>
        <w:rPr>
          <w:sz w:val="20"/>
          <w:szCs w:val="20"/>
          <w:color w:val="auto"/>
        </w:rPr>
      </w:pPr>
    </w:p>
    <w:p>
      <w:pPr>
        <w:ind w:right="560"/>
        <w:spacing w:after="0" w:line="273" w:lineRule="auto"/>
        <w:rPr>
          <w:sz w:val="20"/>
          <w:szCs w:val="20"/>
          <w:color w:val="auto"/>
        </w:rPr>
      </w:pPr>
      <w:r>
        <w:rPr>
          <w:rFonts w:ascii="Arial" w:cs="Arial" w:eastAsia="Arial" w:hAnsi="Arial"/>
          <w:sz w:val="14"/>
          <w:szCs w:val="14"/>
          <w:color w:val="auto"/>
        </w:rPr>
        <w:t>Our significant accounting policies are more fully described in the notes to our financial statements appearing elsewhere in this Annual Report. We believe that the following accounting policies are the most critical to aid you in fully understanding and evaluating our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Assumed Contingent Liability</w:t>
      </w:r>
    </w:p>
    <w:p>
      <w:pPr>
        <w:spacing w:after="0" w:line="11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 significant management estimate relates to the probability, amount and timing of any payment relating to the assumed contingent liability under the Ligand Agreement, a provision for which is recorded in our statement of financial position. See “- License Agreement with Ligand,” “Item 4.B. Business Overview - Ligand Agreement” and Note 20 to our Annual Consolidated Financial Statements included elsewhere in this Annual Report. A change in the probability and timing of any payment relating to the assumed contingent liability could result in a significant fluctuation in our financial results in future periods.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Derivative Financial Liability</w:t>
      </w:r>
    </w:p>
    <w:p>
      <w:pPr>
        <w:spacing w:after="0" w:line="114" w:lineRule="exact"/>
        <w:rPr>
          <w:sz w:val="20"/>
          <w:szCs w:val="20"/>
          <w:color w:val="auto"/>
        </w:rPr>
      </w:pPr>
    </w:p>
    <w:p>
      <w:pPr>
        <w:jc w:val="both"/>
        <w:ind w:right="360"/>
        <w:spacing w:after="0" w:line="265" w:lineRule="auto"/>
        <w:rPr>
          <w:sz w:val="20"/>
          <w:szCs w:val="20"/>
          <w:color w:val="auto"/>
        </w:rPr>
      </w:pPr>
      <w:r>
        <w:rPr>
          <w:rFonts w:ascii="Arial" w:cs="Arial" w:eastAsia="Arial" w:hAnsi="Arial"/>
          <w:sz w:val="14"/>
          <w:szCs w:val="14"/>
          <w:color w:val="auto"/>
        </w:rPr>
        <w:t>In connection with the July 2016 Placement, we issued 31,115,926 warrants to new and existing institutional and other investors. Each warrant is entitled to purchase 0.4 of an ordinary share at a price of £1.7238. Each warrant became exercisable upon the closing of the global offering and will expire on the fifth anniversary of the closing of the global offering.</w:t>
      </w:r>
    </w:p>
    <w:p>
      <w:pPr>
        <w:spacing w:after="0" w:line="70" w:lineRule="exact"/>
        <w:rPr>
          <w:sz w:val="20"/>
          <w:szCs w:val="20"/>
          <w:color w:val="auto"/>
        </w:rPr>
      </w:pPr>
    </w:p>
    <w:p>
      <w:pPr>
        <w:ind w:right="20"/>
        <w:spacing w:after="0" w:line="178" w:lineRule="exact"/>
        <w:rPr>
          <w:sz w:val="20"/>
          <w:szCs w:val="20"/>
          <w:color w:val="auto"/>
        </w:rPr>
      </w:pPr>
      <w:r>
        <w:rPr>
          <w:rFonts w:ascii="Arial" w:cs="Arial" w:eastAsia="Arial" w:hAnsi="Arial"/>
          <w:sz w:val="14"/>
          <w:szCs w:val="14"/>
          <w:color w:val="auto"/>
        </w:rPr>
        <w:t>We classify these warrants as a derivative financial liability to be presented on our consolidated statement of financial position. The fair value of these warrants is determined by applying the Black</w:t>
      </w:r>
      <w:r>
        <w:rPr>
          <w:rFonts w:ascii="MS PGothic" w:cs="MS PGothic" w:eastAsia="MS PGothic" w:hAnsi="MS PGothic"/>
          <w:sz w:val="14"/>
          <w:szCs w:val="14"/>
          <w:color w:val="auto"/>
        </w:rPr>
        <w:t>‑</w:t>
      </w:r>
      <w:r>
        <w:rPr>
          <w:rFonts w:ascii="Arial" w:cs="Arial" w:eastAsia="Arial" w:hAnsi="Arial"/>
          <w:sz w:val="14"/>
          <w:szCs w:val="14"/>
          <w:color w:val="auto"/>
        </w:rPr>
        <w:t>Scholes model. Assumptions are made on inputs such as time to maturity, the share price, volatility and risk free rate, in order to determine the fair value per warrant. For valuation purposes at recognition of the liability, we used the closing share price of our ordinary shares as reported on AIM on July 29, 2016, the date of issuance of the warrants.</w:t>
      </w:r>
    </w:p>
    <w:p>
      <w:pPr>
        <w:spacing w:after="0" w:line="243"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At the date of issuance of the warrants we calculated a fair value and recorded a derivative financial liability, which on initial recognition was offset against the share premium in relation to the funds received in connection with the July 2016 Placement. Subsequent updates to the fair value of the derivative financial liability will not result in changes to share premium, but will result in an adjusting entry in the consolidated derivative financial liability statement of comprehensive income. We will continue to adjust the derivative financial liability until the earlier of the exercise of the warrants or expiration of the warrants occurs.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in the rules and regulations of the SEC.</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16"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We refer to Note 2.19 to our Annual Consolidated Financial Statements for the year ended December 31, 2019 included elsewhere in this Annual Report for a discussion of new standards and interpretations not yet adopted by us.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11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Section 107(b) of the Jumpstart Our Business Startups Act of 2012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60"/>
          </w:cols>
          <w:pgMar w:left="220" w:top="293" w:right="2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Results of Operations</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 discussion of the year ended December 31, 2018, compared to the year ended December 31, 2017, has been reported previously in our Annual Report on Form 20-F for the year ended December 31, 2018, filed with the SEC on March 19, 2019, under the heading “Operating and Financial Review and Prospects.”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Operations for the Years ended December 31, 2019, and 2018</w:t>
      </w:r>
    </w:p>
    <w:p>
      <w:pPr>
        <w:spacing w:after="0" w:line="11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following table sets forth our results of operations for the periods indicated. For the convenience of the reader, we have translated pound sterling amounts as of December 31, 2019 at the noon buying rate of the Federal Reserve Bank of New York on December 31, 2019, which was £1.00 to $1.3269. These translations should not be considered representations that any such amounts have been, could have been or could be converted into U.S. dollars at that or any other exchange rate as of that or any other 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w w:val="97"/>
              </w:rPr>
              <w:t>2019</w:t>
            </w:r>
          </w:p>
        </w:tc>
        <w:tc>
          <w:tcPr>
            <w:tcW w:w="1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206"/>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49"/>
              <w:spacing w:after="0"/>
              <w:rPr>
                <w:sz w:val="20"/>
                <w:szCs w:val="20"/>
                <w:color w:val="auto"/>
              </w:rPr>
            </w:pPr>
            <w:r>
              <w:rPr>
                <w:rFonts w:ascii="Arial" w:cs="Arial" w:eastAsia="Arial" w:hAnsi="Arial"/>
                <w:sz w:val="11"/>
                <w:szCs w:val="11"/>
                <w:b w:val="1"/>
                <w:bCs w:val="1"/>
                <w:color w:val="auto"/>
              </w:rPr>
              <w:t>£'000s</w:t>
            </w:r>
          </w:p>
        </w:tc>
        <w:tc>
          <w:tcPr>
            <w:tcW w:w="520" w:type="dxa"/>
            <w:vAlign w:val="bottom"/>
          </w:tcPr>
          <w:p>
            <w:pPr>
              <w:spacing w:after="0"/>
              <w:rPr>
                <w:sz w:val="17"/>
                <w:szCs w:val="17"/>
                <w:color w:val="auto"/>
              </w:rPr>
            </w:pPr>
          </w:p>
        </w:tc>
        <w:tc>
          <w:tcPr>
            <w:tcW w:w="1180" w:type="dxa"/>
            <w:vAlign w:val="bottom"/>
          </w:tcPr>
          <w:p>
            <w:pPr>
              <w:jc w:val="right"/>
              <w:ind w:right="529"/>
              <w:spacing w:after="0"/>
              <w:rPr>
                <w:sz w:val="20"/>
                <w:szCs w:val="20"/>
                <w:color w:val="auto"/>
              </w:rPr>
            </w:pPr>
            <w:r>
              <w:rPr>
                <w:rFonts w:ascii="Arial" w:cs="Arial" w:eastAsia="Arial" w:hAnsi="Arial"/>
                <w:sz w:val="11"/>
                <w:szCs w:val="11"/>
                <w:b w:val="1"/>
                <w:bCs w:val="1"/>
                <w:color w:val="auto"/>
              </w:rPr>
              <w:t>$'000s</w:t>
            </w:r>
          </w:p>
        </w:tc>
        <w:tc>
          <w:tcPr>
            <w:tcW w:w="400" w:type="dxa"/>
            <w:vAlign w:val="bottom"/>
          </w:tcPr>
          <w:p>
            <w:pPr>
              <w:spacing w:after="0"/>
              <w:rPr>
                <w:sz w:val="17"/>
                <w:szCs w:val="17"/>
                <w:color w:val="auto"/>
              </w:rPr>
            </w:pPr>
          </w:p>
        </w:tc>
        <w:tc>
          <w:tcPr>
            <w:tcW w:w="1140" w:type="dxa"/>
            <w:vAlign w:val="bottom"/>
          </w:tcPr>
          <w:p>
            <w:pPr>
              <w:jc w:val="center"/>
              <w:ind w:right="251"/>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costs</w:t>
            </w:r>
          </w:p>
        </w:tc>
        <w:tc>
          <w:tcPr>
            <w:tcW w:w="2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(33,476)</w:t>
            </w:r>
          </w:p>
        </w:tc>
        <w:tc>
          <w:tcPr>
            <w:tcW w:w="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(44,419)</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(19,294)</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 costs</w:t>
            </w:r>
          </w:p>
        </w:tc>
        <w:tc>
          <w:tcPr>
            <w:tcW w:w="18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(7,607)</w:t>
            </w: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(10,094)</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(6,297)</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1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(41,083)</w:t>
            </w: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(54,513)</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(25,591)</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Finance income</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2,351</w:t>
            </w:r>
          </w:p>
        </w:tc>
        <w:tc>
          <w:tcPr>
            <w:tcW w:w="520" w:type="dxa"/>
            <w:vAlign w:val="bottom"/>
          </w:tcPr>
          <w:p>
            <w:pPr>
              <w:spacing w:after="0"/>
              <w:rPr>
                <w:sz w:val="18"/>
                <w:szCs w:val="18"/>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3,120</w:t>
            </w:r>
          </w:p>
        </w:tc>
        <w:tc>
          <w:tcPr>
            <w:tcW w:w="4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2,783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w:t>
            </w:r>
          </w:p>
        </w:tc>
        <w:tc>
          <w:tcPr>
            <w:tcW w:w="18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5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(629)</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rPr>
                <w:sz w:val="20"/>
                <w:szCs w:val="20"/>
                <w:color w:val="auto"/>
              </w:rPr>
            </w:pPr>
            <w:r>
              <w:rPr>
                <w:rFonts w:ascii="Arial" w:cs="Arial" w:eastAsia="Arial" w:hAnsi="Arial"/>
                <w:sz w:val="14"/>
                <w:szCs w:val="14"/>
                <w:color w:val="auto"/>
              </w:rPr>
              <w:t>Loss before taxation</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(39,206)</w:t>
            </w:r>
          </w:p>
        </w:tc>
        <w:tc>
          <w:tcPr>
            <w:tcW w:w="52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(52,022)</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(24,133)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Taxation — credit</w:t>
            </w:r>
          </w:p>
        </w:tc>
        <w:tc>
          <w:tcPr>
            <w:tcW w:w="18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5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9,640</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rPr>
                <w:sz w:val="20"/>
                <w:szCs w:val="20"/>
                <w:color w:val="auto"/>
              </w:rPr>
            </w:pPr>
            <w:r>
              <w:rPr>
                <w:rFonts w:ascii="Arial" w:cs="Arial" w:eastAsia="Arial" w:hAnsi="Arial"/>
                <w:sz w:val="14"/>
                <w:szCs w:val="14"/>
                <w:color w:val="auto"/>
              </w:rPr>
              <w:t>Loss for the year</w:t>
            </w: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(31,941)</w:t>
            </w:r>
          </w:p>
        </w:tc>
        <w:tc>
          <w:tcPr>
            <w:tcW w:w="520" w:type="dxa"/>
            <w:vAlign w:val="bottom"/>
          </w:tcPr>
          <w:p>
            <w:pPr>
              <w:spacing w:after="0"/>
              <w:rPr>
                <w:sz w:val="17"/>
                <w:szCs w:val="17"/>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(42,382)</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(19,901)</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 income</w:t>
            </w:r>
          </w:p>
        </w:tc>
        <w:tc>
          <w:tcPr>
            <w:tcW w:w="1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Exchange differences on translating foreign operations</w:t>
            </w:r>
          </w:p>
        </w:tc>
        <w:tc>
          <w:tcPr>
            <w:tcW w:w="18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attributable to owners of the company</w:t>
            </w:r>
          </w:p>
        </w:tc>
        <w:tc>
          <w:tcPr>
            <w:tcW w:w="2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(31,974)</w:t>
            </w:r>
          </w:p>
        </w:tc>
        <w:tc>
          <w:tcPr>
            <w:tcW w:w="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(42,426)</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848"/>
              <w:spacing w:after="0"/>
              <w:rPr>
                <w:sz w:val="20"/>
                <w:szCs w:val="20"/>
                <w:color w:val="auto"/>
              </w:rPr>
            </w:pPr>
            <w:r>
              <w:rPr>
                <w:rFonts w:ascii="Arial" w:cs="Arial" w:eastAsia="Arial" w:hAnsi="Arial"/>
                <w:sz w:val="14"/>
                <w:szCs w:val="14"/>
                <w:color w:val="auto"/>
              </w:rPr>
              <w:t>78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4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293" w:right="25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i w:val="1"/>
          <w:iCs w:val="1"/>
          <w:color w:val="auto"/>
        </w:rPr>
        <w:t>Comparison of Operations for the Years ended December 31, 2019 and 2018</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The operating loss for the year ended December 31, 2019 was £41.1 million (2018: £25.6 million) and the loss after tax for the year ended December 31, 2019 was £31.9 million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(2018: £19.9 million).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Costs</w:t>
      </w:r>
    </w:p>
    <w:p>
      <w:pPr>
        <w:spacing w:after="0" w:line="24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Research and development costs were £33.5 million for the year ended December 31, 2019 as compared to £19.3 million for the year ended December 31, 2018, an increase of £14.2 million. The cost of clinical trials increased by £12.7 million as there were two active trials in the year ended December 31, 2018, compared to four clinical trials in the year ended December 31, 2019. Pre-clinical costs increased by £0.3 million which was offset by a reduction in contract manufacturing and formulation development costs by £0.4 million. Personnel related costs increased by £1.3 million in the year ended December 31, 2019, compared to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Costs</w:t>
      </w:r>
    </w:p>
    <w:p>
      <w:pPr>
        <w:spacing w:after="0" w:line="24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General and administrative costs were £7.6 million for the year ended December 31, 2019 as compared to £6.3 million for the year ended December 31, 2018, an increase of £1.3 million. The increase was primarily attributable to a £0.9 million increase in costs relating to commercial market research, a £0.3 million increase in personnel related costs and a £0.6 million increase in other overhead costs. This was offset by a £0.5 million decrease in share based payments.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Finance Income and Expense</w:t>
      </w:r>
    </w:p>
    <w:p>
      <w:pPr>
        <w:spacing w:after="0" w:line="24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Finance income was £2.4 million for the year ended December 31, 2019 and £2.8 million for the year ended December 31, 2018. The decrease was due to a loss in foreign exchange on cash and short term investments (recorded as a finance expense) compared to £1.9 million gain in the prior year. This was offset by a £1.6 million decrease in the fair value of the warrant liability in the year ended December 31, 2019 compared to an increase in the liability in the year ended December 31, 2018 (which is a non-cash item, recorded as a finance expense).</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Finance expense was £0.5 million for the year ended December 31, 2019, as compared to £1.3 million for the year ended December 31, 2018. The movement was due to a decrease in the fair value of the warrant liability (recorded in finance income), compared to an increase of £1.2 million December 31, 2018, both non-cash items. In addition, there was a foreign exchange loss on cash and short-term investments in December 31, 2019 of £0.3 million. In the year ended December 31, 2018, there was a foreign exchange gain (recorded in finance income).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As at December 31, 2019, there was approximately £22.9 million in cash and cash equivalents (2018: £19.8 million) and £7.8 million in short-term investments (2018: £44.9 million).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Taxation</w:t>
      </w:r>
    </w:p>
    <w:p>
      <w:pPr>
        <w:spacing w:after="0" w:line="24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Taxation for the year ended December 31, 2019 amounted to a credit of £7.3 million as compared to a credit of £4.2 million for the year ended December 31, 2018, an increase in the credit amount of £3.1 million. The credits are obtained at a rate of 14.5% of 230% of our qualifying research and development expenditure, and the increase in the credit amount was primarily attributable to our increased expenditure on research and development.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60"/>
          </w:cols>
          <w:pgMar w:left="220" w:top="403" w:right="2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B.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43" w:lineRule="exact"/>
        <w:rPr>
          <w:sz w:val="20"/>
          <w:szCs w:val="20"/>
          <w:color w:val="auto"/>
        </w:rPr>
      </w:pPr>
    </w:p>
    <w:p>
      <w:pPr>
        <w:ind w:right="480"/>
        <w:spacing w:after="0" w:line="273" w:lineRule="auto"/>
        <w:rPr>
          <w:sz w:val="20"/>
          <w:szCs w:val="20"/>
          <w:color w:val="auto"/>
        </w:rPr>
      </w:pPr>
      <w:r>
        <w:rPr>
          <w:rFonts w:ascii="Arial" w:cs="Arial" w:eastAsia="Arial" w:hAnsi="Arial"/>
          <w:sz w:val="14"/>
          <w:szCs w:val="14"/>
          <w:color w:val="auto"/>
        </w:rPr>
        <w:t>We do not currently have any approved products and have never generated any revenue from product sales or otherwise. To date, we have financed our operations primarily through the issuances of our equity securities, including warrants.</w:t>
      </w:r>
    </w:p>
    <w:p>
      <w:pPr>
        <w:spacing w:after="0" w:line="19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Company has incurred recurring losses since inception, including net losses of £31.9 million, £19.9 million and £20.5 million for the years ended December 31, 2019, 2018 and 2017, respectively. In addition, as of December 31, 2019, the Company had an accumulated loss of £100.6 million. The Company expects to continue to generate operating losses for the foreseeable future. As of the issuance date of the annual consolidated financial statements, the Company expects that its cash and cash equivalents, would be sufficient to fund its operating expenses and capital expenditure requirements for at least 12 months from the issuance date of these annual consolidated financial statements.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Company intends to initiate its Phase 3 program for the maintenance treatment of COPD once it believes it has alignment with the FDA on its planned design for the Phase 3 clinical program. The Company will require significant additional funding to initiate and complete this Phase 3 program and will need to secure the required capital to fund the program. The Company will seek additional funding through public or private financings, debt financing, collaboration or licensing agreements and other arrangements. However, there is no guarantee that the Company will be successful in securing additional finance on acceptable terms, or at all, and should the Company be unable to raise sufficient additional funds it will be required to defer the initiation of Phase 3 clinical trials, until such funding can be obtained. This could also force the Company to delay, reduce or eliminate some or all of its research and development programs, product portfolio expansion or commercialization efforts, or pursue alternative development strategies that differ significantly from its current strategy, which could have a material adverse effect on the Company’s business,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We have no ongoing material financing commitments, such as lines of credit or guarantees, that are expected to affect our liquidity over the next five years, other than leases.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243"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The table below summaries our cash flows for each of the periods presented. For the convenience of the reader, we have translated pound sterling amounts as of December 31, 2019 at the noon buying rate of the Federal Reserve Bank of New York on December 31, 2019, which was £1.00 to $1.3269. These translations should not be considered representations that any such amounts have been, could have been or could be converted into U.S. dollars at that or any other exchange rate as of that or any other date.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7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206"/>
        </w:trPr>
        <w:tc>
          <w:tcPr>
            <w:tcW w:w="67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w w:val="97"/>
              </w:rPr>
              <w:t>2019</w:t>
            </w: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2018</w:t>
            </w:r>
          </w:p>
        </w:tc>
      </w:tr>
      <w:tr>
        <w:trPr>
          <w:trHeight w:val="206"/>
        </w:trPr>
        <w:tc>
          <w:tcPr>
            <w:tcW w:w="67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£'000s</w:t>
            </w:r>
          </w:p>
        </w:tc>
        <w:tc>
          <w:tcPr>
            <w:tcW w:w="6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1"/>
                <w:szCs w:val="11"/>
                <w:b w:val="1"/>
                <w:bCs w:val="1"/>
                <w:color w:val="auto"/>
              </w:rPr>
              <w:t>$'000s</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1"/>
                <w:szCs w:val="11"/>
                <w:b w:val="1"/>
                <w:bCs w:val="1"/>
                <w:color w:val="auto"/>
              </w:rPr>
              <w:t>£'000s</w:t>
            </w:r>
          </w:p>
        </w:tc>
      </w:tr>
      <w:tr>
        <w:trPr>
          <w:trHeight w:val="205"/>
        </w:trPr>
        <w:tc>
          <w:tcPr>
            <w:tcW w:w="674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(33,820)</w:t>
            </w:r>
          </w:p>
        </w:tc>
        <w:tc>
          <w:tcPr>
            <w:tcW w:w="680" w:type="dxa"/>
            <w:vAlign w:val="bottom"/>
          </w:tcPr>
          <w:p>
            <w:pPr>
              <w:ind w:lef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(44,876)</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(18,111)</w:t>
            </w:r>
          </w:p>
        </w:tc>
      </w:tr>
      <w:tr>
        <w:trPr>
          <w:trHeight w:val="221"/>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generated from investing activities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37,799</w:t>
            </w: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50,155</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5,281</w:t>
            </w: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(565)</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 (decrease) in cash and cash equivalents</w:t>
            </w: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3,553</w:t>
            </w:r>
          </w:p>
        </w:tc>
        <w:tc>
          <w:tcPr>
            <w:tcW w:w="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4,714</w:t>
            </w:r>
          </w:p>
        </w:tc>
        <w:tc>
          <w:tcPr>
            <w:tcW w:w="4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(12,830)</w:t>
            </w: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increase in net cash used in operating activities to £33.8 million for the year ended December 31, 2019, from £18.1 million for the year ended December 31, 2018, was primarily due to an increase in operating activities of £15.5 million, which principally comprises the increase in clinical trial and other research expenditure amounting to £14.2 million together with an increase in General and Administrative expenditure of £1.3 million, each of which are described further above.</w:t>
      </w:r>
    </w:p>
    <w:p>
      <w:pPr>
        <w:spacing w:after="0" w:line="9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Net cash (used in) / generated from investing activities predominantly reflects the net movement of cash being placed on deposit for more than three months and such deposits maturing, because deposits of more than three months are disclosed as short-term investments, separately from cash. Net cash generated from investing activities was £37.8 million for the year ended December 31, 2019, compared to net cash generated from investing activities of £5.3 million for the year ended December 31, 2018. In 2019, there was a net decrease in short-term deposits of three months or more reflecting a higher value of short-term deposits maturing, and being transferred to cash, than being placed. We balance the objective of obtaining higher interest income from longer-term deposits with short-term liquidity requirements.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60"/>
          </w:cols>
          <w:pgMar w:left="220" w:top="401" w:right="219" w:bottom="1440" w:gutter="0" w:footer="0" w:header="0"/>
        </w:sectPr>
      </w:pPr>
    </w:p>
    <w:bookmarkStart w:id="81" w:name="page82"/>
    <w:bookmarkEnd w:id="81"/>
    <w:p>
      <w:pPr>
        <w:ind w:right="120"/>
        <w:spacing w:after="0" w:line="273" w:lineRule="auto"/>
        <w:rPr>
          <w:sz w:val="20"/>
          <w:szCs w:val="20"/>
          <w:color w:val="auto"/>
        </w:rPr>
      </w:pPr>
      <w:r>
        <w:rPr>
          <w:rFonts w:ascii="Arial" w:cs="Arial" w:eastAsia="Arial" w:hAnsi="Arial"/>
          <w:sz w:val="14"/>
          <w:szCs w:val="14"/>
          <w:color w:val="auto"/>
        </w:rPr>
        <w:t>There was £0.4 million repayment of finance lease liabilities in financing activities for the year ended December 31, 2019, relating to payments for leased office space. There were no financing activities for the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and Capital Expenditure Requirements</w:t>
      </w:r>
    </w:p>
    <w:p>
      <w:pPr>
        <w:spacing w:after="0" w:line="243"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As of December 31, 2019, we had an accumulated loss of £100.6 million. We expect to continue to incur significant operating losses for the foreseeable future as we continue our research and development efforts and seek to obtain regulatory approval and commercialization of ensifentrine and any future product candidate we develop.</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We anticipate that our expenses will increase substantially if and as we:</w:t>
      </w:r>
    </w:p>
    <w:p>
      <w:pPr>
        <w:spacing w:after="0" w:line="227" w:lineRule="exact"/>
        <w:rPr>
          <w:sz w:val="20"/>
          <w:szCs w:val="20"/>
          <w:color w:val="auto"/>
        </w:rPr>
      </w:pPr>
    </w:p>
    <w:p>
      <w:pPr>
        <w:ind w:left="520" w:hanging="25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initiate and conduct Phase 3 clinical trials for ensifentrine for the maintenance treatment of COPD;</w:t>
      </w:r>
    </w:p>
    <w:p>
      <w:pPr>
        <w:spacing w:after="0" w:line="226" w:lineRule="exact"/>
        <w:rPr>
          <w:rFonts w:ascii="Arial" w:cs="Arial" w:eastAsia="Arial" w:hAnsi="Arial"/>
          <w:sz w:val="14"/>
          <w:szCs w:val="14"/>
          <w:color w:val="auto"/>
        </w:rPr>
      </w:pPr>
    </w:p>
    <w:p>
      <w:pPr>
        <w:ind w:left="520" w:hanging="25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continue the clinical development of our DPI and pMDI formulations of ensifentrine and research and develop other formulations of ensifentrine;</w:t>
      </w:r>
    </w:p>
    <w:p>
      <w:pPr>
        <w:spacing w:after="0" w:line="226" w:lineRule="exact"/>
        <w:rPr>
          <w:rFonts w:ascii="Arial" w:cs="Arial" w:eastAsia="Arial" w:hAnsi="Arial"/>
          <w:sz w:val="14"/>
          <w:szCs w:val="14"/>
          <w:color w:val="auto"/>
        </w:rPr>
      </w:pPr>
    </w:p>
    <w:p>
      <w:pPr>
        <w:ind w:left="520" w:hanging="25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initiate and conduct further clinical trials for ensifentrine for the treatment of acute COPD, CF or any other indication;</w:t>
      </w:r>
    </w:p>
    <w:p>
      <w:pPr>
        <w:spacing w:after="0" w:line="226" w:lineRule="exact"/>
        <w:rPr>
          <w:rFonts w:ascii="Arial" w:cs="Arial" w:eastAsia="Arial" w:hAnsi="Arial"/>
          <w:sz w:val="14"/>
          <w:szCs w:val="14"/>
          <w:color w:val="auto"/>
        </w:rPr>
      </w:pPr>
    </w:p>
    <w:p>
      <w:pPr>
        <w:ind w:left="520" w:hanging="25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initiate and progress pre-clinical studies relating to other potential indications of ensifentrine;</w:t>
      </w:r>
    </w:p>
    <w:p>
      <w:pPr>
        <w:spacing w:after="0" w:line="226" w:lineRule="exact"/>
        <w:rPr>
          <w:rFonts w:ascii="Arial" w:cs="Arial" w:eastAsia="Arial" w:hAnsi="Arial"/>
          <w:sz w:val="14"/>
          <w:szCs w:val="14"/>
          <w:color w:val="auto"/>
        </w:rPr>
      </w:pPr>
    </w:p>
    <w:p>
      <w:pPr>
        <w:ind w:left="520" w:hanging="25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226" w:lineRule="exact"/>
        <w:rPr>
          <w:rFonts w:ascii="Arial" w:cs="Arial" w:eastAsia="Arial" w:hAnsi="Arial"/>
          <w:sz w:val="14"/>
          <w:szCs w:val="14"/>
          <w:color w:val="auto"/>
        </w:rPr>
      </w:pPr>
    </w:p>
    <w:p>
      <w:pPr>
        <w:ind w:left="520" w:hanging="25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seek regulatory approvals for any of our product candidates that successfully complete clinical trials;</w:t>
      </w:r>
    </w:p>
    <w:p>
      <w:pPr>
        <w:spacing w:after="0" w:line="226" w:lineRule="exact"/>
        <w:rPr>
          <w:rFonts w:ascii="Arial" w:cs="Arial" w:eastAsia="Arial" w:hAnsi="Arial"/>
          <w:sz w:val="14"/>
          <w:szCs w:val="14"/>
          <w:color w:val="auto"/>
        </w:rPr>
      </w:pPr>
    </w:p>
    <w:p>
      <w:pPr>
        <w:ind w:left="520" w:right="420" w:hanging="255"/>
        <w:spacing w:after="0" w:line="273"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potentially establish a sales, marketing and distribution infrastructure and scale-up manufacturing capabilities to commercialize any products for which we may obtain regulatory approval;</w:t>
      </w:r>
    </w:p>
    <w:p>
      <w:pPr>
        <w:spacing w:after="0" w:line="194" w:lineRule="exact"/>
        <w:rPr>
          <w:rFonts w:ascii="Arial" w:cs="Arial" w:eastAsia="Arial" w:hAnsi="Arial"/>
          <w:sz w:val="14"/>
          <w:szCs w:val="14"/>
          <w:color w:val="auto"/>
        </w:rPr>
      </w:pPr>
    </w:p>
    <w:p>
      <w:pPr>
        <w:ind w:left="520" w:hanging="25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226" w:lineRule="exact"/>
        <w:rPr>
          <w:rFonts w:ascii="Arial" w:cs="Arial" w:eastAsia="Arial" w:hAnsi="Arial"/>
          <w:sz w:val="14"/>
          <w:szCs w:val="14"/>
          <w:color w:val="auto"/>
        </w:rPr>
      </w:pPr>
    </w:p>
    <w:p>
      <w:pPr>
        <w:ind w:left="520" w:right="240" w:hanging="255"/>
        <w:spacing w:after="0" w:line="273"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add clinical, scientific, operational, financial and management information systems and personnel, including personnel to support our product development and potential future commercialization efforts and to support our continuing operations as a UK and U.S. public company; and</w:t>
      </w:r>
    </w:p>
    <w:p>
      <w:pPr>
        <w:spacing w:after="0" w:line="194" w:lineRule="exact"/>
        <w:rPr>
          <w:rFonts w:ascii="Arial" w:cs="Arial" w:eastAsia="Arial" w:hAnsi="Arial"/>
          <w:sz w:val="14"/>
          <w:szCs w:val="14"/>
          <w:color w:val="auto"/>
        </w:rPr>
      </w:pPr>
    </w:p>
    <w:p>
      <w:pPr>
        <w:ind w:left="520" w:right="660" w:hanging="255"/>
        <w:spacing w:after="0" w:line="273"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experience any delays or encounter any issues from any of the above, including but not limited to failed studies, complex results, safety issues or other regulatory challenges.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Company has incurred recurring losses since inception, including net losses of £31.9 million, £19.9 million and £20.5 million for the years ended December 31, 2019, 2018 and 2017, respectively. In addition, as of December 31, 2019, the Company had an accumulated loss of £101.1 million. The Company expects to continue to generate operating losses for the foreseeable future. As of the issuance date of the annual consolidated financial statements, the Company expects that its cash and cash equivalents, would be sufficient to fund its operating expenses and capital expenditure requirements for at least 12 months from the issuance date of these annual consolidated financial statements.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04"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Company intends to initiate its Phase 3 program for the maintenance treatment of COPD once it believes it has alignment with the FDA on its planned design for the Phase 3 clinical program. The Company will require significant additional funding to initiate and complete this Phase 3 program and will need to secure the required capital to fund the program. The Company will seek additional funding through public or private financings, debt financing, collaboration or licensing agreements and other arrangements. However, there is no guarantee that the Company will be successful in securing additional finance on acceptable terms, or at all, and should the Company be unable to raise sufficient additional funds it will be required to defer the initiation of Phase 3 clinical trials, until such funding can be obtained. This could also force the Company to delay, reduce or eliminate some or all of its research and development programs, product portfolio expansion or commercialization efforts, or pursue alternative development strategies that differ significantly from its current strategy, which could have a material adverse effect on the Company’s business, results of operations and financial condition.</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20" w:top="419" w:right="259" w:bottom="1440" w:gutter="0" w:footer="0" w:header="0"/>
        </w:sectPr>
      </w:pPr>
    </w:p>
    <w:bookmarkStart w:id="82" w:name="page83"/>
    <w:bookmarkEnd w:id="82"/>
    <w:p>
      <w:pPr>
        <w:ind w:right="80"/>
        <w:spacing w:after="0" w:line="262" w:lineRule="auto"/>
        <w:rPr>
          <w:sz w:val="20"/>
          <w:szCs w:val="20"/>
          <w:color w:val="auto"/>
        </w:rPr>
      </w:pPr>
      <w:r>
        <w:rPr>
          <w:rFonts w:ascii="Arial" w:cs="Arial" w:eastAsia="Arial" w:hAnsi="Arial"/>
          <w:sz w:val="14"/>
          <w:szCs w:val="14"/>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for ensifentrine or any future product candidates will depend on many factors, including:</w:t>
      </w:r>
    </w:p>
    <w:p>
      <w:pPr>
        <w:spacing w:after="0" w:line="227" w:lineRule="exact"/>
        <w:rPr>
          <w:sz w:val="20"/>
          <w:szCs w:val="20"/>
          <w:color w:val="auto"/>
        </w:rPr>
      </w:pPr>
    </w:p>
    <w:p>
      <w:pPr>
        <w:ind w:left="520" w:right="180" w:hanging="255"/>
        <w:spacing w:after="0" w:line="273"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number of potential new product candidates we decide to in-license and develop;</w:t>
      </w:r>
    </w:p>
    <w:p>
      <w:pPr>
        <w:spacing w:after="0" w:line="119" w:lineRule="exact"/>
        <w:rPr>
          <w:rFonts w:ascii="Arial" w:cs="Arial" w:eastAsia="Arial" w:hAnsi="Arial"/>
          <w:sz w:val="14"/>
          <w:szCs w:val="14"/>
          <w:color w:val="auto"/>
        </w:rPr>
      </w:pPr>
    </w:p>
    <w:p>
      <w:pPr>
        <w:ind w:left="520" w:right="400" w:hanging="255"/>
        <w:spacing w:after="0" w:line="273"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costs involved in growing our organization to the size needed to allow for the research, development and potential commercialization of ensifentrine or any future product candidates;</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costs involved in filing patent applications and maintaining and enforcing patents or defending against claims or infringements raised by third parties;</w:t>
      </w:r>
    </w:p>
    <w:p>
      <w:pPr>
        <w:spacing w:after="0" w:line="119" w:lineRule="exact"/>
        <w:rPr>
          <w:rFonts w:ascii="Arial" w:cs="Arial" w:eastAsia="Arial" w:hAnsi="Arial"/>
          <w:sz w:val="14"/>
          <w:szCs w:val="14"/>
          <w:color w:val="auto"/>
        </w:rPr>
      </w:pPr>
    </w:p>
    <w:p>
      <w:pPr>
        <w:ind w:left="520" w:right="120" w:hanging="255"/>
        <w:spacing w:after="0" w:line="273"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licensing or milestone fees we might have to pay during future development of ensifentrine or any future product candidates;</w:t>
      </w:r>
    </w:p>
    <w:p>
      <w:pPr>
        <w:spacing w:after="0" w:line="119" w:lineRule="exact"/>
        <w:rPr>
          <w:rFonts w:ascii="Arial" w:cs="Arial" w:eastAsia="Arial" w:hAnsi="Arial"/>
          <w:sz w:val="14"/>
          <w:szCs w:val="14"/>
          <w:color w:val="auto"/>
        </w:rPr>
      </w:pPr>
    </w:p>
    <w:p>
      <w:pPr>
        <w:ind w:left="520" w:right="260" w:hanging="255"/>
        <w:spacing w:after="0" w:line="273"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86" w:lineRule="exact"/>
        <w:rPr>
          <w:rFonts w:ascii="Arial" w:cs="Arial" w:eastAsia="Arial" w:hAnsi="Arial"/>
          <w:sz w:val="14"/>
          <w:szCs w:val="14"/>
          <w:color w:val="auto"/>
        </w:rPr>
      </w:pPr>
    </w:p>
    <w:p>
      <w:pPr>
        <w:ind w:left="520" w:right="540" w:hanging="255"/>
        <w:spacing w:after="0" w:line="273"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 of revenues, if any, we may derive either directly or in the form of royalty payments from future sales of ensifentrine or any future product candidates, if approved.</w:t>
      </w:r>
    </w:p>
    <w:p>
      <w:pPr>
        <w:spacing w:after="0" w:line="86"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color w:val="auto"/>
        </w:rPr>
        <w:t>Our commercial revenues, if any, will be derived from sales of products that we do not expect to be commercially available for many years, if ever. Accordingly, we will need to obtain substantial additional funds to achieve our business objective.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Research and Development, Patent and Licenses, etc.</w:t>
      </w:r>
    </w:p>
    <w:p>
      <w:pPr>
        <w:spacing w:after="0" w:line="22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For a discussion of our research and development activities, including amounts spent on company-sponsored research and development activities for the last three financial years, see Item 4.B. Business Overview and Item 5.A. Operating Results.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Trend Information</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Other than as disclosed elsewhere in this Annual Report, we are not aware of any trends, uncertainties, demands, commitments or events that are reasonably likely to have a material adverse effect on our net revenues, income from continuing operations, profitability, liquidity or capital resources, or that would cause the disclosed financial information to be not necessarily indicative of future operating results or financial conditions. For more information, see Item 4.B. Business Overview, Item 5.A. Operating Results, and Item 5.B. Liquidity and Capital Resources.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Off-Balance Sheet Arrangements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During the periods presented, we did not, and we do not currently, have any off-balance sheet arrangements.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Contractual Obligations and Commitments</w:t>
      </w:r>
    </w:p>
    <w:p>
      <w:pPr>
        <w:spacing w:after="0" w:line="245" w:lineRule="exact"/>
        <w:rPr>
          <w:sz w:val="20"/>
          <w:szCs w:val="20"/>
          <w:color w:val="auto"/>
        </w:rPr>
      </w:pPr>
    </w:p>
    <w:p>
      <w:pPr>
        <w:ind w:right="740"/>
        <w:spacing w:after="0" w:line="273" w:lineRule="auto"/>
        <w:rPr>
          <w:sz w:val="20"/>
          <w:szCs w:val="20"/>
          <w:color w:val="auto"/>
        </w:rPr>
      </w:pPr>
      <w:r>
        <w:rPr>
          <w:rFonts w:ascii="Arial" w:cs="Arial" w:eastAsia="Arial" w:hAnsi="Arial"/>
          <w:sz w:val="14"/>
          <w:szCs w:val="14"/>
          <w:color w:val="auto"/>
        </w:rPr>
        <w:t>The Company has contractual commitments for office space, in London and New York. After the adoption of IFRS 16 these are recognized as right of use assets on the Consolidated Statement of Financial Position. As a result they are not disclosed as operating lease liabilities.</w:t>
      </w:r>
    </w:p>
    <w:p>
      <w:pPr>
        <w:spacing w:after="0" w:line="194"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The Company has assumed contingent liability payments we may be required to make under the Ligand Agreement because the amount, timing and likelihood of payment are not known. Such additional payment liabilities may be material. See sections titled "— License Agreement with Ligand" and "Business — Ligand Agreement."</w:t>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360"/>
          </w:cols>
          <w:pgMar w:left="220" w:top="419" w:right="319" w:bottom="1440" w:gutter="0" w:footer="0" w:header="0"/>
        </w:sectPr>
      </w:pPr>
    </w:p>
    <w:bookmarkStart w:id="83" w:name="page84"/>
    <w:bookmarkEnd w:id="83"/>
    <w:p>
      <w:pPr>
        <w:spacing w:after="0" w:line="265" w:lineRule="auto"/>
        <w:rPr>
          <w:sz w:val="20"/>
          <w:szCs w:val="20"/>
          <w:color w:val="auto"/>
        </w:rPr>
      </w:pPr>
      <w:r>
        <w:rPr>
          <w:rFonts w:ascii="Arial" w:cs="Arial" w:eastAsia="Arial" w:hAnsi="Arial"/>
          <w:sz w:val="14"/>
          <w:szCs w:val="14"/>
          <w:color w:val="auto"/>
        </w:rPr>
        <w:t>In addition, we enter into contracts in the ordinary course of business with contract research organizations, or CROs, to assist in the performance of our research and development activities and other services and products for operating purposes. These contracts generally provide for termination on notice, and therefore are cancelable contracts and not included in the table of contractual liabilities and commitments.</w:t>
      </w: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360"/>
          </w:cols>
          <w:pgMar w:left="220" w:top="41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ITEM 6: DIRECTORS, SENIOR MANAGEMENT AND EMPLOYEES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Executive Officers and Directors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information about our executive officers, directors, and other key members of management, including their ages as of the date of this Annual Report: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20" w:type="dxa"/>
            <w:vAlign w:val="bottom"/>
            <w:tcBorders>
              <w:bottom w:val="single" w:sz="8" w:color="auto"/>
            </w:tcBorders>
          </w:tcPr>
          <w:p>
            <w:pPr>
              <w:jc w:val="center"/>
              <w:ind w:left="489"/>
              <w:spacing w:after="0"/>
              <w:rPr>
                <w:sz w:val="20"/>
                <w:szCs w:val="20"/>
                <w:color w:val="auto"/>
              </w:rPr>
            </w:pPr>
            <w:r>
              <w:rPr>
                <w:rFonts w:ascii="Arial" w:cs="Arial" w:eastAsia="Arial" w:hAnsi="Arial"/>
                <w:sz w:val="11"/>
                <w:szCs w:val="11"/>
                <w:b w:val="1"/>
                <w:bCs w:val="1"/>
                <w:color w:val="auto"/>
              </w:rPr>
              <w:t>Age</w:t>
            </w:r>
          </w:p>
        </w:tc>
        <w:tc>
          <w:tcPr>
            <w:tcW w:w="76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Position</w:t>
            </w:r>
          </w:p>
        </w:tc>
      </w:tr>
      <w:tr>
        <w:trPr>
          <w:trHeight w:val="191"/>
        </w:trPr>
        <w:tc>
          <w:tcPr>
            <w:tcW w:w="26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Executive Officers</w:t>
            </w:r>
          </w:p>
        </w:tc>
        <w:tc>
          <w:tcPr>
            <w:tcW w:w="1220" w:type="dxa"/>
            <w:vAlign w:val="bottom"/>
            <w:tcBorders>
              <w:bottom w:val="single" w:sz="8" w:color="BFE4FF"/>
            </w:tcBorders>
            <w:shd w:val="clear" w:color="auto" w:fill="BFE4FF"/>
          </w:tcPr>
          <w:p>
            <w:pPr>
              <w:spacing w:after="0"/>
              <w:rPr>
                <w:sz w:val="16"/>
                <w:szCs w:val="16"/>
                <w:color w:val="auto"/>
              </w:rPr>
            </w:pPr>
          </w:p>
        </w:tc>
        <w:tc>
          <w:tcPr>
            <w:tcW w:w="7620" w:type="dxa"/>
            <w:vAlign w:val="bottom"/>
            <w:tcBorders>
              <w:bottom w:val="single" w:sz="8" w:color="BFE4FF"/>
            </w:tcBorders>
            <w:shd w:val="clear" w:color="auto" w:fill="BFE4FF"/>
          </w:tcPr>
          <w:p>
            <w:pPr>
              <w:spacing w:after="0"/>
              <w:rPr>
                <w:sz w:val="16"/>
                <w:szCs w:val="16"/>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David Zaccardelli, Pharm.D.</w:t>
            </w:r>
          </w:p>
        </w:tc>
        <w:tc>
          <w:tcPr>
            <w:tcW w:w="1220" w:type="dxa"/>
            <w:vAlign w:val="bottom"/>
          </w:tcPr>
          <w:p>
            <w:pPr>
              <w:jc w:val="center"/>
              <w:ind w:left="509"/>
              <w:spacing w:after="0"/>
              <w:rPr>
                <w:sz w:val="20"/>
                <w:szCs w:val="20"/>
                <w:color w:val="auto"/>
              </w:rPr>
            </w:pPr>
            <w:r>
              <w:rPr>
                <w:rFonts w:ascii="Arial" w:cs="Arial" w:eastAsia="Arial" w:hAnsi="Arial"/>
                <w:sz w:val="14"/>
                <w:szCs w:val="14"/>
                <w:color w:val="auto"/>
              </w:rPr>
              <w:t>55</w:t>
            </w:r>
          </w:p>
        </w:tc>
        <w:tc>
          <w:tcPr>
            <w:tcW w:w="7620" w:type="dxa"/>
            <w:vAlign w:val="bottom"/>
          </w:tcPr>
          <w:p>
            <w:pPr>
              <w:ind w:left="200"/>
              <w:spacing w:after="0"/>
              <w:rPr>
                <w:sz w:val="20"/>
                <w:szCs w:val="20"/>
                <w:color w:val="auto"/>
              </w:rPr>
            </w:pPr>
            <w:r>
              <w:rPr>
                <w:rFonts w:ascii="Arial" w:cs="Arial" w:eastAsia="Arial" w:hAnsi="Arial"/>
                <w:sz w:val="14"/>
                <w:szCs w:val="14"/>
                <w:color w:val="auto"/>
              </w:rPr>
              <w:t>President, Chief Executive Officer and Director</w:t>
            </w:r>
          </w:p>
        </w:tc>
      </w:tr>
      <w:tr>
        <w:trPr>
          <w:trHeight w:val="221"/>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Piers Morgan</w:t>
            </w:r>
          </w:p>
        </w:tc>
        <w:tc>
          <w:tcPr>
            <w:tcW w:w="1220" w:type="dxa"/>
            <w:vAlign w:val="bottom"/>
            <w:shd w:val="clear" w:color="auto" w:fill="BFE4FF"/>
          </w:tcPr>
          <w:p>
            <w:pPr>
              <w:jc w:val="center"/>
              <w:ind w:left="509"/>
              <w:spacing w:after="0"/>
              <w:rPr>
                <w:sz w:val="20"/>
                <w:szCs w:val="20"/>
                <w:color w:val="auto"/>
              </w:rPr>
            </w:pPr>
            <w:r>
              <w:rPr>
                <w:rFonts w:ascii="Arial" w:cs="Arial" w:eastAsia="Arial" w:hAnsi="Arial"/>
                <w:sz w:val="14"/>
                <w:szCs w:val="14"/>
                <w:color w:val="auto"/>
              </w:rPr>
              <w:t>53</w:t>
            </w:r>
          </w:p>
        </w:tc>
        <w:tc>
          <w:tcPr>
            <w:tcW w:w="7620" w:type="dxa"/>
            <w:vAlign w:val="bottom"/>
            <w:shd w:val="clear" w:color="auto" w:fill="BFE4FF"/>
          </w:tcPr>
          <w:p>
            <w:pPr>
              <w:ind w:left="200"/>
              <w:spacing w:after="0"/>
              <w:rPr>
                <w:sz w:val="20"/>
                <w:szCs w:val="20"/>
                <w:color w:val="auto"/>
              </w:rPr>
            </w:pPr>
            <w:r>
              <w:rPr>
                <w:rFonts w:ascii="Arial" w:cs="Arial" w:eastAsia="Arial" w:hAnsi="Arial"/>
                <w:sz w:val="14"/>
                <w:szCs w:val="14"/>
                <w:color w:val="auto"/>
              </w:rPr>
              <w:t>Chief Financial Officer</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Claire Poll</w:t>
            </w:r>
          </w:p>
        </w:tc>
        <w:tc>
          <w:tcPr>
            <w:tcW w:w="1220" w:type="dxa"/>
            <w:vAlign w:val="bottom"/>
          </w:tcPr>
          <w:p>
            <w:pPr>
              <w:jc w:val="center"/>
              <w:ind w:left="509"/>
              <w:spacing w:after="0"/>
              <w:rPr>
                <w:sz w:val="20"/>
                <w:szCs w:val="20"/>
                <w:color w:val="auto"/>
              </w:rPr>
            </w:pPr>
            <w:r>
              <w:rPr>
                <w:rFonts w:ascii="Arial" w:cs="Arial" w:eastAsia="Arial" w:hAnsi="Arial"/>
                <w:sz w:val="14"/>
                <w:szCs w:val="14"/>
                <w:color w:val="auto"/>
              </w:rPr>
              <w:t>52</w:t>
            </w:r>
          </w:p>
        </w:tc>
        <w:tc>
          <w:tcPr>
            <w:tcW w:w="7620" w:type="dxa"/>
            <w:vAlign w:val="bottom"/>
          </w:tcPr>
          <w:p>
            <w:pPr>
              <w:ind w:left="200"/>
              <w:spacing w:after="0"/>
              <w:rPr>
                <w:sz w:val="20"/>
                <w:szCs w:val="20"/>
                <w:color w:val="auto"/>
              </w:rPr>
            </w:pPr>
            <w:r>
              <w:rPr>
                <w:rFonts w:ascii="Arial" w:cs="Arial" w:eastAsia="Arial" w:hAnsi="Arial"/>
                <w:sz w:val="14"/>
                <w:szCs w:val="14"/>
                <w:color w:val="auto"/>
              </w:rPr>
              <w:t>General Counsel</w:t>
            </w:r>
          </w:p>
        </w:tc>
      </w:tr>
      <w:tr>
        <w:trPr>
          <w:trHeight w:val="221"/>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Kathleen Rickard, M.D.</w:t>
            </w:r>
          </w:p>
        </w:tc>
        <w:tc>
          <w:tcPr>
            <w:tcW w:w="1220" w:type="dxa"/>
            <w:vAlign w:val="bottom"/>
            <w:shd w:val="clear" w:color="auto" w:fill="BFE4FF"/>
          </w:tcPr>
          <w:p>
            <w:pPr>
              <w:jc w:val="center"/>
              <w:ind w:left="509"/>
              <w:spacing w:after="0"/>
              <w:rPr>
                <w:sz w:val="20"/>
                <w:szCs w:val="20"/>
                <w:color w:val="auto"/>
              </w:rPr>
            </w:pPr>
            <w:r>
              <w:rPr>
                <w:rFonts w:ascii="Arial" w:cs="Arial" w:eastAsia="Arial" w:hAnsi="Arial"/>
                <w:sz w:val="14"/>
                <w:szCs w:val="14"/>
                <w:color w:val="auto"/>
              </w:rPr>
              <w:t>61</w:t>
            </w:r>
          </w:p>
        </w:tc>
        <w:tc>
          <w:tcPr>
            <w:tcW w:w="7620" w:type="dxa"/>
            <w:vAlign w:val="bottom"/>
            <w:shd w:val="clear" w:color="auto" w:fill="BFE4FF"/>
          </w:tcPr>
          <w:p>
            <w:pPr>
              <w:ind w:left="200"/>
              <w:spacing w:after="0"/>
              <w:rPr>
                <w:sz w:val="20"/>
                <w:szCs w:val="20"/>
                <w:color w:val="auto"/>
              </w:rPr>
            </w:pPr>
            <w:r>
              <w:rPr>
                <w:rFonts w:ascii="Arial" w:cs="Arial" w:eastAsia="Arial" w:hAnsi="Arial"/>
                <w:sz w:val="14"/>
                <w:szCs w:val="14"/>
                <w:color w:val="auto"/>
              </w:rPr>
              <w:t>Chief Medical Officer</w:t>
            </w:r>
          </w:p>
        </w:tc>
      </w:tr>
      <w:tr>
        <w:trPr>
          <w:trHeight w:val="193"/>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Other Key Management</w:t>
            </w:r>
          </w:p>
        </w:tc>
        <w:tc>
          <w:tcPr>
            <w:tcW w:w="1220" w:type="dxa"/>
            <w:vAlign w:val="bottom"/>
          </w:tcPr>
          <w:p>
            <w:pPr>
              <w:spacing w:after="0"/>
              <w:rPr>
                <w:sz w:val="16"/>
                <w:szCs w:val="16"/>
                <w:color w:val="auto"/>
              </w:rPr>
            </w:pPr>
          </w:p>
        </w:tc>
        <w:tc>
          <w:tcPr>
            <w:tcW w:w="7620" w:type="dxa"/>
            <w:vAlign w:val="bottom"/>
          </w:tcPr>
          <w:p>
            <w:pPr>
              <w:spacing w:after="0"/>
              <w:rPr>
                <w:sz w:val="16"/>
                <w:szCs w:val="16"/>
                <w:color w:val="auto"/>
              </w:rPr>
            </w:pPr>
          </w:p>
        </w:tc>
      </w:tr>
      <w:tr>
        <w:trPr>
          <w:trHeight w:val="23"/>
        </w:trPr>
        <w:tc>
          <w:tcPr>
            <w:tcW w:w="2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16"/>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Richard Hennings</w:t>
            </w:r>
          </w:p>
        </w:tc>
        <w:tc>
          <w:tcPr>
            <w:tcW w:w="1220" w:type="dxa"/>
            <w:vAlign w:val="bottom"/>
            <w:shd w:val="clear" w:color="auto" w:fill="BFE4FF"/>
          </w:tcPr>
          <w:p>
            <w:pPr>
              <w:jc w:val="center"/>
              <w:ind w:left="509"/>
              <w:spacing w:after="0"/>
              <w:rPr>
                <w:sz w:val="20"/>
                <w:szCs w:val="20"/>
                <w:color w:val="auto"/>
              </w:rPr>
            </w:pPr>
            <w:r>
              <w:rPr>
                <w:rFonts w:ascii="Arial" w:cs="Arial" w:eastAsia="Arial" w:hAnsi="Arial"/>
                <w:sz w:val="14"/>
                <w:szCs w:val="14"/>
                <w:color w:val="auto"/>
              </w:rPr>
              <w:t>50</w:t>
            </w:r>
          </w:p>
        </w:tc>
        <w:tc>
          <w:tcPr>
            <w:tcW w:w="7620" w:type="dxa"/>
            <w:vAlign w:val="bottom"/>
            <w:shd w:val="clear" w:color="auto" w:fill="BFE4FF"/>
          </w:tcPr>
          <w:p>
            <w:pPr>
              <w:ind w:left="200"/>
              <w:spacing w:after="0"/>
              <w:rPr>
                <w:sz w:val="20"/>
                <w:szCs w:val="20"/>
                <w:color w:val="auto"/>
              </w:rPr>
            </w:pPr>
            <w:r>
              <w:rPr>
                <w:rFonts w:ascii="Arial" w:cs="Arial" w:eastAsia="Arial" w:hAnsi="Arial"/>
                <w:sz w:val="14"/>
                <w:szCs w:val="14"/>
                <w:color w:val="auto"/>
              </w:rPr>
              <w:t>Vice President and Commercial Head</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Desiree Luthman</w:t>
            </w:r>
          </w:p>
        </w:tc>
        <w:tc>
          <w:tcPr>
            <w:tcW w:w="1220" w:type="dxa"/>
            <w:vAlign w:val="bottom"/>
          </w:tcPr>
          <w:p>
            <w:pPr>
              <w:jc w:val="center"/>
              <w:ind w:left="509"/>
              <w:spacing w:after="0"/>
              <w:rPr>
                <w:sz w:val="20"/>
                <w:szCs w:val="20"/>
                <w:color w:val="auto"/>
              </w:rPr>
            </w:pPr>
            <w:r>
              <w:rPr>
                <w:rFonts w:ascii="Arial" w:cs="Arial" w:eastAsia="Arial" w:hAnsi="Arial"/>
                <w:sz w:val="14"/>
                <w:szCs w:val="14"/>
                <w:color w:val="auto"/>
              </w:rPr>
              <w:t>60</w:t>
            </w:r>
          </w:p>
        </w:tc>
        <w:tc>
          <w:tcPr>
            <w:tcW w:w="7620" w:type="dxa"/>
            <w:vAlign w:val="bottom"/>
          </w:tcPr>
          <w:p>
            <w:pPr>
              <w:ind w:left="200"/>
              <w:spacing w:after="0"/>
              <w:rPr>
                <w:sz w:val="20"/>
                <w:szCs w:val="20"/>
                <w:color w:val="auto"/>
              </w:rPr>
            </w:pPr>
            <w:r>
              <w:rPr>
                <w:rFonts w:ascii="Arial" w:cs="Arial" w:eastAsia="Arial" w:hAnsi="Arial"/>
                <w:sz w:val="14"/>
                <w:szCs w:val="14"/>
                <w:color w:val="auto"/>
              </w:rPr>
              <w:t>Vice President, Regulatory Affairs</w:t>
            </w:r>
          </w:p>
        </w:tc>
      </w:tr>
      <w:tr>
        <w:trPr>
          <w:trHeight w:val="221"/>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Tara Rheault</w:t>
            </w:r>
          </w:p>
        </w:tc>
        <w:tc>
          <w:tcPr>
            <w:tcW w:w="1220" w:type="dxa"/>
            <w:vAlign w:val="bottom"/>
            <w:shd w:val="clear" w:color="auto" w:fill="BFE4FF"/>
          </w:tcPr>
          <w:p>
            <w:pPr>
              <w:jc w:val="center"/>
              <w:ind w:left="509"/>
              <w:spacing w:after="0"/>
              <w:rPr>
                <w:sz w:val="20"/>
                <w:szCs w:val="20"/>
                <w:color w:val="auto"/>
              </w:rPr>
            </w:pPr>
            <w:r>
              <w:rPr>
                <w:rFonts w:ascii="Arial" w:cs="Arial" w:eastAsia="Arial" w:hAnsi="Arial"/>
                <w:sz w:val="14"/>
                <w:szCs w:val="14"/>
                <w:color w:val="auto"/>
              </w:rPr>
              <w:t>44</w:t>
            </w:r>
          </w:p>
        </w:tc>
        <w:tc>
          <w:tcPr>
            <w:tcW w:w="7620" w:type="dxa"/>
            <w:vAlign w:val="bottom"/>
            <w:shd w:val="clear" w:color="auto" w:fill="BFE4FF"/>
          </w:tcPr>
          <w:p>
            <w:pPr>
              <w:ind w:left="200"/>
              <w:spacing w:after="0"/>
              <w:rPr>
                <w:sz w:val="20"/>
                <w:szCs w:val="20"/>
                <w:color w:val="auto"/>
              </w:rPr>
            </w:pPr>
            <w:r>
              <w:rPr>
                <w:rFonts w:ascii="Arial" w:cs="Arial" w:eastAsia="Arial" w:hAnsi="Arial"/>
                <w:sz w:val="14"/>
                <w:szCs w:val="14"/>
                <w:color w:val="auto"/>
              </w:rPr>
              <w:t>Vice President, R&amp;D Operations and Global Project Management</w:t>
            </w:r>
          </w:p>
        </w:tc>
      </w:tr>
      <w:tr>
        <w:trPr>
          <w:trHeight w:val="210"/>
        </w:trPr>
        <w:tc>
          <w:tcPr>
            <w:tcW w:w="2620" w:type="dxa"/>
            <w:vAlign w:val="bottom"/>
          </w:tcPr>
          <w:p>
            <w:pPr>
              <w:ind w:left="20"/>
              <w:spacing w:after="0"/>
              <w:rPr>
                <w:sz w:val="20"/>
                <w:szCs w:val="20"/>
                <w:color w:val="auto"/>
              </w:rPr>
            </w:pPr>
            <w:r>
              <w:rPr>
                <w:rFonts w:ascii="Arial" w:cs="Arial" w:eastAsia="Arial" w:hAnsi="Arial"/>
                <w:sz w:val="14"/>
                <w:szCs w:val="14"/>
                <w:color w:val="auto"/>
              </w:rPr>
              <w:t>Peter Spargo</w:t>
            </w:r>
          </w:p>
        </w:tc>
        <w:tc>
          <w:tcPr>
            <w:tcW w:w="1220" w:type="dxa"/>
            <w:vAlign w:val="bottom"/>
          </w:tcPr>
          <w:p>
            <w:pPr>
              <w:jc w:val="center"/>
              <w:ind w:left="509"/>
              <w:spacing w:after="0"/>
              <w:rPr>
                <w:sz w:val="20"/>
                <w:szCs w:val="20"/>
                <w:color w:val="auto"/>
              </w:rPr>
            </w:pPr>
            <w:r>
              <w:rPr>
                <w:rFonts w:ascii="Arial" w:cs="Arial" w:eastAsia="Arial" w:hAnsi="Arial"/>
                <w:sz w:val="14"/>
                <w:szCs w:val="14"/>
                <w:color w:val="auto"/>
              </w:rPr>
              <w:t>58</w:t>
            </w:r>
          </w:p>
        </w:tc>
        <w:tc>
          <w:tcPr>
            <w:tcW w:w="7620" w:type="dxa"/>
            <w:vAlign w:val="bottom"/>
          </w:tcPr>
          <w:p>
            <w:pPr>
              <w:ind w:left="200"/>
              <w:spacing w:after="0"/>
              <w:rPr>
                <w:sz w:val="20"/>
                <w:szCs w:val="20"/>
                <w:color w:val="auto"/>
              </w:rPr>
            </w:pPr>
            <w:r>
              <w:rPr>
                <w:rFonts w:ascii="Arial" w:cs="Arial" w:eastAsia="Arial" w:hAnsi="Arial"/>
                <w:sz w:val="14"/>
                <w:szCs w:val="14"/>
                <w:color w:val="auto"/>
              </w:rPr>
              <w:t>Senior Vice President, Chemistry Manufacturing and Controls</w:t>
            </w:r>
          </w:p>
        </w:tc>
      </w:tr>
      <w:tr>
        <w:trPr>
          <w:trHeight w:val="221"/>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Non-Executive Directors</w:t>
            </w:r>
          </w:p>
        </w:tc>
        <w:tc>
          <w:tcPr>
            <w:tcW w:w="1220" w:type="dxa"/>
            <w:vAlign w:val="bottom"/>
            <w:shd w:val="clear" w:color="auto" w:fill="BFE4FF"/>
          </w:tcPr>
          <w:p>
            <w:pPr>
              <w:spacing w:after="0"/>
              <w:rPr>
                <w:sz w:val="19"/>
                <w:szCs w:val="19"/>
                <w:color w:val="auto"/>
              </w:rPr>
            </w:pPr>
          </w:p>
        </w:tc>
        <w:tc>
          <w:tcPr>
            <w:tcW w:w="7620" w:type="dxa"/>
            <w:vAlign w:val="bottom"/>
            <w:shd w:val="clear" w:color="auto" w:fill="BFE4FF"/>
          </w:tcPr>
          <w:p>
            <w:pPr>
              <w:spacing w:after="0"/>
              <w:rPr>
                <w:sz w:val="19"/>
                <w:szCs w:val="19"/>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4"/>
                <w:szCs w:val="14"/>
                <w:color w:val="auto"/>
              </w:rPr>
              <w:t>Ken Cunningham, M.D.</w:t>
            </w:r>
            <w:r>
              <w:rPr>
                <w:rFonts w:ascii="Arial" w:cs="Arial" w:eastAsia="Arial" w:hAnsi="Arial"/>
                <w:sz w:val="17"/>
                <w:szCs w:val="17"/>
                <w:color w:val="auto"/>
                <w:vertAlign w:val="superscript"/>
              </w:rPr>
              <w:t>(2)</w:t>
            </w:r>
          </w:p>
        </w:tc>
        <w:tc>
          <w:tcPr>
            <w:tcW w:w="1220" w:type="dxa"/>
            <w:vAlign w:val="bottom"/>
          </w:tcPr>
          <w:p>
            <w:pPr>
              <w:jc w:val="center"/>
              <w:ind w:left="509"/>
              <w:spacing w:after="0"/>
              <w:rPr>
                <w:sz w:val="20"/>
                <w:szCs w:val="20"/>
                <w:color w:val="auto"/>
              </w:rPr>
            </w:pPr>
            <w:r>
              <w:rPr>
                <w:rFonts w:ascii="Arial" w:cs="Arial" w:eastAsia="Arial" w:hAnsi="Arial"/>
                <w:sz w:val="14"/>
                <w:szCs w:val="14"/>
                <w:color w:val="auto"/>
              </w:rPr>
              <w:t>67</w:t>
            </w:r>
          </w:p>
        </w:tc>
        <w:tc>
          <w:tcPr>
            <w:tcW w:w="7620" w:type="dxa"/>
            <w:vAlign w:val="bottom"/>
          </w:tcPr>
          <w:p>
            <w:pPr>
              <w:ind w:left="200"/>
              <w:spacing w:after="0"/>
              <w:rPr>
                <w:sz w:val="20"/>
                <w:szCs w:val="20"/>
                <w:color w:val="auto"/>
              </w:rPr>
            </w:pPr>
            <w:r>
              <w:rPr>
                <w:rFonts w:ascii="Arial" w:cs="Arial" w:eastAsia="Arial" w:hAnsi="Arial"/>
                <w:sz w:val="14"/>
                <w:szCs w:val="14"/>
                <w:color w:val="auto"/>
              </w:rPr>
              <w:t>Non-executive Director</w:t>
            </w:r>
          </w:p>
        </w:tc>
      </w:tr>
      <w:tr>
        <w:trPr>
          <w:trHeight w:val="216"/>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David Ebsworth, Ph.D.</w:t>
            </w:r>
            <w:r>
              <w:rPr>
                <w:rFonts w:ascii="Arial" w:cs="Arial" w:eastAsia="Arial" w:hAnsi="Arial"/>
                <w:sz w:val="17"/>
                <w:szCs w:val="17"/>
                <w:color w:val="auto"/>
                <w:vertAlign w:val="superscript"/>
              </w:rPr>
              <w:t>(1,2,3)</w:t>
            </w:r>
          </w:p>
        </w:tc>
        <w:tc>
          <w:tcPr>
            <w:tcW w:w="1220" w:type="dxa"/>
            <w:vAlign w:val="bottom"/>
            <w:shd w:val="clear" w:color="auto" w:fill="BFE4FF"/>
          </w:tcPr>
          <w:p>
            <w:pPr>
              <w:jc w:val="center"/>
              <w:ind w:left="509"/>
              <w:spacing w:after="0"/>
              <w:rPr>
                <w:sz w:val="20"/>
                <w:szCs w:val="20"/>
                <w:color w:val="auto"/>
              </w:rPr>
            </w:pPr>
            <w:r>
              <w:rPr>
                <w:rFonts w:ascii="Arial" w:cs="Arial" w:eastAsia="Arial" w:hAnsi="Arial"/>
                <w:sz w:val="14"/>
                <w:szCs w:val="14"/>
                <w:color w:val="auto"/>
              </w:rPr>
              <w:t>65</w:t>
            </w:r>
          </w:p>
        </w:tc>
        <w:tc>
          <w:tcPr>
            <w:tcW w:w="7620" w:type="dxa"/>
            <w:vAlign w:val="bottom"/>
            <w:shd w:val="clear" w:color="auto" w:fill="BFE4FF"/>
          </w:tcPr>
          <w:p>
            <w:pPr>
              <w:ind w:left="200"/>
              <w:spacing w:after="0"/>
              <w:rPr>
                <w:sz w:val="20"/>
                <w:szCs w:val="20"/>
                <w:color w:val="auto"/>
              </w:rPr>
            </w:pPr>
            <w:r>
              <w:rPr>
                <w:rFonts w:ascii="Arial" w:cs="Arial" w:eastAsia="Arial" w:hAnsi="Arial"/>
                <w:sz w:val="14"/>
                <w:szCs w:val="14"/>
                <w:color w:val="auto"/>
              </w:rPr>
              <w:t>Chairman of the Board</w:t>
            </w:r>
          </w:p>
        </w:tc>
      </w:tr>
      <w:tr>
        <w:trPr>
          <w:trHeight w:val="216"/>
        </w:trPr>
        <w:tc>
          <w:tcPr>
            <w:tcW w:w="2620" w:type="dxa"/>
            <w:vAlign w:val="bottom"/>
          </w:tcPr>
          <w:p>
            <w:pPr>
              <w:ind w:left="20"/>
              <w:spacing w:after="0"/>
              <w:rPr>
                <w:sz w:val="20"/>
                <w:szCs w:val="20"/>
                <w:color w:val="auto"/>
              </w:rPr>
            </w:pPr>
            <w:r>
              <w:rPr>
                <w:rFonts w:ascii="Arial" w:cs="Arial" w:eastAsia="Arial" w:hAnsi="Arial"/>
                <w:sz w:val="14"/>
                <w:szCs w:val="14"/>
                <w:color w:val="auto"/>
              </w:rPr>
              <w:t>Rishi Gupta</w:t>
            </w:r>
            <w:r>
              <w:rPr>
                <w:rFonts w:ascii="Arial" w:cs="Arial" w:eastAsia="Arial" w:hAnsi="Arial"/>
                <w:sz w:val="17"/>
                <w:szCs w:val="17"/>
                <w:color w:val="auto"/>
                <w:vertAlign w:val="superscript"/>
              </w:rPr>
              <w:t>(2)</w:t>
            </w:r>
          </w:p>
        </w:tc>
        <w:tc>
          <w:tcPr>
            <w:tcW w:w="1220" w:type="dxa"/>
            <w:vAlign w:val="bottom"/>
          </w:tcPr>
          <w:p>
            <w:pPr>
              <w:jc w:val="center"/>
              <w:ind w:left="509"/>
              <w:spacing w:after="0"/>
              <w:rPr>
                <w:sz w:val="20"/>
                <w:szCs w:val="20"/>
                <w:color w:val="auto"/>
              </w:rPr>
            </w:pPr>
            <w:r>
              <w:rPr>
                <w:rFonts w:ascii="Arial" w:cs="Arial" w:eastAsia="Arial" w:hAnsi="Arial"/>
                <w:sz w:val="14"/>
                <w:szCs w:val="14"/>
                <w:color w:val="auto"/>
              </w:rPr>
              <w:t>42</w:t>
            </w:r>
          </w:p>
        </w:tc>
        <w:tc>
          <w:tcPr>
            <w:tcW w:w="7620" w:type="dxa"/>
            <w:vAlign w:val="bottom"/>
          </w:tcPr>
          <w:p>
            <w:pPr>
              <w:ind w:left="200"/>
              <w:spacing w:after="0"/>
              <w:rPr>
                <w:sz w:val="20"/>
                <w:szCs w:val="20"/>
                <w:color w:val="auto"/>
              </w:rPr>
            </w:pPr>
            <w:r>
              <w:rPr>
                <w:rFonts w:ascii="Arial" w:cs="Arial" w:eastAsia="Arial" w:hAnsi="Arial"/>
                <w:sz w:val="14"/>
                <w:szCs w:val="14"/>
                <w:color w:val="auto"/>
              </w:rPr>
              <w:t>Non-executive Director</w:t>
            </w:r>
          </w:p>
        </w:tc>
      </w:tr>
      <w:tr>
        <w:trPr>
          <w:trHeight w:val="216"/>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Mahendra Shah, Ph.D.</w:t>
            </w:r>
            <w:r>
              <w:rPr>
                <w:rFonts w:ascii="Arial" w:cs="Arial" w:eastAsia="Arial" w:hAnsi="Arial"/>
                <w:sz w:val="17"/>
                <w:szCs w:val="17"/>
                <w:color w:val="auto"/>
                <w:vertAlign w:val="superscript"/>
              </w:rPr>
              <w:t>(3)</w:t>
            </w:r>
          </w:p>
        </w:tc>
        <w:tc>
          <w:tcPr>
            <w:tcW w:w="1220" w:type="dxa"/>
            <w:vAlign w:val="bottom"/>
            <w:shd w:val="clear" w:color="auto" w:fill="BFE4FF"/>
          </w:tcPr>
          <w:p>
            <w:pPr>
              <w:jc w:val="center"/>
              <w:ind w:left="509"/>
              <w:spacing w:after="0"/>
              <w:rPr>
                <w:sz w:val="20"/>
                <w:szCs w:val="20"/>
                <w:color w:val="auto"/>
              </w:rPr>
            </w:pPr>
            <w:r>
              <w:rPr>
                <w:rFonts w:ascii="Arial" w:cs="Arial" w:eastAsia="Arial" w:hAnsi="Arial"/>
                <w:sz w:val="14"/>
                <w:szCs w:val="14"/>
                <w:color w:val="auto"/>
              </w:rPr>
              <w:t>75</w:t>
            </w:r>
          </w:p>
        </w:tc>
        <w:tc>
          <w:tcPr>
            <w:tcW w:w="7620" w:type="dxa"/>
            <w:vAlign w:val="bottom"/>
            <w:shd w:val="clear" w:color="auto" w:fill="BFE4FF"/>
          </w:tcPr>
          <w:p>
            <w:pPr>
              <w:ind w:left="200"/>
              <w:spacing w:after="0"/>
              <w:rPr>
                <w:sz w:val="20"/>
                <w:szCs w:val="20"/>
                <w:color w:val="auto"/>
              </w:rPr>
            </w:pPr>
            <w:r>
              <w:rPr>
                <w:rFonts w:ascii="Arial" w:cs="Arial" w:eastAsia="Arial" w:hAnsi="Arial"/>
                <w:sz w:val="14"/>
                <w:szCs w:val="14"/>
                <w:color w:val="auto"/>
              </w:rPr>
              <w:t>Non-executive Director</w:t>
            </w:r>
          </w:p>
        </w:tc>
      </w:tr>
      <w:tr>
        <w:trPr>
          <w:trHeight w:val="216"/>
        </w:trPr>
        <w:tc>
          <w:tcPr>
            <w:tcW w:w="2620" w:type="dxa"/>
            <w:vAlign w:val="bottom"/>
          </w:tcPr>
          <w:p>
            <w:pPr>
              <w:ind w:left="20"/>
              <w:spacing w:after="0"/>
              <w:rPr>
                <w:sz w:val="20"/>
                <w:szCs w:val="20"/>
                <w:color w:val="auto"/>
              </w:rPr>
            </w:pPr>
            <w:r>
              <w:rPr>
                <w:rFonts w:ascii="Arial" w:cs="Arial" w:eastAsia="Arial" w:hAnsi="Arial"/>
                <w:sz w:val="14"/>
                <w:szCs w:val="14"/>
                <w:color w:val="auto"/>
              </w:rPr>
              <w:t>Andrew Sinclair, Ph.D.</w:t>
            </w:r>
            <w:r>
              <w:rPr>
                <w:rFonts w:ascii="Arial" w:cs="Arial" w:eastAsia="Arial" w:hAnsi="Arial"/>
                <w:sz w:val="17"/>
                <w:szCs w:val="17"/>
                <w:color w:val="auto"/>
                <w:vertAlign w:val="superscript"/>
              </w:rPr>
              <w:t>(1)</w:t>
            </w:r>
          </w:p>
        </w:tc>
        <w:tc>
          <w:tcPr>
            <w:tcW w:w="1220" w:type="dxa"/>
            <w:vAlign w:val="bottom"/>
          </w:tcPr>
          <w:p>
            <w:pPr>
              <w:jc w:val="center"/>
              <w:ind w:left="509"/>
              <w:spacing w:after="0"/>
              <w:rPr>
                <w:sz w:val="20"/>
                <w:szCs w:val="20"/>
                <w:color w:val="auto"/>
              </w:rPr>
            </w:pPr>
            <w:r>
              <w:rPr>
                <w:rFonts w:ascii="Arial" w:cs="Arial" w:eastAsia="Arial" w:hAnsi="Arial"/>
                <w:sz w:val="14"/>
                <w:szCs w:val="14"/>
                <w:color w:val="auto"/>
              </w:rPr>
              <w:t>48</w:t>
            </w:r>
          </w:p>
        </w:tc>
        <w:tc>
          <w:tcPr>
            <w:tcW w:w="7620" w:type="dxa"/>
            <w:vAlign w:val="bottom"/>
          </w:tcPr>
          <w:p>
            <w:pPr>
              <w:ind w:left="200"/>
              <w:spacing w:after="0"/>
              <w:rPr>
                <w:sz w:val="20"/>
                <w:szCs w:val="20"/>
                <w:color w:val="auto"/>
              </w:rPr>
            </w:pPr>
            <w:r>
              <w:rPr>
                <w:rFonts w:ascii="Arial" w:cs="Arial" w:eastAsia="Arial" w:hAnsi="Arial"/>
                <w:sz w:val="14"/>
                <w:szCs w:val="14"/>
                <w:color w:val="auto"/>
              </w:rPr>
              <w:t>Non-executive Director</w:t>
            </w:r>
          </w:p>
        </w:tc>
      </w:tr>
      <w:tr>
        <w:trPr>
          <w:trHeight w:val="216"/>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Vikas Sinha</w:t>
            </w:r>
            <w:r>
              <w:rPr>
                <w:rFonts w:ascii="Arial" w:cs="Arial" w:eastAsia="Arial" w:hAnsi="Arial"/>
                <w:sz w:val="17"/>
                <w:szCs w:val="17"/>
                <w:color w:val="auto"/>
                <w:vertAlign w:val="superscript"/>
              </w:rPr>
              <w:t>(1)</w:t>
            </w:r>
          </w:p>
        </w:tc>
        <w:tc>
          <w:tcPr>
            <w:tcW w:w="1220" w:type="dxa"/>
            <w:vAlign w:val="bottom"/>
            <w:shd w:val="clear" w:color="auto" w:fill="BFE4FF"/>
          </w:tcPr>
          <w:p>
            <w:pPr>
              <w:jc w:val="center"/>
              <w:ind w:left="509"/>
              <w:spacing w:after="0"/>
              <w:rPr>
                <w:sz w:val="20"/>
                <w:szCs w:val="20"/>
                <w:color w:val="auto"/>
              </w:rPr>
            </w:pPr>
            <w:r>
              <w:rPr>
                <w:rFonts w:ascii="Arial" w:cs="Arial" w:eastAsia="Arial" w:hAnsi="Arial"/>
                <w:sz w:val="14"/>
                <w:szCs w:val="14"/>
                <w:color w:val="auto"/>
              </w:rPr>
              <w:t>56</w:t>
            </w:r>
          </w:p>
        </w:tc>
        <w:tc>
          <w:tcPr>
            <w:tcW w:w="7620" w:type="dxa"/>
            <w:vAlign w:val="bottom"/>
            <w:shd w:val="clear" w:color="auto" w:fill="BFE4FF"/>
          </w:tcPr>
          <w:p>
            <w:pPr>
              <w:ind w:left="200"/>
              <w:spacing w:after="0"/>
              <w:rPr>
                <w:sz w:val="20"/>
                <w:szCs w:val="20"/>
                <w:color w:val="auto"/>
              </w:rPr>
            </w:pPr>
            <w:r>
              <w:rPr>
                <w:rFonts w:ascii="Arial" w:cs="Arial" w:eastAsia="Arial" w:hAnsi="Arial"/>
                <w:sz w:val="14"/>
                <w:szCs w:val="14"/>
                <w:color w:val="auto"/>
              </w:rPr>
              <w:t>Non-executive Director</w:t>
            </w:r>
          </w:p>
        </w:tc>
      </w:tr>
      <w:tr>
        <w:trPr>
          <w:trHeight w:val="216"/>
        </w:trPr>
        <w:tc>
          <w:tcPr>
            <w:tcW w:w="2620" w:type="dxa"/>
            <w:vAlign w:val="bottom"/>
          </w:tcPr>
          <w:p>
            <w:pPr>
              <w:ind w:left="20"/>
              <w:spacing w:after="0"/>
              <w:rPr>
                <w:sz w:val="20"/>
                <w:szCs w:val="20"/>
                <w:color w:val="auto"/>
              </w:rPr>
            </w:pPr>
            <w:r>
              <w:rPr>
                <w:rFonts w:ascii="Arial" w:cs="Arial" w:eastAsia="Arial" w:hAnsi="Arial"/>
                <w:sz w:val="14"/>
                <w:szCs w:val="14"/>
                <w:color w:val="auto"/>
              </w:rPr>
              <w:t>Anders Ullman, Ph.D.</w:t>
            </w:r>
            <w:r>
              <w:rPr>
                <w:rFonts w:ascii="Arial" w:cs="Arial" w:eastAsia="Arial" w:hAnsi="Arial"/>
                <w:sz w:val="17"/>
                <w:szCs w:val="17"/>
                <w:color w:val="auto"/>
                <w:vertAlign w:val="superscript"/>
              </w:rPr>
              <w:t>(3)</w:t>
            </w:r>
          </w:p>
        </w:tc>
        <w:tc>
          <w:tcPr>
            <w:tcW w:w="1220" w:type="dxa"/>
            <w:vAlign w:val="bottom"/>
          </w:tcPr>
          <w:p>
            <w:pPr>
              <w:jc w:val="center"/>
              <w:ind w:left="509"/>
              <w:spacing w:after="0"/>
              <w:rPr>
                <w:sz w:val="20"/>
                <w:szCs w:val="20"/>
                <w:color w:val="auto"/>
              </w:rPr>
            </w:pPr>
            <w:r>
              <w:rPr>
                <w:rFonts w:ascii="Arial" w:cs="Arial" w:eastAsia="Arial" w:hAnsi="Arial"/>
                <w:sz w:val="14"/>
                <w:szCs w:val="14"/>
                <w:color w:val="auto"/>
              </w:rPr>
              <w:t>64</w:t>
            </w:r>
          </w:p>
        </w:tc>
        <w:tc>
          <w:tcPr>
            <w:tcW w:w="7620" w:type="dxa"/>
            <w:vAlign w:val="bottom"/>
          </w:tcPr>
          <w:p>
            <w:pPr>
              <w:ind w:left="200"/>
              <w:spacing w:after="0"/>
              <w:rPr>
                <w:sz w:val="20"/>
                <w:szCs w:val="20"/>
                <w:color w:val="auto"/>
              </w:rPr>
            </w:pPr>
            <w:r>
              <w:rPr>
                <w:rFonts w:ascii="Arial" w:cs="Arial" w:eastAsia="Arial" w:hAnsi="Arial"/>
                <w:sz w:val="14"/>
                <w:szCs w:val="14"/>
                <w:color w:val="auto"/>
              </w:rPr>
              <w:t>Non-executive Director</w:t>
            </w:r>
          </w:p>
        </w:tc>
      </w:tr>
      <w:tr>
        <w:trPr>
          <w:trHeight w:val="216"/>
        </w:trPr>
        <w:tc>
          <w:tcPr>
            <w:tcW w:w="2620" w:type="dxa"/>
            <w:vAlign w:val="bottom"/>
            <w:shd w:val="clear" w:color="auto" w:fill="BFE4FF"/>
          </w:tcPr>
          <w:p>
            <w:pPr>
              <w:ind w:left="20"/>
              <w:spacing w:after="0"/>
              <w:rPr>
                <w:sz w:val="20"/>
                <w:szCs w:val="20"/>
                <w:color w:val="auto"/>
              </w:rPr>
            </w:pPr>
            <w:r>
              <w:rPr>
                <w:rFonts w:ascii="Arial" w:cs="Arial" w:eastAsia="Arial" w:hAnsi="Arial"/>
                <w:sz w:val="14"/>
                <w:szCs w:val="14"/>
                <w:color w:val="auto"/>
              </w:rPr>
              <w:t>Martin Edwards, M.D.</w:t>
            </w:r>
          </w:p>
        </w:tc>
        <w:tc>
          <w:tcPr>
            <w:tcW w:w="1220" w:type="dxa"/>
            <w:vAlign w:val="bottom"/>
            <w:shd w:val="clear" w:color="auto" w:fill="BFE4FF"/>
          </w:tcPr>
          <w:p>
            <w:pPr>
              <w:jc w:val="center"/>
              <w:ind w:left="509"/>
              <w:spacing w:after="0"/>
              <w:rPr>
                <w:sz w:val="20"/>
                <w:szCs w:val="20"/>
                <w:color w:val="auto"/>
              </w:rPr>
            </w:pPr>
            <w:r>
              <w:rPr>
                <w:rFonts w:ascii="Arial" w:cs="Arial" w:eastAsia="Arial" w:hAnsi="Arial"/>
                <w:sz w:val="14"/>
                <w:szCs w:val="14"/>
                <w:color w:val="auto"/>
              </w:rPr>
              <w:t>64</w:t>
            </w:r>
          </w:p>
        </w:tc>
        <w:tc>
          <w:tcPr>
            <w:tcW w:w="7620" w:type="dxa"/>
            <w:vAlign w:val="bottom"/>
            <w:shd w:val="clear" w:color="auto" w:fill="BFE4FF"/>
          </w:tcPr>
          <w:p>
            <w:pPr>
              <w:ind w:left="200"/>
              <w:spacing w:after="0"/>
              <w:rPr>
                <w:sz w:val="20"/>
                <w:szCs w:val="20"/>
                <w:color w:val="auto"/>
              </w:rPr>
            </w:pPr>
            <w:r>
              <w:rPr>
                <w:rFonts w:ascii="Arial" w:cs="Arial" w:eastAsia="Arial" w:hAnsi="Arial"/>
                <w:sz w:val="14"/>
                <w:szCs w:val="14"/>
                <w:color w:val="auto"/>
              </w:rPr>
              <w:t>Non-executive Director</w:t>
            </w:r>
          </w:p>
        </w:tc>
      </w:tr>
    </w:tbl>
    <w:p>
      <w:pPr>
        <w:spacing w:after="0" w:line="133" w:lineRule="exact"/>
        <w:rPr>
          <w:sz w:val="20"/>
          <w:szCs w:val="20"/>
          <w:color w:val="auto"/>
        </w:rPr>
      </w:pPr>
    </w:p>
    <w:p>
      <w:pPr>
        <w:ind w:left="660" w:hanging="654"/>
        <w:spacing w:after="0"/>
        <w:tabs>
          <w:tab w:leader="none" w:pos="6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Audit and Risk Committee member</w:t>
      </w:r>
    </w:p>
    <w:p>
      <w:pPr>
        <w:spacing w:after="0" w:line="261" w:lineRule="exact"/>
        <w:rPr>
          <w:rFonts w:ascii="Arial" w:cs="Arial" w:eastAsia="Arial" w:hAnsi="Arial"/>
          <w:sz w:val="11"/>
          <w:szCs w:val="11"/>
          <w:color w:val="auto"/>
        </w:rPr>
      </w:pPr>
    </w:p>
    <w:p>
      <w:pPr>
        <w:ind w:left="660" w:hanging="654"/>
        <w:spacing w:after="0"/>
        <w:tabs>
          <w:tab w:leader="none" w:pos="6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Remuneration Committee member</w:t>
      </w:r>
    </w:p>
    <w:p>
      <w:pPr>
        <w:spacing w:after="0" w:line="261" w:lineRule="exact"/>
        <w:rPr>
          <w:rFonts w:ascii="Arial" w:cs="Arial" w:eastAsia="Arial" w:hAnsi="Arial"/>
          <w:sz w:val="11"/>
          <w:szCs w:val="11"/>
          <w:color w:val="auto"/>
        </w:rPr>
      </w:pPr>
    </w:p>
    <w:p>
      <w:pPr>
        <w:ind w:left="660" w:hanging="654"/>
        <w:spacing w:after="0"/>
        <w:tabs>
          <w:tab w:leader="none" w:pos="660" w:val="left"/>
        </w:tabs>
        <w:numPr>
          <w:ilvl w:val="0"/>
          <w:numId w:val="45"/>
        </w:numPr>
        <w:rPr>
          <w:rFonts w:ascii="Arial" w:cs="Arial" w:eastAsia="Arial" w:hAnsi="Arial"/>
          <w:sz w:val="11"/>
          <w:szCs w:val="11"/>
          <w:color w:val="auto"/>
        </w:rPr>
      </w:pPr>
      <w:r>
        <w:rPr>
          <w:rFonts w:ascii="Arial" w:cs="Arial" w:eastAsia="Arial" w:hAnsi="Arial"/>
          <w:sz w:val="11"/>
          <w:szCs w:val="11"/>
          <w:color w:val="auto"/>
        </w:rPr>
        <w:t>Governance Committee member</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are brief biographies of our executive officers and directors: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b w:val="1"/>
          <w:bCs w:val="1"/>
          <w:i w:val="1"/>
          <w:iCs w:val="1"/>
          <w:color w:val="auto"/>
        </w:rPr>
        <w:t xml:space="preserve">David Zaccardelli, Pharma.D. </w:t>
      </w:r>
      <w:r>
        <w:rPr>
          <w:rFonts w:ascii="Arial" w:cs="Arial" w:eastAsia="Arial" w:hAnsi="Arial"/>
          <w:sz w:val="14"/>
          <w:szCs w:val="14"/>
          <w:color w:val="auto"/>
        </w:rPr>
        <w:t>Dr. Zaccardelli has served as our President and Chief Executive Officer and on our board of directors since February 2020. From December 2018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until its acquisition by Swedish Orphan Biovitrum for up to $915 million in November 2019, Dr. Zaccardelli served as President and CEO of Dova Pharmaceuticals, a US company developing therapeutics for rare diseases. Previously, he was Acting CEO of Cempra, from December 2016 until the company’s merger with Melinta Therapeutics in November 2017. From 2004 until 2016, Dr Zaccardelli served in several senior management roles at United Therapeutics Corporation, including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Glaxo Wellcome, and Bausch &amp; Lomb Pharmaceutical. Dr. Zaccardelli received a Pharm.D. from the University of Michigan.</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auto"/>
        </w:rPr>
        <w:t xml:space="preserve">Piers Morgan. </w:t>
      </w:r>
      <w:r>
        <w:rPr>
          <w:rFonts w:ascii="Arial" w:cs="Arial" w:eastAsia="Arial" w:hAnsi="Arial"/>
          <w:sz w:val="14"/>
          <w:szCs w:val="14"/>
          <w:color w:val="auto"/>
        </w:rPr>
        <w:t>Mr. Morgan has served as our Chief Financial Officer since September 2016. From November 2015 to September 2016, Mr. Morgan was an independent consultant.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May 2014 to November 2015, Mr. Morgan was the Chief Executive Officer of C4X Discovery plc, a biotechnology company. Prior to C4X, Mr. Morgan co-founded</w:t>
      </w:r>
    </w:p>
    <w:p>
      <w:pPr>
        <w:spacing w:after="0" w:line="1"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uniQure N.V., a biotechnology company, in Amsterdam, where he served as Chief Financial Officer from December 2009 to May 2014. Mr. Morgan is a member of the Institute of Chartered Accountants in England and Wales and received an M.A. in law and management studies from the University of Cambridge.</w:t>
      </w:r>
    </w:p>
    <w:p>
      <w:pPr>
        <w:spacing w:after="0" w:line="178" w:lineRule="exact"/>
        <w:rPr>
          <w:sz w:val="20"/>
          <w:szCs w:val="20"/>
          <w:color w:val="auto"/>
        </w:rPr>
      </w:pPr>
    </w:p>
    <w:p>
      <w:pPr>
        <w:ind w:right="100"/>
        <w:spacing w:after="0" w:line="274" w:lineRule="auto"/>
        <w:rPr>
          <w:sz w:val="20"/>
          <w:szCs w:val="20"/>
          <w:color w:val="auto"/>
        </w:rPr>
      </w:pPr>
      <w:r>
        <w:rPr>
          <w:rFonts w:ascii="Arial" w:cs="Arial" w:eastAsia="Arial" w:hAnsi="Arial"/>
          <w:sz w:val="14"/>
          <w:szCs w:val="14"/>
          <w:b w:val="1"/>
          <w:bCs w:val="1"/>
          <w:i w:val="1"/>
          <w:iCs w:val="1"/>
          <w:color w:val="auto"/>
        </w:rPr>
        <w:t xml:space="preserve">Kathleen Rickard, M.D. </w:t>
      </w:r>
      <w:r>
        <w:rPr>
          <w:rFonts w:ascii="Arial" w:cs="Arial" w:eastAsia="Arial" w:hAnsi="Arial"/>
          <w:sz w:val="14"/>
          <w:szCs w:val="14"/>
          <w:color w:val="auto"/>
        </w:rPr>
        <w:t>Dr. Rickard has served as our Chief Medical Officer since February 2019. Prior to joining Verona Pharma, Dr. Rickard served in multiple roles at Aerocrine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AB, a medical diagnostics product company, including as Chief Medical Officer from April 2011 to January 2019, and as Chief Compliance Officer from April 2014 to January 2019. Prior to Aerocrine, Dr. Rickard was Vice President Clinical Development and Medical Affairs of the Respiratory Medicines Development Centre at GlaxoSmithKline, a pharmaceutical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60"/>
          </w:cols>
          <w:pgMar w:left="220" w:top="401" w:right="219" w:bottom="1440" w:gutter="0" w:footer="0" w:header="0"/>
        </w:sectPr>
      </w:pPr>
    </w:p>
    <w:bookmarkStart w:id="85" w:name="page86"/>
    <w:bookmarkEnd w:id="85"/>
    <w:p>
      <w:pPr>
        <w:ind w:right="360"/>
        <w:spacing w:after="0" w:line="273" w:lineRule="auto"/>
        <w:rPr>
          <w:sz w:val="20"/>
          <w:szCs w:val="20"/>
          <w:color w:val="auto"/>
        </w:rPr>
      </w:pPr>
      <w:r>
        <w:rPr>
          <w:rFonts w:ascii="Arial" w:cs="Arial" w:eastAsia="Arial" w:hAnsi="Arial"/>
          <w:sz w:val="14"/>
          <w:szCs w:val="14"/>
          <w:color w:val="auto"/>
        </w:rPr>
        <w:t>company, and, over a period of 15 years, held a number of other leadership positions in clinical development across GlaxoSmithKline’s global respiratory franchise. Dr. Rickard received an M.D. from Hahnemann University Hospital, Philadelphia.</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b w:val="1"/>
          <w:bCs w:val="1"/>
          <w:i w:val="1"/>
          <w:iCs w:val="1"/>
          <w:color w:val="auto"/>
        </w:rPr>
        <w:t xml:space="preserve">Claire Poll. </w:t>
      </w:r>
      <w:r>
        <w:rPr>
          <w:rFonts w:ascii="Arial" w:cs="Arial" w:eastAsia="Arial" w:hAnsi="Arial"/>
          <w:sz w:val="14"/>
          <w:szCs w:val="14"/>
          <w:color w:val="auto"/>
        </w:rPr>
        <w:t>Ms. Poll has served as General Counsel since September 2016. From September 2015 to August 2016, Ms. Poll served as an advisor to us on legal, general corporate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financing matters. She also served as an Executive Director on our board of directors from September 2006 until September 2015. Ms. Poll received a Bachelor of Laws from the University of Western Australia and a Diploma in Applied Finance and Investment from the Securities Institute of Australia.</w:t>
      </w:r>
    </w:p>
    <w:p>
      <w:pPr>
        <w:spacing w:after="0" w:line="17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i w:val="1"/>
          <w:iCs w:val="1"/>
          <w:color w:val="auto"/>
        </w:rPr>
        <w:t xml:space="preserve">David Ebsworth, Ph.D. </w:t>
      </w:r>
      <w:r>
        <w:rPr>
          <w:rFonts w:ascii="Arial" w:cs="Arial" w:eastAsia="Arial" w:hAnsi="Arial"/>
          <w:sz w:val="14"/>
          <w:szCs w:val="14"/>
          <w:color w:val="auto"/>
        </w:rPr>
        <w:t>Dr. Ebsworth has served as the Non-Executive Chairman of our board of directors since December 2014. From October 2009 to August 2014, Dr. Ebsworth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Chief Executive Officer of Vifor Pharma, based in Zürich, the specialty pharma division of Galenica AG Group, a pharmaceutical wholesaler and retailer, and as a member of Galenica's Executive Committee. In 2012, Dr. Ebsworth was also named as Chief Executive Officer of Galenica and as Chairman of Galenica's Executive Committee, positions he held until August 2014. In his earlier career, Dr. Ebsworth worked with Bayer AG for over 19 years, heading the Canadian, North American and global pharmaceutical business. He also served as Chief Executive Officer of Oxford Glycosciences, a biotech company, listed on the London Stock Exchange and Nasdaq, which was acquired by Celltech plc (now part of UCB) in 2003. Dr. Ebsworth received a Ph.D. in industrial relations from the University of Surrey.</w:t>
      </w:r>
    </w:p>
    <w:p>
      <w:pPr>
        <w:spacing w:after="0" w:line="184"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b w:val="1"/>
          <w:bCs w:val="1"/>
          <w:i w:val="1"/>
          <w:iCs w:val="1"/>
          <w:color w:val="auto"/>
        </w:rPr>
        <w:t xml:space="preserve">Ken Cunningham, M.D. </w:t>
      </w:r>
      <w:r>
        <w:rPr>
          <w:rFonts w:ascii="Arial" w:cs="Arial" w:eastAsia="Arial" w:hAnsi="Arial"/>
          <w:sz w:val="14"/>
          <w:szCs w:val="14"/>
          <w:color w:val="auto"/>
        </w:rPr>
        <w:t>Dr. Cunningham has served as a Non-Executive Director on our board of directors since September 2015. Dr. Cunningham has over 25 years’ experience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pharmaceutical industry including leadership roles at several companies focused on developing respiratory medicines. Between 2008 and 2010, he was at SkyePharma plc (now part of Vectura Group plc), initially as Chief Operating Officer and subsequently as Chief Executive Officer where he was involved in the late-stage development of flutiform for asthma. Earlier in his career, Dr. Cunningham held a variety of clinical development and commercial strategy roles at GlaxoWellcome plc and Warner-Lambert. Dr. Cunningham serves as the non-executive chairman of the board of directors of Abzena Holdings (US) LLC and of Medherant Ltd. Dr. Cunningham received a degree in medicine from St. Mary’s, Imperial College, London University.</w:t>
      </w:r>
    </w:p>
    <w:p>
      <w:pPr>
        <w:spacing w:after="0" w:line="184"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b w:val="1"/>
          <w:bCs w:val="1"/>
          <w:i w:val="1"/>
          <w:iCs w:val="1"/>
          <w:color w:val="auto"/>
        </w:rPr>
        <w:t xml:space="preserve">Martin Edwards, M.D. </w:t>
      </w:r>
      <w:r>
        <w:rPr>
          <w:rFonts w:ascii="Arial" w:cs="Arial" w:eastAsia="Arial" w:hAnsi="Arial"/>
          <w:sz w:val="14"/>
          <w:szCs w:val="14"/>
          <w:color w:val="auto"/>
        </w:rPr>
        <w:t>Dr. Edwards has served as a Non-Executive Director on our board of directors since April 2019. Since 2003, Dr. Edwards has held various positions at Novo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Holdings, a life sciences investment firm, and most recently as part-time Senior Partner. Earlier in his career, he was Corporate VP and Global Head of Drug Development for Novo Nordisk, where he led all aspects of pre-clinical and clinical drug development. Dr. Edwards currently serves on the boards of directors of Kalvista Pharmaceuticals Inc, F2G Ltd, Harmony Biosciences Inc, Karus Therapeutics Ltd, Nuvelution Pharma Inc, and Vantia Therapeutics Ltd. Dr. Edwards trained in physiology and medicine at the University of Manchester. He is a Member of the Royal College of Physicians, a Member with distinction of the Royal College of General Practitioners, a Fellow of the Faculty of Pharmaceutical Medicine and holds a MBA from the University of Warwick.</w:t>
      </w:r>
    </w:p>
    <w:p>
      <w:pPr>
        <w:spacing w:after="0" w:line="18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i w:val="1"/>
          <w:iCs w:val="1"/>
          <w:color w:val="auto"/>
        </w:rPr>
        <w:t xml:space="preserve">Rishi Gupta. </w:t>
      </w:r>
      <w:r>
        <w:rPr>
          <w:rFonts w:ascii="Arial" w:cs="Arial" w:eastAsia="Arial" w:hAnsi="Arial"/>
          <w:sz w:val="14"/>
          <w:szCs w:val="14"/>
          <w:color w:val="auto"/>
        </w:rPr>
        <w:t>Mr. Gupta has served as a Non-Executive Director on our board of directors since July 2016. Mr. Gupta was designated for appointment to our board of directors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OrbiMed Private Investments VI, LP, or OrbiMed, pursuant to our relationship agreement with OrbiMed. Since 2002, Mr. Gupta has held various positions at OrbiMed Advisors LLC, a global healthcare investment firm, where he is currently a Partner. Prior to that, he was a healthcare investment banker at Raymond James &amp; Associates, served as manager of corporate development at Veritas Medicine and was a summer associate at Wachtell, Lipton. Mr. Gupta currently is a member of the board of directors of Avitide, Inc., Turnstone Biologics, Inc., Attenua, Inc, EnLiven Therapeutics, Inc, and Pionyr Immunotherapeutics, Inc. Mr. Gupta received an A.B. in biochemical sciences from Harvard College and a J.D. from Yale Law School.</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4"/>
          <w:szCs w:val="14"/>
          <w:b w:val="1"/>
          <w:bCs w:val="1"/>
          <w:i w:val="1"/>
          <w:iCs w:val="1"/>
          <w:color w:val="auto"/>
        </w:rPr>
        <w:t xml:space="preserve">Mahendra Shah, Ph.D. </w:t>
      </w:r>
      <w:r>
        <w:rPr>
          <w:rFonts w:ascii="Arial" w:cs="Arial" w:eastAsia="Arial" w:hAnsi="Arial"/>
          <w:sz w:val="14"/>
          <w:szCs w:val="14"/>
          <w:color w:val="auto"/>
        </w:rPr>
        <w:t>Dr. Shah has served as a Non-Executive Director on our board of directors since July 2016. Dr. Shah was designated for appointment to our board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by funds affiliated with Vivo Capital pursuant to our relationship agreement with such funds. Dr. Shah is a successful pharmaceutical entrepreneur and executive and, since March 2010, has served as a Managing Director of Vivo Capital, a healthcare investment firm. Dr. Shah serves as a member of the board of directors of Scilex Pharmaceuticals, Inc., Fortis Inc., Citrine Medicines, Inc., and several private companies in the biopharmaceutical and biotechnology industries. Dr. Shah received his Ph.D. in industrial pharmacy from St. John’s University and a Master’s Degree in Pharmacy from L.M. College of Pharmacy in Gujarat, India.</w:t>
      </w:r>
    </w:p>
    <w:p>
      <w:pPr>
        <w:spacing w:after="0" w:line="182" w:lineRule="exact"/>
        <w:rPr>
          <w:sz w:val="20"/>
          <w:szCs w:val="20"/>
          <w:color w:val="auto"/>
        </w:rPr>
      </w:pPr>
    </w:p>
    <w:p>
      <w:pPr>
        <w:ind w:right="160"/>
        <w:spacing w:after="0" w:line="270" w:lineRule="auto"/>
        <w:rPr>
          <w:sz w:val="20"/>
          <w:szCs w:val="20"/>
          <w:color w:val="auto"/>
        </w:rPr>
      </w:pPr>
      <w:r>
        <w:rPr>
          <w:rFonts w:ascii="Arial" w:cs="Arial" w:eastAsia="Arial" w:hAnsi="Arial"/>
          <w:sz w:val="14"/>
          <w:szCs w:val="14"/>
          <w:b w:val="1"/>
          <w:bCs w:val="1"/>
          <w:i w:val="1"/>
          <w:iCs w:val="1"/>
          <w:color w:val="auto"/>
        </w:rPr>
        <w:t xml:space="preserve">Andrew Sinclair, Ph.D. </w:t>
      </w:r>
      <w:r>
        <w:rPr>
          <w:rFonts w:ascii="Arial" w:cs="Arial" w:eastAsia="Arial" w:hAnsi="Arial"/>
          <w:sz w:val="14"/>
          <w:szCs w:val="14"/>
          <w:color w:val="auto"/>
        </w:rPr>
        <w:t>Dr. Sinclair has served as a Non-Executive Director on our board of directors since July 2016. Dr. Sinclair was designated for appointment to our board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directors by Abingworth Bioventures VI, LP, or Abingworth, pursuant to our relationship agreement with Abingworth.Since 2008, Dr. Sinclair has held various positions at Abingworth LLP, a life sciences investment group, where he is currently a Partner and Portfolio Manager. Dr. Sinclair is a member of the Institute of Chartered Accountants in England and Wales and received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60"/>
          </w:cols>
          <w:pgMar w:left="220" w:top="419" w:right="21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a Ph.D. in chemistry and genetic engineering at the BBSRC Institute of Plant Science, Norwich, and a B.Sc. in microbiology from King's College London.</w:t>
      </w:r>
    </w:p>
    <w:p>
      <w:pPr>
        <w:spacing w:after="0" w:line="233"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b w:val="1"/>
          <w:bCs w:val="1"/>
          <w:i w:val="1"/>
          <w:iCs w:val="1"/>
          <w:color w:val="auto"/>
        </w:rPr>
        <w:t xml:space="preserve">Vikas Sinha. </w:t>
      </w:r>
      <w:r>
        <w:rPr>
          <w:rFonts w:ascii="Arial" w:cs="Arial" w:eastAsia="Arial" w:hAnsi="Arial"/>
          <w:sz w:val="14"/>
          <w:szCs w:val="14"/>
          <w:color w:val="auto"/>
        </w:rPr>
        <w:t>Mr. Sinha has served as a Non-Executive Director on our board of directors since September 2016. Mr. Sinha has over 20 years’ experience working in executive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finance roles in the life sciences industry. Mr. Sinha is co-founder and Chief Financial Officer of ElevateBio, Inc., a holding company focused on building cell and gene therapy companies. He also serves as President and Chief Financial Officer of AlloVir, Inc., an ElevateBio portfolio company</w:t>
      </w:r>
      <w:r>
        <w:rPr>
          <w:rFonts w:ascii="Arial" w:cs="Arial" w:eastAsia="Arial" w:hAnsi="Arial"/>
          <w:sz w:val="17"/>
          <w:szCs w:val="17"/>
          <w:color w:val="auto"/>
        </w:rPr>
        <w:t>.</w:t>
      </w:r>
      <w:r>
        <w:rPr>
          <w:rFonts w:ascii="Arial" w:cs="Arial" w:eastAsia="Arial" w:hAnsi="Arial"/>
          <w:sz w:val="14"/>
          <w:szCs w:val="14"/>
          <w:color w:val="auto"/>
        </w:rPr>
        <w:t xml:space="preserve"> From 2005 to 2016, Mr. Sinha was the Chief Financial Officer of Alexion Pharmaceuticals, Inc., a biotechnology company, where he was responsible for finance, business development, strategy, investor relations and IT. Prior to joining Alexion, Mr. Sinha held various positions with Bayer AG in the United States, Japan, Germany and Canada, including Vice President and Chief Financial Officer of Bayer Pharmaceuticals Corporation in the United States and Vice President and Chief Financial Officer of Bayer Yakuhin Ltd. in Japan. Mr. Sinha holds a master's degree in business administration from the Asian Institute of Management. He is also a qualified Chartered Accountant from the Institute of Chartered Accountants of India and a Certified Public Accountant in the United States.</w:t>
      </w:r>
    </w:p>
    <w:p>
      <w:pPr>
        <w:spacing w:after="0" w:line="376"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Anders Ullman, M.D., Ph.D. </w:t>
      </w:r>
      <w:r>
        <w:rPr>
          <w:rFonts w:ascii="Arial" w:cs="Arial" w:eastAsia="Arial" w:hAnsi="Arial"/>
          <w:sz w:val="14"/>
          <w:szCs w:val="14"/>
          <w:color w:val="auto"/>
        </w:rPr>
        <w:t>Dr. Ullman has served as a Non-Executive Director on our board of directors since September 2015. From 2016 to 2018, Dr. Ullman served as Head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COPD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serves on the board of directors of Pexa AB. Dr. Ullman received a M.D. and a Ph.D. in clinical pharmacology from the University of Gothenburg.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Senior Management</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are brief biographies of other members of the senior management team that participate in leading ensifentrine's development.</w:t>
      </w:r>
    </w:p>
    <w:p>
      <w:pPr>
        <w:spacing w:after="0" w:line="211"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b w:val="1"/>
          <w:bCs w:val="1"/>
          <w:i w:val="1"/>
          <w:iCs w:val="1"/>
          <w:color w:val="auto"/>
        </w:rPr>
        <w:t xml:space="preserve">Richard Hennings. </w:t>
      </w:r>
      <w:r>
        <w:rPr>
          <w:rFonts w:ascii="Arial" w:cs="Arial" w:eastAsia="Arial" w:hAnsi="Arial"/>
          <w:sz w:val="14"/>
          <w:szCs w:val="14"/>
          <w:color w:val="auto"/>
        </w:rPr>
        <w:t>Mr. Hennings has served as Vice President and Commercial Head since March 2017. From May 2016 to March 2017, Mr. Hennings was the Global Marketing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 for AstraZeneca UK Limited, a biopharmaceutical company. Since July 2015, Mr. Hennings has been a director of Hennings Consulting Ltd., where he consults with healthcare organizations on commercial strategy. From January 2012 to June 2015, Mr. Hennings held various positions at Gilead Sciences, Inc., a biopharmaceutical company, most recently as Commercial Director — EMEA Planning &amp; Operations. Mr. Hennings received a bachelor's degree in applied chemistry from the University of Portsmouth.</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b w:val="1"/>
          <w:bCs w:val="1"/>
          <w:i w:val="1"/>
          <w:iCs w:val="1"/>
          <w:color w:val="auto"/>
        </w:rPr>
        <w:t xml:space="preserve">Desiree Luthman, DDS. </w:t>
      </w:r>
      <w:r>
        <w:rPr>
          <w:rFonts w:ascii="Arial" w:cs="Arial" w:eastAsia="Arial" w:hAnsi="Arial"/>
          <w:sz w:val="14"/>
          <w:szCs w:val="14"/>
          <w:color w:val="auto"/>
        </w:rPr>
        <w:t>Dr. Luthman has served as our Vice President, Regulatory Affairs since June 2017. From 2015 to 2017, Dr. Luthman served as Senior Regulatory Director,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Global Inflammation — Immunoncology Therapeutic Area at Sanofi S.A., a multinational pharmaceutical company. From 2013 to 2015, Dr. Luthman was a Director, Global Regulatory Strategy and Science at Bristol, Meyers &amp; Squibb Company, a pharmaceutical company. Dr. Luthman received a doctorate in dentistry from the Karolinska Institute, Stockholm, Sweden.</w:t>
      </w:r>
    </w:p>
    <w:p>
      <w:pPr>
        <w:spacing w:after="0" w:line="181"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b w:val="1"/>
          <w:bCs w:val="1"/>
          <w:i w:val="1"/>
          <w:iCs w:val="1"/>
          <w:color w:val="auto"/>
        </w:rPr>
        <w:t xml:space="preserve">Tara Rheault, Ph.D. </w:t>
      </w:r>
      <w:r>
        <w:rPr>
          <w:rFonts w:ascii="Arial" w:cs="Arial" w:eastAsia="Arial" w:hAnsi="Arial"/>
          <w:sz w:val="14"/>
          <w:szCs w:val="14"/>
          <w:color w:val="auto"/>
        </w:rPr>
        <w:t>Dr. Rheault has served as our Vice President, R&amp;D and Global Project Management since January 2019. From August 2015 to January 2019, Dr. Rheault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Senior Director, Strategic Drug Development at IQVIA, a multinational company serving the combined industries of health information technologies and clinical research, where she helped pharmaceutical companies develop integrated commercial and R&amp;D strategies. Prior to IQVIA, from September 2002 to August 2015, Dr. Rheault served in various roles at GlaxoSmithKline, most recently as Clinical Leader within the respiratory therapy area. Dr. Rheault received a Ph.D. in organic chemistry from North Dakota State University and a Master in Public Health from the University of North Carolina.</w:t>
      </w:r>
    </w:p>
    <w:p>
      <w:pPr>
        <w:spacing w:after="0" w:line="182"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b w:val="1"/>
          <w:bCs w:val="1"/>
          <w:i w:val="1"/>
          <w:iCs w:val="1"/>
          <w:color w:val="auto"/>
        </w:rPr>
        <w:t>Peter Spargo</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Ph.D. </w:t>
      </w:r>
      <w:r>
        <w:rPr>
          <w:rFonts w:ascii="Arial" w:cs="Arial" w:eastAsia="Arial" w:hAnsi="Arial"/>
          <w:sz w:val="14"/>
          <w:szCs w:val="14"/>
          <w:color w:val="auto"/>
        </w:rPr>
        <w:t>Dr. Spargo has served as our Senior Vice President, Chemistry Manufacturing and Controls since May 2014. From January to October 2015, Dr. Spargo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served as Senior Vice President, CMC at Spinifex Pharmaceuticals Inc., a biotechnology company, that was acquired by Novartis International AG. From 2011 to 2013, Dr. Spargo was Senior Vice President, CMC at Creabilis SA, a pharmaceutical company. Dr. Spargo received an M.A. in natural sciences and a Ph.D. in synthetic organic chemistry from Cambridge University.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Family Relationships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among any of the members of our board of directors and executive officers.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60"/>
          </w:cols>
          <w:pgMar w:left="220" w:top="419" w:right="21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color w:val="auto"/>
        </w:rPr>
        <w:t>B.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Remuneration</w:t>
      </w:r>
    </w:p>
    <w:p>
      <w:pPr>
        <w:spacing w:after="0" w:line="243" w:lineRule="exact"/>
        <w:rPr>
          <w:sz w:val="20"/>
          <w:szCs w:val="20"/>
          <w:color w:val="auto"/>
        </w:rPr>
      </w:pPr>
    </w:p>
    <w:p>
      <w:pPr>
        <w:ind w:right="660"/>
        <w:spacing w:after="0" w:line="273" w:lineRule="auto"/>
        <w:rPr>
          <w:sz w:val="20"/>
          <w:szCs w:val="20"/>
          <w:color w:val="auto"/>
        </w:rPr>
      </w:pPr>
      <w:r>
        <w:rPr>
          <w:rFonts w:ascii="Arial" w:cs="Arial" w:eastAsia="Arial" w:hAnsi="Arial"/>
          <w:sz w:val="14"/>
          <w:szCs w:val="14"/>
          <w:color w:val="auto"/>
        </w:rPr>
        <w:t>The following table sets forth the approximate remuneration paid during the year ended December 31, 2019, to our current executive officers, who are the members of our administrative, supervisory, and management bodies.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860" w:type="dxa"/>
            <w:vAlign w:val="bottom"/>
          </w:tcPr>
          <w:p>
            <w:pPr>
              <w:jc w:val="right"/>
              <w:ind w:right="528"/>
              <w:spacing w:after="0"/>
              <w:rPr>
                <w:sz w:val="20"/>
                <w:szCs w:val="20"/>
                <w:color w:val="auto"/>
              </w:rPr>
            </w:pPr>
            <w:r>
              <w:rPr>
                <w:rFonts w:ascii="Arial" w:cs="Arial" w:eastAsia="Arial" w:hAnsi="Arial"/>
                <w:sz w:val="14"/>
                <w:szCs w:val="14"/>
                <w:b w:val="1"/>
                <w:bCs w:val="1"/>
                <w:color w:val="auto"/>
              </w:rPr>
              <w:t>Salary</w:t>
            </w:r>
          </w:p>
        </w:tc>
        <w:tc>
          <w:tcPr>
            <w:tcW w:w="1280" w:type="dxa"/>
            <w:vAlign w:val="bottom"/>
          </w:tcPr>
          <w:p>
            <w:pPr>
              <w:jc w:val="right"/>
              <w:ind w:right="368"/>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7"/>
                <w:szCs w:val="17"/>
                <w:b w:val="1"/>
                <w:bCs w:val="1"/>
                <w:color w:val="auto"/>
                <w:vertAlign w:val="superscript"/>
              </w:rPr>
              <w:t>(1)</w:t>
            </w:r>
          </w:p>
        </w:tc>
        <w:tc>
          <w:tcPr>
            <w:tcW w:w="1460" w:type="dxa"/>
            <w:vAlign w:val="bottom"/>
          </w:tcPr>
          <w:p>
            <w:pPr>
              <w:jc w:val="right"/>
              <w:ind w:right="88"/>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7"/>
                <w:szCs w:val="17"/>
                <w:b w:val="1"/>
                <w:bCs w:val="1"/>
                <w:color w:val="auto"/>
                <w:vertAlign w:val="superscript"/>
              </w:rPr>
              <w:t>(2)</w:t>
            </w:r>
          </w:p>
        </w:tc>
        <w:tc>
          <w:tcPr>
            <w:tcW w:w="2240" w:type="dxa"/>
            <w:vAlign w:val="bottom"/>
          </w:tcPr>
          <w:p>
            <w:pPr>
              <w:jc w:val="right"/>
              <w:ind w:right="268"/>
              <w:spacing w:after="0"/>
              <w:rPr>
                <w:sz w:val="20"/>
                <w:szCs w:val="20"/>
                <w:color w:val="auto"/>
              </w:rPr>
            </w:pPr>
            <w:r>
              <w:rPr>
                <w:rFonts w:ascii="Arial" w:cs="Arial" w:eastAsia="Arial" w:hAnsi="Arial"/>
                <w:sz w:val="14"/>
                <w:szCs w:val="14"/>
                <w:b w:val="1"/>
                <w:bCs w:val="1"/>
                <w:color w:val="auto"/>
              </w:rPr>
              <w:t>All Other Compensation</w:t>
            </w:r>
            <w:r>
              <w:rPr>
                <w:rFonts w:ascii="Arial" w:cs="Arial" w:eastAsia="Arial" w:hAnsi="Arial"/>
                <w:sz w:val="17"/>
                <w:szCs w:val="17"/>
                <w:b w:val="1"/>
                <w:bCs w:val="1"/>
                <w:color w:val="auto"/>
                <w:vertAlign w:val="superscript"/>
              </w:rPr>
              <w:t>(3)</w:t>
            </w: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8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Zaccardelli</w:t>
            </w:r>
          </w:p>
        </w:tc>
        <w:tc>
          <w:tcPr>
            <w:tcW w:w="1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3500" w:type="dxa"/>
            <w:vAlign w:val="bottom"/>
          </w:tcPr>
          <w:p>
            <w:pPr>
              <w:ind w:left="160"/>
              <w:spacing w:after="0"/>
              <w:rPr>
                <w:sz w:val="20"/>
                <w:szCs w:val="20"/>
                <w:color w:val="auto"/>
              </w:rPr>
            </w:pPr>
            <w:r>
              <w:rPr>
                <w:rFonts w:ascii="Arial" w:cs="Arial" w:eastAsia="Arial" w:hAnsi="Arial"/>
                <w:sz w:val="14"/>
                <w:szCs w:val="14"/>
                <w:color w:val="auto"/>
              </w:rPr>
              <w:t xml:space="preserve">President and Chief Executive Officer </w:t>
            </w:r>
            <w:r>
              <w:rPr>
                <w:rFonts w:ascii="Arial" w:cs="Arial" w:eastAsia="Arial" w:hAnsi="Arial"/>
                <w:sz w:val="17"/>
                <w:szCs w:val="17"/>
                <w:color w:val="auto"/>
                <w:vertAlign w:val="superscript"/>
              </w:rPr>
              <w:t>(4)</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Piers Morgan</w:t>
            </w:r>
          </w:p>
        </w:tc>
        <w:tc>
          <w:tcPr>
            <w:tcW w:w="1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243,000</w:t>
            </w: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59,535</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179,413</w:t>
            </w:r>
          </w:p>
        </w:tc>
        <w:tc>
          <w:tcPr>
            <w:tcW w:w="2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14,580</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496,528</w:t>
            </w:r>
          </w:p>
        </w:tc>
      </w:tr>
      <w:tr>
        <w:trPr>
          <w:trHeight w:val="210"/>
        </w:trPr>
        <w:tc>
          <w:tcPr>
            <w:tcW w:w="3500" w:type="dxa"/>
            <w:vAlign w:val="bottom"/>
          </w:tcPr>
          <w:p>
            <w:pPr>
              <w:ind w:left="160"/>
              <w:spacing w:after="0"/>
              <w:rPr>
                <w:sz w:val="20"/>
                <w:szCs w:val="20"/>
                <w:color w:val="auto"/>
              </w:rPr>
            </w:pPr>
            <w:r>
              <w:rPr>
                <w:rFonts w:ascii="Arial" w:cs="Arial" w:eastAsia="Arial" w:hAnsi="Arial"/>
                <w:sz w:val="14"/>
                <w:szCs w:val="14"/>
                <w:color w:val="auto"/>
              </w:rPr>
              <w:t>Chief Financial Officer</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Kathleen Rickard</w:t>
            </w:r>
          </w:p>
        </w:tc>
        <w:tc>
          <w:tcPr>
            <w:tcW w:w="1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272,901</w:t>
            </w: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263,227</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265,132</w:t>
            </w:r>
          </w:p>
        </w:tc>
        <w:tc>
          <w:tcPr>
            <w:tcW w:w="2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5,307</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806,567</w:t>
            </w:r>
          </w:p>
        </w:tc>
      </w:tr>
      <w:tr>
        <w:trPr>
          <w:trHeight w:val="210"/>
        </w:trPr>
        <w:tc>
          <w:tcPr>
            <w:tcW w:w="3500" w:type="dxa"/>
            <w:vAlign w:val="bottom"/>
          </w:tcPr>
          <w:p>
            <w:pPr>
              <w:ind w:left="160"/>
              <w:spacing w:after="0"/>
              <w:rPr>
                <w:sz w:val="20"/>
                <w:szCs w:val="20"/>
                <w:color w:val="auto"/>
              </w:rPr>
            </w:pPr>
            <w:r>
              <w:rPr>
                <w:rFonts w:ascii="Arial" w:cs="Arial" w:eastAsia="Arial" w:hAnsi="Arial"/>
                <w:sz w:val="14"/>
                <w:szCs w:val="14"/>
                <w:color w:val="auto"/>
              </w:rPr>
              <w:t>Chief Medical Officer</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Claire Poll</w:t>
            </w:r>
          </w:p>
        </w:tc>
        <w:tc>
          <w:tcPr>
            <w:tcW w:w="1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214,000</w:t>
            </w:r>
          </w:p>
        </w:tc>
        <w:tc>
          <w:tcPr>
            <w:tcW w:w="1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67,410</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128,151</w:t>
            </w:r>
          </w:p>
        </w:tc>
        <w:tc>
          <w:tcPr>
            <w:tcW w:w="2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6,420</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415,981</w:t>
            </w:r>
          </w:p>
        </w:tc>
      </w:tr>
      <w:tr>
        <w:trPr>
          <w:trHeight w:val="210"/>
        </w:trPr>
        <w:tc>
          <w:tcPr>
            <w:tcW w:w="35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General Counsel</w:t>
            </w:r>
          </w:p>
        </w:tc>
        <w:tc>
          <w:tcPr>
            <w:tcW w:w="1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6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729,901</w:t>
            </w:r>
          </w:p>
        </w:tc>
        <w:tc>
          <w:tcPr>
            <w:tcW w:w="1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390,172</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572,696</w:t>
            </w:r>
          </w:p>
        </w:tc>
        <w:tc>
          <w:tcPr>
            <w:tcW w:w="22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26,307</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1,719,076</w:t>
            </w:r>
          </w:p>
        </w:tc>
      </w:tr>
    </w:tbl>
    <w:p>
      <w:pPr>
        <w:spacing w:after="0" w:line="103" w:lineRule="exact"/>
        <w:rPr>
          <w:sz w:val="20"/>
          <w:szCs w:val="20"/>
          <w:color w:val="auto"/>
        </w:rPr>
      </w:pPr>
    </w:p>
    <w:p>
      <w:pPr>
        <w:ind w:left="520" w:hanging="514"/>
        <w:spacing w:after="0"/>
        <w:tabs>
          <w:tab w:leader="none" w:pos="520" w:val="left"/>
        </w:tabs>
        <w:numPr>
          <w:ilvl w:val="0"/>
          <w:numId w:val="46"/>
        </w:numPr>
        <w:rPr>
          <w:rFonts w:ascii="Arial" w:cs="Arial" w:eastAsia="Arial" w:hAnsi="Arial"/>
          <w:sz w:val="7"/>
          <w:szCs w:val="7"/>
          <w:color w:val="auto"/>
        </w:rPr>
      </w:pPr>
      <w:r>
        <w:rPr>
          <w:rFonts w:ascii="Arial" w:cs="Arial" w:eastAsia="Arial" w:hAnsi="Arial"/>
          <w:sz w:val="10"/>
          <w:szCs w:val="10"/>
          <w:color w:val="auto"/>
        </w:rPr>
        <w:t>Amount shown reflect bonuses awarded for achievement of performance goals, including retention bonuses in 2019.</w:t>
      </w:r>
    </w:p>
    <w:p>
      <w:pPr>
        <w:spacing w:after="0" w:line="219" w:lineRule="exact"/>
        <w:rPr>
          <w:rFonts w:ascii="Arial" w:cs="Arial" w:eastAsia="Arial" w:hAnsi="Arial"/>
          <w:sz w:val="7"/>
          <w:szCs w:val="7"/>
          <w:color w:val="auto"/>
        </w:rPr>
      </w:pPr>
    </w:p>
    <w:p>
      <w:pPr>
        <w:ind w:left="520" w:right="100" w:hanging="514"/>
        <w:spacing w:after="0" w:line="259" w:lineRule="auto"/>
        <w:tabs>
          <w:tab w:leader="none" w:pos="520" w:val="left"/>
        </w:tabs>
        <w:numPr>
          <w:ilvl w:val="0"/>
          <w:numId w:val="46"/>
        </w:numPr>
        <w:rPr>
          <w:rFonts w:ascii="Arial" w:cs="Arial" w:eastAsia="Arial" w:hAnsi="Arial"/>
          <w:sz w:val="7"/>
          <w:szCs w:val="7"/>
          <w:color w:val="auto"/>
        </w:rPr>
      </w:pPr>
      <w:r>
        <w:rPr>
          <w:rFonts w:ascii="Arial" w:cs="Arial" w:eastAsia="Arial" w:hAnsi="Arial"/>
          <w:sz w:val="10"/>
          <w:szCs w:val="10"/>
          <w:color w:val="auto"/>
        </w:rPr>
        <w:t>Amount shown represents the aggregate grant date fair value of option and restricted share units awards granted in 2019 measured using the Black Scholes model. For a description of the assumptions used in valuing these awards, see note 16 to our Annual Consolidated Financial Statements included elsewhere in this Annual Report.</w:t>
      </w:r>
    </w:p>
    <w:p>
      <w:pPr>
        <w:spacing w:after="0" w:line="204" w:lineRule="exact"/>
        <w:rPr>
          <w:rFonts w:ascii="Arial" w:cs="Arial" w:eastAsia="Arial" w:hAnsi="Arial"/>
          <w:sz w:val="7"/>
          <w:szCs w:val="7"/>
          <w:color w:val="auto"/>
        </w:rPr>
      </w:pPr>
    </w:p>
    <w:p>
      <w:pPr>
        <w:ind w:left="520" w:hanging="514"/>
        <w:spacing w:after="0"/>
        <w:tabs>
          <w:tab w:leader="none" w:pos="520" w:val="left"/>
        </w:tabs>
        <w:numPr>
          <w:ilvl w:val="0"/>
          <w:numId w:val="46"/>
        </w:numPr>
        <w:rPr>
          <w:rFonts w:ascii="Arial" w:cs="Arial" w:eastAsia="Arial" w:hAnsi="Arial"/>
          <w:sz w:val="7"/>
          <w:szCs w:val="7"/>
          <w:color w:val="auto"/>
        </w:rPr>
      </w:pPr>
      <w:r>
        <w:rPr>
          <w:rFonts w:ascii="Arial" w:cs="Arial" w:eastAsia="Arial" w:hAnsi="Arial"/>
          <w:sz w:val="10"/>
          <w:szCs w:val="10"/>
          <w:color w:val="auto"/>
        </w:rPr>
        <w:t>Amount shown represents health benefits payments and pension contributions made by us.</w:t>
      </w:r>
    </w:p>
    <w:p>
      <w:pPr>
        <w:spacing w:after="0" w:line="219" w:lineRule="exact"/>
        <w:rPr>
          <w:rFonts w:ascii="Arial" w:cs="Arial" w:eastAsia="Arial" w:hAnsi="Arial"/>
          <w:sz w:val="7"/>
          <w:szCs w:val="7"/>
          <w:color w:val="auto"/>
        </w:rPr>
      </w:pPr>
    </w:p>
    <w:p>
      <w:pPr>
        <w:ind w:left="520" w:hanging="514"/>
        <w:spacing w:after="0"/>
        <w:tabs>
          <w:tab w:leader="none" w:pos="520" w:val="left"/>
        </w:tabs>
        <w:numPr>
          <w:ilvl w:val="0"/>
          <w:numId w:val="46"/>
        </w:numPr>
        <w:rPr>
          <w:rFonts w:ascii="Arial" w:cs="Arial" w:eastAsia="Arial" w:hAnsi="Arial"/>
          <w:sz w:val="7"/>
          <w:szCs w:val="7"/>
          <w:color w:val="auto"/>
        </w:rPr>
      </w:pPr>
      <w:r>
        <w:rPr>
          <w:rFonts w:ascii="Arial" w:cs="Arial" w:eastAsia="Arial" w:hAnsi="Arial"/>
          <w:sz w:val="10"/>
          <w:szCs w:val="10"/>
          <w:color w:val="auto"/>
        </w:rPr>
        <w:t>Dr. Zaccardelli was appointed as our President and Chief Executive Officer, effective as of February 1, 2020.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Employment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David S. Zaccardelli, Pharm.D.</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entered into an employment agreement with Dr. Zaccardelli on February 1, 2020. This agreement entitles Dr. Zaccardelli to receive an annual base salary of $750,000, which is payable in part in cash and in part in restricted stock units, or the Annual RSUs, and a target annual bonus opportunity of 50% of his annual base salary. The Annual RSUs vest in equal quarterly installments during the calendar year in which the grant occurs, subject to continued employment. Pursuant to his employment agreement, Dr. Zaccardelli is also entitled to receive (i) an award of restricted stock units, subject to approval at our annual general meeting of shareholders in 2020, equal to 4% of our outstanding ordinary shares and (ii) an additional award of restricted units if the Company raises additional equity capital during fiscal year 2020, which is intended to result in Dr. Zaccardelli’s equity awards (other than the portion of his base salary payable in restricted stock units) being equal to 4% of our outstanding ordinary shares on the applicable date of issuance. These awards of restricted stock units will vest as to 25% on the first anniversary of Dr. Zaccardelli’s employment commencement date and as to the remainder in quarterly installments thereafter over the following three years, subject to continued employment.</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If Dr. Zaccardelli’s employment is terminated by us without "Cause" or by Dr. Zaccardelli for "Good Reason" (as each such term is defined in his offer agreement), then, subject to his signing and not revoking a general release of claims, he is entitled to receive (i) 18 months (or 12 months if the termination occurs after the second anniversary of Mr. Zaccardelli’s employment commencement date) of base salary continuation and continued payment of premiums for continued medical coverage under COBRA, (ii) an amount equal to 150% (or 100% if the termination occurs after the second anniversary of Dr. Zaccardelli’s employment commencement date) of Dr. Zaccardelli’s full annual discretionary bonus, calculated as though all applicable objectives have been achieved for the year of termination, (iii) payment of all accrued and unused paid time-off, and (iv) full accelerated vesting of any outstanding, unvested equity awards under our share and share option schemes (with any performance-vesting awards become vested based on target level attainment), provided that if such termination occurs prior to the first anniversary of Dr. Zaccardelli’s employment commencement date, the awards will become vested as to the portion that would have otherwise vested on or prior to the first anniversary of Dr. Zaccardelli’s employment commencement date.</w:t>
      </w:r>
    </w:p>
    <w:p>
      <w:pPr>
        <w:spacing w:after="0" w:line="76"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If payments to Dr. Zaccardelli would constitute a "parachute payment" within the meaning of Section 280G of the Internal Revenue Code of 1986, as amended, or the Code, and would be subject to the excise tax imposed by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60"/>
          </w:cols>
          <w:pgMar w:left="220" w:top="401" w:right="219" w:bottom="1440" w:gutter="0" w:footer="0" w:header="0"/>
        </w:sectPr>
      </w:pPr>
    </w:p>
    <w:bookmarkStart w:id="88" w:name="page89"/>
    <w:bookmarkEnd w:id="88"/>
    <w:p>
      <w:pPr>
        <w:ind w:right="100"/>
        <w:spacing w:after="0" w:line="265" w:lineRule="auto"/>
        <w:rPr>
          <w:sz w:val="20"/>
          <w:szCs w:val="20"/>
          <w:color w:val="auto"/>
        </w:rPr>
      </w:pPr>
      <w:r>
        <w:rPr>
          <w:rFonts w:ascii="Arial" w:cs="Arial" w:eastAsia="Arial" w:hAnsi="Arial"/>
          <w:sz w:val="14"/>
          <w:szCs w:val="14"/>
          <w:color w:val="auto"/>
        </w:rPr>
        <w:t>Section 4999 of the Code, then such payment would be reduced to either (i) the largest portion of the payment that would result in no portion of the payment being subject to the excise tax or (ii) the largest portion of the payment, whichever of (i) or (ii) would result in Dr. Zaccardelli’s receipt, on an after-tax basis, of the greater amount of the payment. Dr. Zaccardelli has also agreed to refrain from competing with us or soliciting our customers or prospective customers for a period of one year following his termination of employment.</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Jan-Anders Karlsson, Ph.D.</w:t>
      </w:r>
    </w:p>
    <w:p>
      <w:pPr>
        <w:spacing w:after="0" w:line="11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and Dr. Karlsson entered into a separation agreement, or the Karlsson Separation Agreement, pursuant to which we and Dr. Karlsson agreed that he would no longer serve as chief executive officer, director or officer, effective as of February 2, 2020, and that his employment with us will terminate effective as of February 28, 2020, or the Separation Date. Dr. Karlsson agreed to help transition his duties to Dr. Zaccardelli. Pursuant to the Karlsson Separation Agreement, Dr. Karlsson agreed to execute a general release of claims, or the Karlsson Settlement Agreement, and he is entitled to receive cash severance payments in the aggregate amount of £982,160, payments for continued medical and life insurance benefits until the first anniversary of the Separation Date and continued pension contributions until the first anniversary of the Separation Date, subject to his compliance with the terms of the Karlsson Separation Agreement, the Karlsson Settlement Agreement and his employment agreement. Additionally, equity awards will either be vested as of the Separation Date, will be forfeited as of the Separation Date, or will be unvested as of the Separation Date and will either vest according to the applicable vesting schedule, or will be forfeited as of February 28, 2021, unless an earlier change in control event occurs, Dr. Karlsson dies or we breach the terms of the Karlsson Separation Agreement or the Karlsson Settlement Agreement.</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Kathleen Rickard, M.D.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We entered into an offer letter with Dr. Rickard on December 13, 2018, pursuant to which she agreed to serve as our Chief Medical Officer, effective February 1, 2019. This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agreement entitles Dr. Rickard to receive an annual base salary of $390,000 and a target annual bonus opportunity of 40% of her annual base salary, with the amount of any such</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bonus based on performance criteria for our company and her individual performance, as determined by the board of directors in its sole discretion. Dr. Rickard was also entitled to</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receive a sign-on bonus of $50,000, payable on the date of the offer letter, and is entitled to receive a retention bonus of $250,000, with $125,000 payable on April 1, 2019 and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$125,000 payable on April 1, 2020, subject to Dr. Rickard being employed at the applicable date of payment and with the condition that each retention bonus payment is repayable if</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she resigns or is terminated for "Cause" within 12 months of payment. Subject to the approval of our board of directors and our share dealing policy, Dr. Rickard's offer letter also</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entitled her to receive a stock option to purchase 70,000 of our ADSs and to be issued 15,000 restricted stock units with respect to ADSs under the terms of the Company's equity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incentive plan, half of which vests in equal proportions on the first, second and third anniversary of the grant date and half in equal proportions on the first, second, third and fourth</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anniversary of the grant date, subject to accelerated vesting upon a change in control. The exercise price of the stock option to purchase ADSs will be determined according to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terms of the Company's equity incentive plan at the date of grant. The offer letter with Dr. Rickard also provides that she is entitled to participate in the Company's 401(k) plan and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healthcare plans generally available from time to time to employees of the Company based in the U.S.</w:t>
      </w:r>
    </w:p>
    <w:p>
      <w:pPr>
        <w:spacing w:after="0" w:line="98"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medical coverage under COBRA, (iii) a pro-rated portion of the annual bonus that she otherwise would have earned in the year of termination based on actual performance in such year.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Piers Morgan</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entered into an employment agreement with Mr. Morgan on September 24, 2016, which was subsequently amended, pursuant to which he agreed to serve as our Chief Financial Officer, effective September 26, 2016. This agreement entitles Mr. Morgan to receive an annual base salary of £210,000, or such higher rate as may be agreed in writing, and a target annual bonus opportunity of 35% (potentially extending to up to 50%) of his salary, with the amount of any such bonus based on performance criteria for our company and his individual performance, as determined by our board of directors in its sole discretion. Within 12 months after receiving any such bonus payment, Mr. Morgan is expected to invest an amount equal to 25% of the bonus (net of income tax paid by Mr. Morgan) in our company through the purchase of our ordinary shares until he has invested an amount equal to £200,000. Pursuant to this agreement, on September 16, 2016, Mr. Morgan received an option to purchase 300,000 of our ordinary shares with an exercise price of £2.04 per ordinary share, which vests in equal proportions on the first, second and third anniversary of the grant date of September 26, 2016. Mr. Morgan is also entitled to participate in a workplace pension scheme that we contribute to on his behalf. See "— Pension, Retirement or Similar Benefits" below.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60"/>
          </w:cols>
          <w:pgMar w:left="220" w:top="311" w:right="219" w:bottom="1440" w:gutter="0" w:footer="0" w:header="0"/>
        </w:sectPr>
      </w:pPr>
    </w:p>
    <w:bookmarkStart w:id="89" w:name="page90"/>
    <w:bookmarkEnd w:id="89"/>
    <w:p>
      <w:pPr>
        <w:spacing w:after="0" w:line="257" w:lineRule="auto"/>
        <w:rPr>
          <w:sz w:val="20"/>
          <w:szCs w:val="20"/>
          <w:color w:val="auto"/>
        </w:rPr>
      </w:pPr>
      <w:r>
        <w:rPr>
          <w:rFonts w:ascii="Arial" w:cs="Arial" w:eastAsia="Arial" w:hAnsi="Arial"/>
          <w:sz w:val="14"/>
          <w:szCs w:val="14"/>
          <w:color w:val="auto"/>
        </w:rPr>
        <w:t>Either party may terminate the employment agreement by giving the other party not less than six months' written notice, provided that we may terminate Mr. Morgan at any time with immediate effect for cause or by giving written notice to Mr. Morgan that we shall pay, in lieu of notice, his base salary during the six months following termination, a pro-rated full discretionary bonus and any other contractual benefits prevailing at the time when such notice is given. The employment agreement provides that, upon a change of control,</w:t>
      </w:r>
    </w:p>
    <w:p>
      <w:pPr>
        <w:ind w:right="60"/>
        <w:spacing w:after="0" w:line="259" w:lineRule="auto"/>
        <w:rPr>
          <w:sz w:val="20"/>
          <w:szCs w:val="20"/>
          <w:color w:val="auto"/>
        </w:rPr>
      </w:pPr>
      <w:r>
        <w:rPr>
          <w:rFonts w:ascii="Arial" w:cs="Arial" w:eastAsia="Arial" w:hAnsi="Arial"/>
          <w:sz w:val="14"/>
          <w:szCs w:val="14"/>
          <w:color w:val="auto"/>
        </w:rPr>
        <w:t>Mr. Morgan is entitled to receive his full discretionary bonus (without an obligation to purchase ordinary shares) and full accelerated vesting of any outstanding, unvested equity awards under our share and share option schemes. If payments to Mr. Morgan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Mr. Morgan's receipt, on an after-tax basis, of the greater amount of the payment. Additionally, in order to minimize the effect of the different rates of U.S. and U.K. income tax rates, Mr. Morgan is entitled to receive a payment from us to leave him in a net after-tax position substantially equivalent to what he would experience if he were only subject to U.K. taxes during the period of his employment with us. Mr. Morgan's employment agreement also contains restrictive covenants pursuant to which he has agreed to refrain from competing with us or soliciting our customers or prospective customers for a period of six months following his termination of employment.</w:t>
      </w:r>
    </w:p>
    <w:p>
      <w:pPr>
        <w:spacing w:after="0" w:line="76"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and Mr. Morgan entered into a separation agreement, or the Morgan Settlement Agreement, pursuant to which we and Mr. Morgan agreed that his employment with us will terminate effective as of February 28, 2020, or the Separation Date. The Morgan Settlement Agreement contains a general release of claims in our favour. Pursuant to the Morgan Settlement Agreement, Mr. Morgan is entitled to cash severance payments in the aggregate amount of £276,550, payments for continued life insurance benefits for six months following the Separation Date and continued pension contributions for six months following the Separation Date, subject to his compliance with the terms of the Morgan Settlement Agreement and his employment agreement. Additionally, equity awards will either be vested as of the Separation Date, or will be forfeited as of the Separation Date.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Claire Poll</w:t>
      </w:r>
    </w:p>
    <w:p>
      <w:pPr>
        <w:spacing w:after="0" w:line="11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entered into an employment agreement with Ms. Poll on October 1, 2016 pursuant to which Ms. Poll agreed to serve as our General Counsel, effective September 1, 2016. This agreement, as amended, entitles Ms. Poll to receive an annual base salary of £170,000, or such higher rate as may be agreed in writing, and a target annual bonus opportunity of 35% of her annual base salary, with the amount of any such bonus based primarily on annual performance criteria to be agreed to between us and Ms. Poll. Pursuant to this agreement, on September 13, 2016, Ms. Poll received an option to purchase a total of 200,000 of our ordinary shares with an exercise price of £1.89 per ordinary share, which vests in equal proportions on the first three anniversaries of the date of grant. Ms. Poll is also entitled to participate in a workplace pension scheme that we contribute to on her behalf. See "— Pension, Retirement or Similar Benefits" below.</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Either party may terminate the employment agreement by giving the other party not less than six months' written notice, provided that we may terminate Ms. Poll at any time with immediate effect for cause or by giving written notice to Ms. Poll that we shall pay, in lieu of notice, her base salary during the six months following termination, a pro-rated full discretionary bonus and any other contractual benefits prevailing at the time when such notice is given. The employment agreement provides that, upon a change of control, Ms. Poll is entitled to receive her full discretionary bonus and full accelerated vesting of any outstanding, unvested equity awards under our share and share option schemes. If payments to Ms. Poll would constitute a "parachute payment" within the meaning of Section 280G of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Ms. Poll's receipt, on an after-tax basis, of the greater amount of the payment. Ms. Poll's employment agreement also contains restrictive covenants pursuant to which she has agreed to refrain from competing with us or soliciting our customers or prospective customers for a period of six months following her termination of employment.</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 W. Hahn</w:t>
      </w:r>
    </w:p>
    <w:p>
      <w:pPr>
        <w:spacing w:after="0" w:line="112"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entered into an employment agreement with Mark Hahn on February 1, 2020 pursuant to which he agreed to commence employment with us on February 1, 2020 and serve as our Chief Financial Officer, effective March 1, 2020. This agreement entitles Mr. Hahn to receive an annual base salary of $500,000, which is payable in part in cash and in part in restricted stock units, or the Hahn Annual RSUs, and a target annual bonus opportunity of 50% of his annual base salary. The Hahn Annual RSUs vest in equal quarterly installments during the calendar year in which the grant occurs, subject to continued employment. Pursuant to his employment agreement, and subject to approval at our annual general meeting of shareholders in 2020, Mr. Hahn is also entitled to receive (i) an award of restricted stock units equal to 3% of our outstanding ordinary shares, or the First RSU Award, and (ii) an additional award of restricted stock units during or prior to our first open trading window following the date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40"/>
          </w:cols>
          <w:pgMar w:left="220" w:top="311" w:right="239" w:bottom="1440" w:gutter="0" w:footer="0" w:header="0"/>
        </w:sectPr>
      </w:pPr>
    </w:p>
    <w:bookmarkStart w:id="90" w:name="page91"/>
    <w:bookmarkEnd w:id="90"/>
    <w:p>
      <w:pPr>
        <w:ind w:right="80"/>
        <w:spacing w:after="0" w:line="260" w:lineRule="auto"/>
        <w:rPr>
          <w:sz w:val="20"/>
          <w:szCs w:val="20"/>
          <w:color w:val="auto"/>
        </w:rPr>
      </w:pPr>
      <w:r>
        <w:rPr>
          <w:rFonts w:ascii="Arial" w:cs="Arial" w:eastAsia="Arial" w:hAnsi="Arial"/>
          <w:sz w:val="14"/>
          <w:szCs w:val="14"/>
          <w:color w:val="auto"/>
        </w:rPr>
        <w:t>that is six months after his employment commencement date, or the Reference Date, equal to 1% of our outstanding ordinary shares, or the Second RSU Award. The First RSU Award and the Second RSU Award will vest as to 25% on the first anniversary of Mr. Hahn’s employment commencement date or the Reference Date, respectively, and as to the remainder in quarterly installments thereafter over the following three years, subject to continued employment. In the event that the Company raises additional equity capital during fiscal year 2020, which is intended to result in Mr. Hahn’s equity awards (other than the portion of his base salary payable in restricted stock units) being equal to 4% of our outstanding ordinary shares on the applicable date of issuance. These awards of restricted stock units will vest as to 75% of the award, on the same vesting schedule as the First RSU Award, and as to 25% of the award, on the same vesting schedule as the Second RSU Award, subject to continued employment.</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If Mr. Hahn’s employment is terminated by us without "Cause" or by Mr. Hahn for "Good Reason" (as each such term is defined in his offer agreement), then, subject to his signing and not revoking a general release of claims, he is entitled to receive (i) 18 months (or 12 months if the termination occurs after the second anniversary of Mr. Hahn’s employment commencement date) of base salary continuation and continued payment of premiums for continued medical coverage under COBRA, (ii) an amount equal to 150% (or 100% if the termination occurs after the second anniversary of Mr. Hahn’s employment commencement date) of Mr. Hahn’s full annual discretionary bonus, calculated as though all applicable objectives have been achieved for the year of termination, (iii) payment of all accrued and unused paid time-off and (iv) full accelerated vesting of any outstanding, unvested equity awards under our share and share option schemes (with any performance-vesting awards become vested based on target level attainment), provided that if such termination occurs prior to the first anniversary of Mr. Hahn’s employment commencement date, the awards will become vested as to the portion that would have otherwise vested on or prior to the first anniversary of Mr. Hahn’s employment commencement date.</w:t>
      </w:r>
    </w:p>
    <w:p>
      <w:pPr>
        <w:spacing w:after="0" w:line="76"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If payments to Mr. Hahn would constitute a "parachute payment" within the meaning of Section 280G of the Internal Revenue Code of 1986, as amended, or the Code, and would be subject to the excise tax imposed by Section 4999 of the Code, then such payment would be reduced to either (i) the largest portion of the payment that would result in no portion of the payment being subject to the excise tax or (ii) the largest portion of the payment, whichever of (i) or (ii) would result in Mr. Hahn’s receipt, on an after-tax basis, of the greater amount of the payment. Mr. Hahn has also agreed to refrain from competing with us or soliciting our customers or prospective customers for a period of one year following his termination of employment.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Arrangements</w:t>
      </w:r>
    </w:p>
    <w:p>
      <w:pPr>
        <w:spacing w:after="0" w:line="11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In May 2017, we closed the initial public offering of our American Depositary Shares in the United States and a private placement of our ordinary shares in Europe, together the global offering. Prior to the global offering, we issued option grants under two option schemes, the Unapproved Share Option Scheme, or the Unapproved Scheme, adopted by our board of directors on September 18, 2006, and the EMI Option Scheme, or the EMI Scheme, adopted by our board of directors on July 24, 2012. Discussions in this section regarding the Unapproved Scheme or the EMI Scheme that refer to our board of directors include any designated committee of our board of directors. Since the adoption of the 2017 Incentive Award Plan, or the 2017 Incentive Plan, no further awards are being made under either the Unapproved Scheme or the EMI Scheme.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EMI Option Scheme</w:t>
      </w:r>
    </w:p>
    <w:p>
      <w:pPr>
        <w:spacing w:after="0" w:line="112" w:lineRule="exact"/>
        <w:rPr>
          <w:sz w:val="20"/>
          <w:szCs w:val="20"/>
          <w:color w:val="auto"/>
        </w:rPr>
      </w:pPr>
    </w:p>
    <w:p>
      <w:pPr>
        <w:ind w:right="100"/>
        <w:spacing w:after="0" w:line="172" w:lineRule="exact"/>
        <w:rPr>
          <w:sz w:val="20"/>
          <w:szCs w:val="20"/>
          <w:color w:val="auto"/>
        </w:rPr>
      </w:pPr>
      <w:r>
        <w:rPr>
          <w:rFonts w:ascii="Arial" w:cs="Arial" w:eastAsia="Arial" w:hAnsi="Arial"/>
          <w:sz w:val="14"/>
          <w:szCs w:val="14"/>
          <w:color w:val="auto"/>
        </w:rPr>
        <w:t>Under the EMI Scheme, eligible employees were granted tax</w:t>
      </w:r>
      <w:r>
        <w:rPr>
          <w:rFonts w:ascii="MS PGothic" w:cs="MS PGothic" w:eastAsia="MS PGothic" w:hAnsi="MS PGothic"/>
          <w:sz w:val="14"/>
          <w:szCs w:val="14"/>
          <w:color w:val="auto"/>
        </w:rPr>
        <w:t>‑</w:t>
      </w:r>
      <w:r>
        <w:rPr>
          <w:rFonts w:ascii="Arial" w:cs="Arial" w:eastAsia="Arial" w:hAnsi="Arial"/>
          <w:sz w:val="14"/>
          <w:szCs w:val="14"/>
          <w:color w:val="auto"/>
        </w:rPr>
        <w:t>efficient options to purchase our ordinary shares. Options were granted to eligible employees who were contracted to work for us or a qualifying subsidiary for at least 25 hours a week, or, if less than 25 hours a week, for at least 75% of their working time. The options granted under the EMI Scheme are exercisable at a price and in accordance with a vesting schedule determined by our board of directors at the time of grant and expire 10 years from the date of grant.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Unapproved Share Option Scheme</w:t>
      </w:r>
    </w:p>
    <w:p>
      <w:pPr>
        <w:spacing w:after="0" w:line="133" w:lineRule="exact"/>
        <w:rPr>
          <w:sz w:val="20"/>
          <w:szCs w:val="20"/>
          <w:color w:val="auto"/>
        </w:rPr>
      </w:pPr>
    </w:p>
    <w:p>
      <w:pPr>
        <w:jc w:val="both"/>
        <w:spacing w:after="0" w:line="172" w:lineRule="exact"/>
        <w:rPr>
          <w:sz w:val="20"/>
          <w:szCs w:val="20"/>
          <w:color w:val="auto"/>
        </w:rPr>
      </w:pPr>
      <w:r>
        <w:rPr>
          <w:rFonts w:ascii="Arial" w:cs="Arial" w:eastAsia="Arial" w:hAnsi="Arial"/>
          <w:sz w:val="14"/>
          <w:szCs w:val="14"/>
          <w:color w:val="auto"/>
        </w:rPr>
        <w:t>Under the Unapproved Scheme, we granted non</w:t>
      </w:r>
      <w:r>
        <w:rPr>
          <w:rFonts w:ascii="MS PGothic" w:cs="MS PGothic" w:eastAsia="MS PGothic" w:hAnsi="MS PGothic"/>
          <w:sz w:val="14"/>
          <w:szCs w:val="14"/>
          <w:color w:val="auto"/>
        </w:rPr>
        <w:t>‑</w:t>
      </w:r>
      <w:r>
        <w:rPr>
          <w:rFonts w:ascii="Arial" w:cs="Arial" w:eastAsia="Arial" w:hAnsi="Arial"/>
          <w:sz w:val="14"/>
          <w:szCs w:val="14"/>
          <w:color w:val="auto"/>
        </w:rPr>
        <w:t>tax</w:t>
      </w:r>
      <w:r>
        <w:rPr>
          <w:rFonts w:ascii="MS PGothic" w:cs="MS PGothic" w:eastAsia="MS PGothic" w:hAnsi="MS PGothic"/>
          <w:sz w:val="14"/>
          <w:szCs w:val="14"/>
          <w:color w:val="auto"/>
        </w:rPr>
        <w:t>‑</w:t>
      </w:r>
      <w:r>
        <w:rPr>
          <w:rFonts w:ascii="Arial" w:cs="Arial" w:eastAsia="Arial" w:hAnsi="Arial"/>
          <w:sz w:val="14"/>
          <w:szCs w:val="14"/>
          <w:color w:val="auto"/>
        </w:rPr>
        <w:t>qualifying options to purchase our ordinary shares. Options were granted to employees, directors or consultants to acquire our ordinary shares at a price determined by our board of directors. In general, the options granted under the Unapproved Scheme are exercisable at a price and in accordance with the vesting period determined by our board of directors at the date of grant and expire 10 years from the date of grant.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40"/>
          </w:cols>
          <w:pgMar w:left="220" w:top="311" w:right="239" w:bottom="1440" w:gutter="0" w:footer="0" w:header="0"/>
        </w:sectPr>
      </w:pPr>
    </w:p>
    <w:bookmarkStart w:id="91" w:name="page92"/>
    <w:bookmarkEnd w:id="91"/>
    <w:p>
      <w:pPr>
        <w:spacing w:after="0"/>
        <w:rPr>
          <w:sz w:val="20"/>
          <w:szCs w:val="20"/>
          <w:color w:val="auto"/>
        </w:rPr>
      </w:pPr>
      <w:r>
        <w:rPr>
          <w:rFonts w:ascii="Arial" w:cs="Arial" w:eastAsia="Arial" w:hAnsi="Arial"/>
          <w:sz w:val="14"/>
          <w:szCs w:val="14"/>
          <w:i w:val="1"/>
          <w:iCs w:val="1"/>
          <w:color w:val="auto"/>
        </w:rPr>
        <w:t>Certain Transactions</w:t>
      </w: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Under the EMI Scheme and the Unapproved Scheme, if certain changes are made in, or events occur with respect to, our ordinary shares (including any capitalization, sub-division, reduction or other variation of our ordinary shares), any outstanding awards may be adjusted in terms of the number of ordinary shares subject to an option and the exercise price as our board of directors may determine appropriate on a fair and reasonable basis. In the event of certain corporate transactions, including a change of control, scheme of arrangement, merger, demerger or liquidation, the vesting and exercisability of all options will accelerate and, to the extent not exercised, will lapse within certain time periods defined in the applicable plan rules.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Amendment and Termination</w:t>
      </w:r>
    </w:p>
    <w:p>
      <w:pPr>
        <w:spacing w:after="0" w:line="241"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board of directors may at any time amend the rules of the EMI Scheme or the Unapproved Scheme in any manner, except that no amendment may be made if, in the reasonable opinion of our board of directors, it would materially abrogate or adversely affect the subsisting rights of an option holder regarding existing options, unless the amendment is made either (i) with the written consent of the number of option holders that hold options to acquire 50% of the ordinary shares that would be delivered if all options granted and subsisting under the scheme, as applicable, were exercised; or (ii) by a resolution at a meeting of option holders passed by not less than 50% of the option holders holding options under the scheme, as applicable, who attend and vote either in person or by proxy. The EMI Scheme and the Unapproved Scheme are discretionary and may be suspended or terminated by us at any time. Suspension or termination will not affect any options granted under the schemes to the extent that they are subsisting at the date of the suspension or termination.</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2017 Incentive Plan</w:t>
      </w:r>
    </w:p>
    <w:p>
      <w:pPr>
        <w:spacing w:after="0" w:line="243" w:lineRule="exact"/>
        <w:rPr>
          <w:sz w:val="20"/>
          <w:szCs w:val="20"/>
          <w:color w:val="auto"/>
        </w:rPr>
      </w:pPr>
    </w:p>
    <w:p>
      <w:pPr>
        <w:ind w:right="280"/>
        <w:spacing w:after="0" w:line="172" w:lineRule="exact"/>
        <w:rPr>
          <w:sz w:val="20"/>
          <w:szCs w:val="20"/>
          <w:color w:val="auto"/>
        </w:rPr>
      </w:pPr>
      <w:r>
        <w:rPr>
          <w:rFonts w:ascii="Arial" w:cs="Arial" w:eastAsia="Arial" w:hAnsi="Arial"/>
          <w:sz w:val="14"/>
          <w:szCs w:val="14"/>
          <w:color w:val="auto"/>
        </w:rPr>
        <w:t>Under the 2017 Incentive Plan, we may grant cash and equity</w:t>
      </w:r>
      <w:r>
        <w:rPr>
          <w:rFonts w:ascii="MS PGothic" w:cs="MS PGothic" w:eastAsia="MS PGothic" w:hAnsi="MS PGothic"/>
          <w:sz w:val="14"/>
          <w:szCs w:val="14"/>
          <w:color w:val="auto"/>
        </w:rPr>
        <w:t>‑</w:t>
      </w:r>
      <w:r>
        <w:rPr>
          <w:rFonts w:ascii="Arial" w:cs="Arial" w:eastAsia="Arial" w:hAnsi="Arial"/>
          <w:sz w:val="14"/>
          <w:szCs w:val="14"/>
          <w:color w:val="auto"/>
        </w:rPr>
        <w:t>based incentive awards to eligible service providers in order to attract, retain and motivate the persons who make important contributions to us. The material terms of the 2017 Incentive Plan are summarized below. Except where the context indicates otherwise, references hereunder to our ordinary shares shall be deemed to include a number of ADSs equal to an ordinary share.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Eligibility and Administration</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employees, consultants and directors, and employees and consultants of our subsidiaries, are eligible to receive awards under the 2017 Incentive Plan. The 2017 Incentive Plan is administered by our board of directors, which may delegate its duties and responsibilities to one or more committees of our board of directors and/or officers (referred to collectively as the plan administrator below), subject to the limitations imposed under the 2017 Incentive Plan, stock exchange rules and other applicable laws. The plan administrator has the authority to take all actions and make all determinations under the 2017 Incentive Plan, to interpret the 2017 Incentive Plan and award agreements and to adopt, amend and repeal rules for the administration of the 2017 Incentive Plan as it deems advisable. The plan administrator also has the authority to determine which eligible service providers receive awards, grant awards, set the terms and conditions of all awards under the 2017 Incentive Plan, including any vesting and vesting acceleration provisions, and designate whether such awards will cover our ordinary shares or ADSs, subject to the conditions and limitations in the 2017 Incentive Plan.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Sub-Plan</w:t>
      </w: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2017 Incentive Plan authorizes the administrator to establish one or more sub-plans. Immediately after the 2017 Incentive Plan was established, the administrator established a sub-plan. The sub-plan incorporated all of the terms of the 2017 Incentive Plan, except that only employees of ours (or our subsidiaries) were eligible to receive awards under the sub-plan. Awards under the sub-plan counted towards the total number of shares available for issuance under the 2017 Incentive Plan. The sub-plan is an "employees' share scheme" for the purposes of the UK Companies Act 2006.</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Available for Awards</w:t>
      </w:r>
    </w:p>
    <w:p>
      <w:pPr>
        <w:spacing w:after="0" w:line="243"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An aggregate of 6,333,000 of our ordinary shares were initially made available for issuance under the 2017 Incentive Plan. The number of shares initially available for issuance will be increased by an annual increase on January 1 of each calendar year beginning in 2018 and ending in and including 2027 equal to the least of (A) 4% of our ordinary shares outstanding on the final day of the immediately preceding calendar year and (B) a smaller number of shares determined by our board of directors. As of January 1, 2020, the number of shares available for issuance was 5,499,058. Pursuant to the terms of the 2017 Incentive Plan, awards may be issued under the 2017 Incentive Plan covering ADSs in lieu of the number of our ordinary shares that such ADSs represent. No more than 5,000,000 shares may be issued under the 2017 Incentive Plan upon the exercise of incentive options. Shares issued under the 2017 Incentive Plan may be authorized but unissued shares, shares purchased on the open market, treasury shares or ADSs.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40"/>
          </w:cols>
          <w:pgMar w:left="220" w:top="405" w:right="239" w:bottom="1440" w:gutter="0" w:footer="0" w:header="0"/>
        </w:sectPr>
      </w:pPr>
    </w:p>
    <w:bookmarkStart w:id="92" w:name="page93"/>
    <w:bookmarkEnd w:id="92"/>
    <w:p>
      <w:pPr>
        <w:ind w:right="80"/>
        <w:spacing w:after="0" w:line="261" w:lineRule="auto"/>
        <w:rPr>
          <w:sz w:val="20"/>
          <w:szCs w:val="20"/>
          <w:color w:val="auto"/>
        </w:rPr>
      </w:pPr>
      <w:r>
        <w:rPr>
          <w:rFonts w:ascii="Arial" w:cs="Arial" w:eastAsia="Arial" w:hAnsi="Arial"/>
          <w:sz w:val="14"/>
          <w:szCs w:val="14"/>
          <w:color w:val="auto"/>
        </w:rPr>
        <w:t>If an award under the 2017 Incentive Plan, the EMI Option Scheme, the Unapproved Share Option Scheme or any prior equity incentive plan, expires, lapses or is terminated, exchanged for cash, surrendered, repurchased, canceled without having been fully exercised or forfeited, any unused shares subject to the award will, as applicable, become or again be available for new grants under the 2017 Incentive Plan. Awards granted under the 2017 Incentive Plan in substitution for any options or other equity or equity-based awards granted by an entity before the entity's merger or consolidation with us or our acquisition of the entity's property or stock will not reduce the shares available for grant under the 2017 Incentive Plan, but will count against the maximum number of shares that may be issued upon the exercise of incentive options.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Awards</w:t>
      </w:r>
    </w:p>
    <w:p>
      <w:pPr>
        <w:spacing w:after="0" w:line="243" w:lineRule="exact"/>
        <w:rPr>
          <w:sz w:val="20"/>
          <w:szCs w:val="20"/>
          <w:color w:val="auto"/>
        </w:rPr>
      </w:pPr>
    </w:p>
    <w:p>
      <w:pPr>
        <w:jc w:val="both"/>
        <w:ind w:right="300"/>
        <w:spacing w:after="0" w:line="265" w:lineRule="auto"/>
        <w:rPr>
          <w:sz w:val="20"/>
          <w:szCs w:val="20"/>
          <w:color w:val="auto"/>
        </w:rPr>
      </w:pPr>
      <w:r>
        <w:rPr>
          <w:rFonts w:ascii="Arial" w:cs="Arial" w:eastAsia="Arial" w:hAnsi="Arial"/>
          <w:sz w:val="14"/>
          <w:szCs w:val="14"/>
          <w:color w:val="auto"/>
        </w:rPr>
        <w:t>The 2017 Incentive Plan provides for the grant of options, share appreciation rights, or SARs, restricted shares, dividend equivalents, restricted share units, or RSUs, and other share or cash based awards. All awards under the 2017 Incentive Plan will be set forth in award agreements, which will detail the terms and conditions of awards, including any applicable vesting and payment terms and post-termination exercise limitations. A brief description of each award type follows.</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4"/>
          <w:szCs w:val="14"/>
          <w:i w:val="1"/>
          <w:iCs w:val="1"/>
          <w:color w:val="auto"/>
        </w:rPr>
        <w:t xml:space="preserve">Options and SARs. </w:t>
      </w:r>
      <w:r>
        <w:rPr>
          <w:rFonts w:ascii="Arial" w:cs="Arial" w:eastAsia="Arial" w:hAnsi="Arial"/>
          <w:sz w:val="14"/>
          <w:szCs w:val="14"/>
          <w:color w:val="auto"/>
        </w:rPr>
        <w:t>Options provide for the purchase of our ordinary shares in the future at an exercise price set on the grant date. SARs entitle their holder, upon exercise, to</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4"/>
          <w:szCs w:val="14"/>
          <w:i w:val="1"/>
          <w:iCs w:val="1"/>
          <w:color w:val="auto"/>
        </w:rPr>
        <w:t xml:space="preserve">Restricted Shares and Restricted Share Units. </w:t>
      </w:r>
      <w:r>
        <w:rPr>
          <w:rFonts w:ascii="Arial" w:cs="Arial" w:eastAsia="Arial" w:hAnsi="Arial"/>
          <w:sz w:val="14"/>
          <w:szCs w:val="14"/>
          <w:color w:val="auto"/>
        </w:rPr>
        <w:t>Restricted shares are an award of nontransferable ordinary shares that remain forfeitable unless and until specified conditions are</w:t>
      </w:r>
      <w:r>
        <w:rPr>
          <w:rFonts w:ascii="Arial" w:cs="Arial" w:eastAsia="Arial" w:hAnsi="Arial"/>
          <w:sz w:val="14"/>
          <w:szCs w:val="14"/>
          <w:i w:val="1"/>
          <w:iCs w:val="1"/>
          <w:color w:val="auto"/>
        </w:rPr>
        <w:t xml:space="preserve"> </w:t>
      </w:r>
      <w:r>
        <w:rPr>
          <w:rFonts w:ascii="Arial" w:cs="Arial" w:eastAsia="Arial" w:hAnsi="Arial"/>
          <w:sz w:val="14"/>
          <w:szCs w:val="14"/>
          <w:color w:val="auto"/>
        </w:rPr>
        <w:t>met and which may be subject to a purchase price. RSUs are contractual promises to deliver our ordinary shares in the future, which may also remain forfeitable unless and until specified conditions are met and may be accompanied by the right to receive the equivalent value of dividends paid on our ordinary shares prior to the delivery of the underlying shares. The plan administrator may provide that the delivery of the shares underlying RSUs will be deferred on a mandatory basis or at the election of the participant. The terms and conditions applicable to restricted shares and RSUs will be determined by the plan administrator, subject to the conditions and limitations contained in the 2017 Incentive Plan.</w:t>
      </w:r>
    </w:p>
    <w:p>
      <w:pPr>
        <w:spacing w:after="0" w:line="185"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i w:val="1"/>
          <w:iCs w:val="1"/>
          <w:color w:val="auto"/>
        </w:rPr>
        <w:t xml:space="preserve">Other Share or Cash Based Awards. </w:t>
      </w:r>
      <w:r>
        <w:rPr>
          <w:rFonts w:ascii="Arial" w:cs="Arial" w:eastAsia="Arial" w:hAnsi="Arial"/>
          <w:sz w:val="14"/>
          <w:szCs w:val="14"/>
          <w:color w:val="auto"/>
        </w:rPr>
        <w:t>Other share or cash based awards are awards of cash, fully-vested ordinary shares and other awards valued wholly or partially by referring</w:t>
      </w:r>
      <w:r>
        <w:rPr>
          <w:rFonts w:ascii="Arial" w:cs="Arial" w:eastAsia="Arial" w:hAnsi="Arial"/>
          <w:sz w:val="14"/>
          <w:szCs w:val="14"/>
          <w:i w:val="1"/>
          <w:iCs w:val="1"/>
          <w:color w:val="auto"/>
        </w:rPr>
        <w:t xml:space="preserve"> </w:t>
      </w:r>
      <w:r>
        <w:rPr>
          <w:rFonts w:ascii="Arial" w:cs="Arial" w:eastAsia="Arial" w:hAnsi="Arial"/>
          <w:sz w:val="14"/>
          <w:szCs w:val="14"/>
          <w:color w:val="auto"/>
        </w:rPr>
        <w:t>to, or otherwise based on, our ordinary shares or other property. Other share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share or cash based awards, which may include any purchase price, performance goal, transfer restrictions and vesting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 Criteria</w:t>
      </w:r>
    </w:p>
    <w:p>
      <w:pPr>
        <w:spacing w:after="0" w:line="243"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plan administrator may select performance criteria for an award to establish performance goals for a performance period. Performance criteria under the 2017 Incentive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40"/>
          </w:cols>
          <w:pgMar w:left="220" w:top="419" w:right="239" w:bottom="1440" w:gutter="0" w:footer="0" w:header="0"/>
        </w:sectPr>
      </w:pPr>
    </w:p>
    <w:bookmarkStart w:id="93" w:name="page94"/>
    <w:bookmarkEnd w:id="93"/>
    <w:p>
      <w:pPr>
        <w:ind w:right="60"/>
        <w:spacing w:after="0" w:line="262" w:lineRule="auto"/>
        <w:rPr>
          <w:sz w:val="20"/>
          <w:szCs w:val="20"/>
          <w:color w:val="auto"/>
        </w:rPr>
      </w:pPr>
      <w:r>
        <w:rPr>
          <w:rFonts w:ascii="Arial" w:cs="Arial" w:eastAsia="Arial" w:hAnsi="Arial"/>
          <w:sz w:val="14"/>
          <w:szCs w:val="14"/>
          <w:color w:val="auto"/>
        </w:rPr>
        <w:t>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Transactions</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In connection with certain corporate transactions and events affecting our ordinary shares, including a change in control, another similar corporate transaction or event, another unusual or nonrecurring transaction or event affecting us or its financial statements or change in any applicable laws or accounting principles, the plan administrator has broad discretion to take action under the 2017 Incentive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2017 Incentive Plan and replacing or terminating awards under the 2017 Incentive Plan. In addition, in the event of certain non-reciprocal transactions with our shareholders, the plan administrator will make equitable adjustments to the 2017 Incentive Plan and outstanding awards as it deems appropriate to reflect the transaction. Pursuant to the terms of their individual employment agreements, awards granted under the 2017 Incentive Plan to certain of our executives may become fully vested and exercisable upon a change in control.</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Plan Amendment and Termination</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board of directors may amend or terminate the 2017 Incentive Plan at any time; however, no amendment, other than an amendment that increases the number of shares available under the 2017 Incentive Plan, may materially and adversely affect an award outstanding under the 2017 Incentive Plan without the consent of the affected participant and shareholder approval will be obtained for any amendment to the extent necessary to comply with applicable laws. Further, the plan administrator cannot, without the approval of our shareholders, amend any outstanding option or SAR to reduce its price per share or cancel any outstanding option or SAR in exchange for cash or another award under the 2017 Incentive Plan with an exercise price per share that is less than the exercise price per share of the original option or SAR. The 2017 Incentive Plan will remain in effect until the tenth anniversary of its effective date unless earlier terminated by our board of directors. No awards may be granted under the 2017 Incentive Plan after its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Non-U.S. Participants, Claw-Back Provisions, Transferability and Participant Payments</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plan administrator may modify awards granted to participants who are non-U.S.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2017 Incentive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2017 Incentive Plan, and exercise price obligations arising in connection with the exercise of options under the 2017 Incentive Plan, the plan administrator may, in its discretion, accept cash, wire transfer or check, our ordinary shares that meet specified conditions, a promissory note, a "market sell order," such other consideration as the plan administrator deems suitable or any combination of the foregoing.</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60"/>
          </w:cols>
          <w:pgMar w:left="220" w:top="419" w:right="21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i w:val="1"/>
          <w:iCs w:val="1"/>
          <w:color w:val="auto"/>
        </w:rPr>
        <w:t>2019 Grants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options that we granted to our directors and executive officers under the 2017 Incentive Plan in 2019: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900" w:type="dxa"/>
            <w:vAlign w:val="bottom"/>
          </w:tcPr>
          <w:p>
            <w:pPr>
              <w:jc w:val="right"/>
              <w:ind w:right="708"/>
              <w:spacing w:after="0"/>
              <w:rPr>
                <w:sz w:val="20"/>
                <w:szCs w:val="20"/>
                <w:color w:val="auto"/>
              </w:rPr>
            </w:pPr>
            <w:r>
              <w:rPr>
                <w:rFonts w:ascii="Arial" w:cs="Arial" w:eastAsia="Arial" w:hAnsi="Arial"/>
                <w:sz w:val="14"/>
                <w:szCs w:val="14"/>
                <w:b w:val="1"/>
                <w:bCs w:val="1"/>
                <w:color w:val="auto"/>
              </w:rPr>
              <w:t>Exercise</w:t>
            </w:r>
          </w:p>
        </w:tc>
        <w:tc>
          <w:tcPr>
            <w:tcW w:w="2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00" w:type="dxa"/>
            <w:vAlign w:val="bottom"/>
          </w:tcPr>
          <w:p>
            <w:pPr>
              <w:jc w:val="right"/>
              <w:ind w:right="168"/>
              <w:spacing w:after="0"/>
              <w:rPr>
                <w:sz w:val="20"/>
                <w:szCs w:val="20"/>
                <w:color w:val="auto"/>
              </w:rPr>
            </w:pPr>
            <w:r>
              <w:rPr>
                <w:rFonts w:ascii="Arial" w:cs="Arial" w:eastAsia="Arial" w:hAnsi="Arial"/>
                <w:sz w:val="14"/>
                <w:szCs w:val="14"/>
                <w:b w:val="1"/>
                <w:bCs w:val="1"/>
                <w:color w:val="auto"/>
              </w:rPr>
              <w:t>Ordinary Shares</w:t>
            </w:r>
          </w:p>
        </w:tc>
        <w:tc>
          <w:tcPr>
            <w:tcW w:w="1900" w:type="dxa"/>
            <w:vAlign w:val="bottom"/>
          </w:tcPr>
          <w:p>
            <w:pPr>
              <w:jc w:val="right"/>
              <w:ind w:right="708"/>
              <w:spacing w:after="0"/>
              <w:rPr>
                <w:sz w:val="20"/>
                <w:szCs w:val="20"/>
                <w:color w:val="auto"/>
              </w:rPr>
            </w:pPr>
            <w:r>
              <w:rPr>
                <w:rFonts w:ascii="Arial" w:cs="Arial" w:eastAsia="Arial" w:hAnsi="Arial"/>
                <w:sz w:val="14"/>
                <w:szCs w:val="14"/>
                <w:b w:val="1"/>
                <w:bCs w:val="1"/>
                <w:color w:val="auto"/>
              </w:rPr>
              <w:t>Price</w:t>
            </w:r>
          </w:p>
        </w:tc>
        <w:tc>
          <w:tcPr>
            <w:tcW w:w="2520" w:type="dxa"/>
            <w:vAlign w:val="bottom"/>
          </w:tcPr>
          <w:p>
            <w:pPr>
              <w:jc w:val="right"/>
              <w:ind w:right="788"/>
              <w:spacing w:after="0"/>
              <w:rPr>
                <w:sz w:val="20"/>
                <w:szCs w:val="20"/>
                <w:color w:val="auto"/>
              </w:rPr>
            </w:pPr>
            <w:r>
              <w:rPr>
                <w:rFonts w:ascii="Arial" w:cs="Arial" w:eastAsia="Arial" w:hAnsi="Arial"/>
                <w:sz w:val="14"/>
                <w:szCs w:val="14"/>
                <w:b w:val="1"/>
                <w:bCs w:val="1"/>
                <w:color w:val="auto"/>
              </w:rPr>
              <w:t>Grant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4"/>
                <w:szCs w:val="14"/>
                <w:color w:val="auto"/>
              </w:rPr>
            </w:pPr>
          </w:p>
        </w:tc>
      </w:tr>
      <w:tr>
        <w:trPr>
          <w:trHeight w:val="196"/>
        </w:trPr>
        <w:tc>
          <w:tcPr>
            <w:tcW w:w="100" w:type="dxa"/>
            <w:vAlign w:val="bottom"/>
          </w:tcPr>
          <w:p>
            <w:pPr>
              <w:spacing w:after="0"/>
              <w:rPr>
                <w:sz w:val="17"/>
                <w:szCs w:val="17"/>
                <w:color w:val="auto"/>
              </w:rPr>
            </w:pP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Underlying Options</w:t>
            </w:r>
          </w:p>
        </w:tc>
        <w:tc>
          <w:tcPr>
            <w:tcW w:w="1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Per Share (£)</w:t>
            </w:r>
          </w:p>
        </w:tc>
        <w:tc>
          <w:tcPr>
            <w:tcW w:w="25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Date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7"/>
                <w:szCs w:val="17"/>
                <w:color w:val="auto"/>
              </w:rPr>
            </w:pPr>
          </w:p>
        </w:tc>
      </w:tr>
      <w:tr>
        <w:trPr>
          <w:trHeight w:val="255"/>
        </w:trPr>
        <w:tc>
          <w:tcPr>
            <w:tcW w:w="100" w:type="dxa"/>
            <w:vAlign w:val="bottom"/>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29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r>
      <w:tr>
        <w:trPr>
          <w:trHeight w:val="210"/>
        </w:trPr>
        <w:tc>
          <w:tcPr>
            <w:tcW w:w="10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4"/>
                <w:szCs w:val="14"/>
                <w:color w:val="auto"/>
              </w:rPr>
              <w:t>Kathleen Rickard</w:t>
            </w:r>
          </w:p>
        </w:tc>
        <w:tc>
          <w:tcPr>
            <w:tcW w:w="2900" w:type="dxa"/>
            <w:vAlign w:val="bottom"/>
          </w:tcPr>
          <w:p>
            <w:pPr>
              <w:jc w:val="right"/>
              <w:ind w:right="168"/>
              <w:spacing w:after="0"/>
              <w:rPr>
                <w:sz w:val="20"/>
                <w:szCs w:val="20"/>
                <w:color w:val="auto"/>
              </w:rPr>
            </w:pPr>
            <w:r>
              <w:rPr>
                <w:rFonts w:ascii="Arial" w:cs="Arial" w:eastAsia="Arial" w:hAnsi="Arial"/>
                <w:sz w:val="14"/>
                <w:szCs w:val="14"/>
                <w:color w:val="auto"/>
              </w:rPr>
              <w:t>560,000</w:t>
            </w:r>
          </w:p>
        </w:tc>
        <w:tc>
          <w:tcPr>
            <w:tcW w:w="1900" w:type="dxa"/>
            <w:vAlign w:val="bottom"/>
          </w:tcPr>
          <w:p>
            <w:pPr>
              <w:jc w:val="right"/>
              <w:ind w:right="708"/>
              <w:spacing w:after="0"/>
              <w:rPr>
                <w:sz w:val="20"/>
                <w:szCs w:val="20"/>
                <w:color w:val="auto"/>
              </w:rPr>
            </w:pPr>
            <w:r>
              <w:rPr>
                <w:rFonts w:ascii="Arial" w:cs="Arial" w:eastAsia="Arial" w:hAnsi="Arial"/>
                <w:sz w:val="14"/>
                <w:szCs w:val="14"/>
                <w:color w:val="auto"/>
              </w:rPr>
              <w:t>0.57</w:t>
            </w:r>
          </w:p>
        </w:tc>
        <w:tc>
          <w:tcPr>
            <w:tcW w:w="2520" w:type="dxa"/>
            <w:vAlign w:val="bottom"/>
          </w:tcPr>
          <w:p>
            <w:pPr>
              <w:jc w:val="right"/>
              <w:ind w:right="788"/>
              <w:spacing w:after="0"/>
              <w:rPr>
                <w:sz w:val="20"/>
                <w:szCs w:val="20"/>
                <w:color w:val="auto"/>
              </w:rPr>
            </w:pPr>
            <w:r>
              <w:rPr>
                <w:rFonts w:ascii="Arial" w:cs="Arial" w:eastAsia="Arial" w:hAnsi="Arial"/>
                <w:sz w:val="14"/>
                <w:szCs w:val="14"/>
                <w:color w:val="auto"/>
              </w:rPr>
              <w:t>April 01, 2019</w:t>
            </w:r>
          </w:p>
        </w:tc>
        <w:tc>
          <w:tcPr>
            <w:tcW w:w="1540" w:type="dxa"/>
            <w:vAlign w:val="bottom"/>
          </w:tcPr>
          <w:p>
            <w:pPr>
              <w:jc w:val="right"/>
              <w:spacing w:after="0"/>
              <w:rPr>
                <w:sz w:val="20"/>
                <w:szCs w:val="20"/>
                <w:color w:val="auto"/>
              </w:rPr>
            </w:pPr>
            <w:r>
              <w:rPr>
                <w:rFonts w:ascii="Arial" w:cs="Arial" w:eastAsia="Arial" w:hAnsi="Arial"/>
                <w:sz w:val="14"/>
                <w:szCs w:val="14"/>
                <w:color w:val="auto"/>
              </w:rPr>
              <w:t>March 29, 2029</w:t>
            </w:r>
          </w:p>
        </w:tc>
        <w:tc>
          <w:tcPr>
            <w:tcW w:w="80" w:type="dxa"/>
            <w:vAlign w:val="bottom"/>
          </w:tcPr>
          <w:p>
            <w:pPr>
              <w:spacing w:after="0"/>
              <w:rPr>
                <w:sz w:val="18"/>
                <w:szCs w:val="18"/>
                <w:color w:val="auto"/>
              </w:rPr>
            </w:pPr>
          </w:p>
        </w:tc>
      </w:tr>
      <w:tr>
        <w:trPr>
          <w:trHeight w:val="221"/>
        </w:trPr>
        <w:tc>
          <w:tcPr>
            <w:tcW w:w="100" w:type="dxa"/>
            <w:vAlign w:val="bottom"/>
          </w:tcPr>
          <w:p>
            <w:pPr>
              <w:spacing w:after="0"/>
              <w:rPr>
                <w:sz w:val="19"/>
                <w:szCs w:val="19"/>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Piers Morgan</w:t>
            </w:r>
          </w:p>
        </w:tc>
        <w:tc>
          <w:tcPr>
            <w:tcW w:w="2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359,430</w:t>
            </w:r>
          </w:p>
        </w:tc>
        <w:tc>
          <w:tcPr>
            <w:tcW w:w="19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0.57</w:t>
            </w:r>
          </w:p>
        </w:tc>
        <w:tc>
          <w:tcPr>
            <w:tcW w:w="252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April 01, 2019</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March 29, 2029</w:t>
            </w:r>
          </w:p>
        </w:tc>
        <w:tc>
          <w:tcPr>
            <w:tcW w:w="80" w:type="dxa"/>
            <w:vAlign w:val="bottom"/>
          </w:tcPr>
          <w:p>
            <w:pPr>
              <w:spacing w:after="0"/>
              <w:rPr>
                <w:sz w:val="19"/>
                <w:szCs w:val="19"/>
                <w:color w:val="auto"/>
              </w:rPr>
            </w:pPr>
          </w:p>
        </w:tc>
      </w:tr>
      <w:tr>
        <w:trPr>
          <w:trHeight w:val="210"/>
        </w:trPr>
        <w:tc>
          <w:tcPr>
            <w:tcW w:w="100" w:type="dxa"/>
            <w:vAlign w:val="bottom"/>
          </w:tcPr>
          <w:p>
            <w:pPr>
              <w:spacing w:after="0"/>
              <w:rPr>
                <w:sz w:val="18"/>
                <w:szCs w:val="18"/>
                <w:color w:val="auto"/>
              </w:rPr>
            </w:pP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Claire Poll</w:t>
            </w:r>
          </w:p>
        </w:tc>
        <w:tc>
          <w:tcPr>
            <w:tcW w:w="2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256,735</w:t>
            </w:r>
          </w:p>
        </w:tc>
        <w:tc>
          <w:tcPr>
            <w:tcW w:w="1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0.57</w:t>
            </w:r>
          </w:p>
        </w:tc>
        <w:tc>
          <w:tcPr>
            <w:tcW w:w="25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April 01, 2019</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29, 2029</w:t>
            </w:r>
          </w:p>
        </w:tc>
        <w:tc>
          <w:tcPr>
            <w:tcW w:w="80" w:type="dxa"/>
            <w:vAlign w:val="bottom"/>
          </w:tcPr>
          <w:p>
            <w:pPr>
              <w:spacing w:after="0"/>
              <w:rPr>
                <w:sz w:val="18"/>
                <w:szCs w:val="18"/>
                <w:color w:val="auto"/>
              </w:rPr>
            </w:pPr>
          </w:p>
        </w:tc>
      </w:tr>
      <w:tr>
        <w:trPr>
          <w:trHeight w:val="448"/>
        </w:trPr>
        <w:tc>
          <w:tcPr>
            <w:tcW w:w="9840" w:type="dxa"/>
            <w:vAlign w:val="bottom"/>
            <w:gridSpan w:val="5"/>
          </w:tcPr>
          <w:p>
            <w:pPr>
              <w:jc w:val="right"/>
              <w:ind w:right="48"/>
              <w:spacing w:after="0"/>
              <w:rPr>
                <w:sz w:val="20"/>
                <w:szCs w:val="20"/>
                <w:color w:val="auto"/>
              </w:rPr>
            </w:pPr>
            <w:r>
              <w:rPr>
                <w:rFonts w:ascii="Arial" w:cs="Arial" w:eastAsia="Arial" w:hAnsi="Arial"/>
                <w:sz w:val="14"/>
                <w:szCs w:val="14"/>
                <w:color w:val="auto"/>
              </w:rPr>
              <w:t>The following table summarizes the RSUs that we granted on April 1, 2019, to our directors and executive officers under the 2017 Incentive Plan in 2019:</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24"/>
                <w:szCs w:val="24"/>
                <w:color w:val="auto"/>
              </w:rPr>
            </w:pPr>
          </w:p>
        </w:tc>
      </w:tr>
      <w:tr>
        <w:trPr>
          <w:trHeight w:val="196"/>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9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 Units Granted</w:t>
            </w:r>
          </w:p>
        </w:tc>
        <w:tc>
          <w:tcPr>
            <w:tcW w:w="80" w:type="dxa"/>
            <w:vAlign w:val="bottom"/>
            <w:tcBorders>
              <w:bottom w:val="single" w:sz="8" w:color="auto"/>
            </w:tcBorders>
          </w:tcPr>
          <w:p>
            <w:pPr>
              <w:spacing w:after="0"/>
              <w:rPr>
                <w:sz w:val="17"/>
                <w:szCs w:val="17"/>
                <w:color w:val="auto"/>
              </w:rPr>
            </w:pPr>
          </w:p>
        </w:tc>
      </w:tr>
      <w:tr>
        <w:trPr>
          <w:trHeight w:val="201"/>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Kathleen Rickard</w:t>
            </w:r>
          </w:p>
        </w:tc>
        <w:tc>
          <w:tcPr>
            <w:tcW w:w="29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80" w:type="dxa"/>
            <w:vAlign w:val="bottom"/>
            <w:shd w:val="clear" w:color="auto" w:fill="CCEEFF"/>
          </w:tcPr>
          <w:p>
            <w:pPr>
              <w:spacing w:after="0"/>
              <w:rPr>
                <w:sz w:val="17"/>
                <w:szCs w:val="17"/>
                <w:color w:val="auto"/>
              </w:rPr>
            </w:pPr>
          </w:p>
        </w:tc>
      </w:tr>
      <w:tr>
        <w:trPr>
          <w:trHeight w:val="199"/>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Piers Morgan</w:t>
            </w:r>
          </w:p>
        </w:tc>
        <w:tc>
          <w:tcPr>
            <w:tcW w:w="2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93,247</w:t>
            </w:r>
          </w:p>
        </w:tc>
        <w:tc>
          <w:tcPr>
            <w:tcW w:w="80" w:type="dxa"/>
            <w:vAlign w:val="bottom"/>
          </w:tcPr>
          <w:p>
            <w:pPr>
              <w:spacing w:after="0"/>
              <w:rPr>
                <w:sz w:val="17"/>
                <w:szCs w:val="17"/>
                <w:color w:val="auto"/>
              </w:rPr>
            </w:pPr>
          </w:p>
        </w:tc>
      </w:tr>
      <w:tr>
        <w:trPr>
          <w:trHeight w:val="205"/>
        </w:trPr>
        <w:tc>
          <w:tcPr>
            <w:tcW w:w="2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Claire Poll</w:t>
            </w:r>
          </w:p>
        </w:tc>
        <w:tc>
          <w:tcPr>
            <w:tcW w:w="29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66,603</w:t>
            </w:r>
          </w:p>
        </w:tc>
        <w:tc>
          <w:tcPr>
            <w:tcW w:w="80" w:type="dxa"/>
            <w:vAlign w:val="bottom"/>
            <w:tcBorders>
              <w:bottom w:val="single" w:sz="8" w:color="auto"/>
            </w:tcBorders>
            <w:shd w:val="clear" w:color="auto" w:fill="CCEEFF"/>
          </w:tcPr>
          <w:p>
            <w:pPr>
              <w:spacing w:after="0"/>
              <w:rPr>
                <w:sz w:val="17"/>
                <w:szCs w:val="17"/>
                <w:color w:val="auto"/>
              </w:rPr>
            </w:pPr>
          </w:p>
        </w:tc>
      </w:tr>
    </w:tbl>
    <w:p>
      <w:pPr>
        <w:spacing w:after="0" w:line="344"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The options and RSUs vest as to 50% of the ordinary shares in three substantially equal annual installments following the grant date and as to 50% of the ordinary shares in four substantially equal annual installments following the grant date.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20"/>
                <w:szCs w:val="20"/>
                <w:color w:val="auto"/>
              </w:rPr>
            </w:pPr>
            <w:r>
              <w:rPr>
                <w:rFonts w:ascii="Arial" w:cs="Arial" w:eastAsia="Arial" w:hAnsi="Arial"/>
                <w:sz w:val="14"/>
                <w:szCs w:val="14"/>
                <w:b w:val="1"/>
                <w:bCs w:val="1"/>
                <w:color w:val="auto"/>
              </w:rPr>
              <w:t>Non-Employee Directors Remuneration</w:t>
            </w: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8"/>
        </w:trPr>
        <w:tc>
          <w:tcPr>
            <w:tcW w:w="7880" w:type="dxa"/>
            <w:vAlign w:val="bottom"/>
          </w:tcPr>
          <w:p>
            <w:pPr>
              <w:spacing w:after="0"/>
              <w:rPr>
                <w:sz w:val="20"/>
                <w:szCs w:val="20"/>
                <w:color w:val="auto"/>
              </w:rPr>
            </w:pPr>
            <w:r>
              <w:rPr>
                <w:rFonts w:ascii="Arial" w:cs="Arial" w:eastAsia="Arial" w:hAnsi="Arial"/>
                <w:sz w:val="14"/>
                <w:szCs w:val="14"/>
                <w:color w:val="auto"/>
              </w:rPr>
              <w:t>The following table sets forth the remuneration paid during 2019 to our current non-employee directors:</w:t>
            </w:r>
          </w:p>
        </w:tc>
        <w:tc>
          <w:tcPr>
            <w:tcW w:w="2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6"/>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Fees (£)</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 (£)</w:t>
            </w:r>
          </w:p>
        </w:tc>
      </w:tr>
      <w:tr>
        <w:trPr>
          <w:trHeight w:val="21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Ebsworth</w:t>
            </w:r>
          </w:p>
        </w:tc>
        <w:tc>
          <w:tcPr>
            <w:tcW w:w="24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108,000</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108,000</w:t>
            </w: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Anders Ullman</w:t>
            </w:r>
          </w:p>
        </w:tc>
        <w:tc>
          <w:tcPr>
            <w:tcW w:w="2400" w:type="dxa"/>
            <w:vAlign w:val="bottom"/>
          </w:tcPr>
          <w:p>
            <w:pPr>
              <w:jc w:val="right"/>
              <w:ind w:right="468"/>
              <w:spacing w:after="0"/>
              <w:rPr>
                <w:sz w:val="20"/>
                <w:szCs w:val="20"/>
                <w:color w:val="auto"/>
              </w:rPr>
            </w:pPr>
            <w:r>
              <w:rPr>
                <w:rFonts w:ascii="Arial" w:cs="Arial" w:eastAsia="Arial" w:hAnsi="Arial"/>
                <w:sz w:val="14"/>
                <w:szCs w:val="14"/>
                <w:color w:val="auto"/>
              </w:rPr>
              <w:t>30,000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30,000</w:t>
            </w:r>
          </w:p>
        </w:tc>
      </w:tr>
      <w:tr>
        <w:trPr>
          <w:trHeight w:val="221"/>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 Cunningham</w:t>
            </w:r>
          </w:p>
        </w:tc>
        <w:tc>
          <w:tcPr>
            <w:tcW w:w="24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40,000</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40,000</w:t>
            </w: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Rishi Gupta</w:t>
            </w:r>
          </w:p>
        </w:tc>
        <w:tc>
          <w:tcPr>
            <w:tcW w:w="2400" w:type="dxa"/>
            <w:vAlign w:val="bottom"/>
          </w:tcPr>
          <w:p>
            <w:pPr>
              <w:jc w:val="right"/>
              <w:ind w:right="468"/>
              <w:spacing w:after="0"/>
              <w:rPr>
                <w:sz w:val="20"/>
                <w:szCs w:val="20"/>
                <w:color w:val="auto"/>
              </w:rPr>
            </w:pPr>
            <w:r>
              <w:rPr>
                <w:rFonts w:ascii="Arial" w:cs="Arial" w:eastAsia="Arial" w:hAnsi="Arial"/>
                <w:sz w:val="14"/>
                <w:szCs w:val="14"/>
                <w:color w:val="auto"/>
              </w:rPr>
              <w:t>30,000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30,000</w:t>
            </w:r>
          </w:p>
        </w:tc>
      </w:tr>
      <w:tr>
        <w:trPr>
          <w:trHeight w:val="221"/>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Mahendra Shah</w:t>
            </w:r>
          </w:p>
        </w:tc>
        <w:tc>
          <w:tcPr>
            <w:tcW w:w="24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30,000</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Vikas Sinha</w:t>
            </w:r>
          </w:p>
        </w:tc>
        <w:tc>
          <w:tcPr>
            <w:tcW w:w="2400" w:type="dxa"/>
            <w:vAlign w:val="bottom"/>
          </w:tcPr>
          <w:p>
            <w:pPr>
              <w:jc w:val="right"/>
              <w:ind w:right="468"/>
              <w:spacing w:after="0"/>
              <w:rPr>
                <w:sz w:val="20"/>
                <w:szCs w:val="20"/>
                <w:color w:val="auto"/>
              </w:rPr>
            </w:pPr>
            <w:r>
              <w:rPr>
                <w:rFonts w:ascii="Arial" w:cs="Arial" w:eastAsia="Arial" w:hAnsi="Arial"/>
                <w:sz w:val="14"/>
                <w:szCs w:val="14"/>
                <w:color w:val="auto"/>
              </w:rPr>
              <w:t>42,000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42,000</w:t>
            </w:r>
          </w:p>
        </w:tc>
      </w:tr>
      <w:tr>
        <w:trPr>
          <w:trHeight w:val="221"/>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Andrew Sinclair</w:t>
            </w:r>
          </w:p>
        </w:tc>
        <w:tc>
          <w:tcPr>
            <w:tcW w:w="24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30,000</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30,000</w:t>
            </w:r>
          </w:p>
        </w:tc>
      </w:tr>
      <w:tr>
        <w:trPr>
          <w:trHeight w:val="21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Martin Edwards</w:t>
            </w:r>
          </w:p>
        </w:tc>
        <w:tc>
          <w:tcPr>
            <w:tcW w:w="2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22,500</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22,500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Non-Employee Director Service Contracts</w:t>
      </w:r>
    </w:p>
    <w:p>
      <w:pPr>
        <w:spacing w:after="0" w:line="245"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Retirement or Similar Benefits</w:t>
      </w:r>
    </w:p>
    <w:p>
      <w:pPr>
        <w:spacing w:after="0" w:line="24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We operate a defined contribution pension scheme which is available to all UK employees. The total amount set aside or accrued by us to provide pension, retirement or similar benefits to our current directors and our executive officers with respect to 2019 was £30,000, which represents contributions made by us in 2019 in respect of a defined contribution scheme in which Ms. Poll, Ms. Rickard, and Mr. Morgan participated.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60"/>
          </w:cols>
          <w:pgMar w:left="220" w:top="295" w:right="2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color w:val="auto"/>
        </w:rPr>
        <w:t>C. Board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Composition of our Board of Directors</w:t>
      </w:r>
    </w:p>
    <w:p>
      <w:pPr>
        <w:spacing w:after="0" w:line="24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Our Board is comprised of nine members. In accordance with our Articles of Association, one third of our directors retire from office at every annual general meeting of shareholders. However, if the number of directors serving on our Board is not divisible by three, then the number nearest but not exceeding 33.3% shall retire from office at each annual general meeting of shareholders. Retiring directors are eligible for re-election and, if no other director is elected to fill his or her position and the director is willing, shall be re-elected by default.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The expiration of the current terms of the members of our board of directors and the period each member has served in that term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Year Current Term Began</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Next year of re-election</w:t>
            </w:r>
          </w:p>
        </w:tc>
      </w:tr>
      <w:tr>
        <w:trPr>
          <w:trHeight w:val="201"/>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Zaccardelli, Pharma.D.</w:t>
            </w:r>
          </w:p>
        </w:tc>
        <w:tc>
          <w:tcPr>
            <w:tcW w:w="48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2020</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r>
      <w:tr>
        <w:trPr>
          <w:trHeight w:val="199"/>
        </w:trPr>
        <w:tc>
          <w:tcPr>
            <w:tcW w:w="4660" w:type="dxa"/>
            <w:vAlign w:val="bottom"/>
          </w:tcPr>
          <w:p>
            <w:pPr>
              <w:ind w:left="20"/>
              <w:spacing w:after="0"/>
              <w:rPr>
                <w:sz w:val="20"/>
                <w:szCs w:val="20"/>
                <w:color w:val="auto"/>
              </w:rPr>
            </w:pPr>
            <w:r>
              <w:rPr>
                <w:rFonts w:ascii="Arial" w:cs="Arial" w:eastAsia="Arial" w:hAnsi="Arial"/>
                <w:sz w:val="14"/>
                <w:szCs w:val="14"/>
                <w:color w:val="auto"/>
              </w:rPr>
              <w:t>David Ebsworth, Ph.D.</w:t>
            </w:r>
          </w:p>
        </w:tc>
        <w:tc>
          <w:tcPr>
            <w:tcW w:w="4840" w:type="dxa"/>
            <w:vAlign w:val="bottom"/>
          </w:tcPr>
          <w:p>
            <w:pPr>
              <w:jc w:val="right"/>
              <w:ind w:right="268"/>
              <w:spacing w:after="0"/>
              <w:rPr>
                <w:sz w:val="20"/>
                <w:szCs w:val="20"/>
                <w:color w:val="auto"/>
              </w:rPr>
            </w:pPr>
            <w:r>
              <w:rPr>
                <w:rFonts w:ascii="Arial" w:cs="Arial" w:eastAsia="Arial" w:hAnsi="Arial"/>
                <w:sz w:val="14"/>
                <w:szCs w:val="14"/>
                <w:color w:val="auto"/>
              </w:rPr>
              <w:t>2018</w:t>
            </w:r>
          </w:p>
        </w:tc>
        <w:tc>
          <w:tcPr>
            <w:tcW w:w="196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 Cunningham, M.D.</w:t>
            </w:r>
          </w:p>
        </w:tc>
        <w:tc>
          <w:tcPr>
            <w:tcW w:w="48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2015</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r>
      <w:tr>
        <w:trPr>
          <w:trHeight w:val="199"/>
        </w:trPr>
        <w:tc>
          <w:tcPr>
            <w:tcW w:w="4660" w:type="dxa"/>
            <w:vAlign w:val="bottom"/>
          </w:tcPr>
          <w:p>
            <w:pPr>
              <w:ind w:left="20"/>
              <w:spacing w:after="0"/>
              <w:rPr>
                <w:sz w:val="20"/>
                <w:szCs w:val="20"/>
                <w:color w:val="auto"/>
              </w:rPr>
            </w:pPr>
            <w:r>
              <w:rPr>
                <w:rFonts w:ascii="Arial" w:cs="Arial" w:eastAsia="Arial" w:hAnsi="Arial"/>
                <w:sz w:val="14"/>
                <w:szCs w:val="14"/>
                <w:color w:val="auto"/>
              </w:rPr>
              <w:t>Rishi Gupta</w:t>
            </w:r>
          </w:p>
        </w:tc>
        <w:tc>
          <w:tcPr>
            <w:tcW w:w="4840" w:type="dxa"/>
            <w:vAlign w:val="bottom"/>
          </w:tcPr>
          <w:p>
            <w:pPr>
              <w:jc w:val="right"/>
              <w:ind w:right="268"/>
              <w:spacing w:after="0"/>
              <w:rPr>
                <w:sz w:val="20"/>
                <w:szCs w:val="20"/>
                <w:color w:val="auto"/>
              </w:rPr>
            </w:pPr>
            <w:r>
              <w:rPr>
                <w:rFonts w:ascii="Arial" w:cs="Arial" w:eastAsia="Arial" w:hAnsi="Arial"/>
                <w:sz w:val="14"/>
                <w:szCs w:val="14"/>
                <w:color w:val="auto"/>
              </w:rPr>
              <w:t>2016</w:t>
            </w:r>
          </w:p>
        </w:tc>
        <w:tc>
          <w:tcPr>
            <w:tcW w:w="1960" w:type="dxa"/>
            <w:vAlign w:val="bottom"/>
          </w:tcPr>
          <w:p>
            <w:pPr>
              <w:jc w:val="right"/>
              <w:spacing w:after="0"/>
              <w:rPr>
                <w:sz w:val="20"/>
                <w:szCs w:val="20"/>
                <w:color w:val="auto"/>
              </w:rPr>
            </w:pPr>
            <w:r>
              <w:rPr>
                <w:rFonts w:ascii="Arial" w:cs="Arial" w:eastAsia="Arial" w:hAnsi="Arial"/>
                <w:sz w:val="14"/>
                <w:szCs w:val="14"/>
                <w:color w:val="auto"/>
              </w:rPr>
              <w:t>2020</w:t>
            </w: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Mahendra Shah, Ph.D.</w:t>
            </w:r>
          </w:p>
        </w:tc>
        <w:tc>
          <w:tcPr>
            <w:tcW w:w="48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2016</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r>
      <w:tr>
        <w:trPr>
          <w:trHeight w:val="199"/>
        </w:trPr>
        <w:tc>
          <w:tcPr>
            <w:tcW w:w="4660" w:type="dxa"/>
            <w:vAlign w:val="bottom"/>
          </w:tcPr>
          <w:p>
            <w:pPr>
              <w:ind w:left="20"/>
              <w:spacing w:after="0"/>
              <w:rPr>
                <w:sz w:val="20"/>
                <w:szCs w:val="20"/>
                <w:color w:val="auto"/>
              </w:rPr>
            </w:pPr>
            <w:r>
              <w:rPr>
                <w:rFonts w:ascii="Arial" w:cs="Arial" w:eastAsia="Arial" w:hAnsi="Arial"/>
                <w:sz w:val="14"/>
                <w:szCs w:val="14"/>
                <w:color w:val="auto"/>
              </w:rPr>
              <w:t>Andrew Sinclair, Ph.D.</w:t>
            </w:r>
          </w:p>
        </w:tc>
        <w:tc>
          <w:tcPr>
            <w:tcW w:w="4840" w:type="dxa"/>
            <w:vAlign w:val="bottom"/>
          </w:tcPr>
          <w:p>
            <w:pPr>
              <w:jc w:val="right"/>
              <w:ind w:right="268"/>
              <w:spacing w:after="0"/>
              <w:rPr>
                <w:sz w:val="20"/>
                <w:szCs w:val="20"/>
                <w:color w:val="auto"/>
              </w:rPr>
            </w:pPr>
            <w:r>
              <w:rPr>
                <w:rFonts w:ascii="Arial" w:cs="Arial" w:eastAsia="Arial" w:hAnsi="Arial"/>
                <w:sz w:val="14"/>
                <w:szCs w:val="14"/>
                <w:color w:val="auto"/>
              </w:rPr>
              <w:t>2016</w:t>
            </w:r>
          </w:p>
        </w:tc>
        <w:tc>
          <w:tcPr>
            <w:tcW w:w="1960" w:type="dxa"/>
            <w:vAlign w:val="bottom"/>
          </w:tcPr>
          <w:p>
            <w:pPr>
              <w:jc w:val="right"/>
              <w:spacing w:after="0"/>
              <w:rPr>
                <w:sz w:val="20"/>
                <w:szCs w:val="20"/>
                <w:color w:val="auto"/>
              </w:rPr>
            </w:pPr>
            <w:r>
              <w:rPr>
                <w:rFonts w:ascii="Arial" w:cs="Arial" w:eastAsia="Arial" w:hAnsi="Arial"/>
                <w:sz w:val="14"/>
                <w:szCs w:val="14"/>
                <w:color w:val="auto"/>
              </w:rPr>
              <w:t>2022</w:t>
            </w: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Vikas Sinha</w:t>
            </w:r>
          </w:p>
        </w:tc>
        <w:tc>
          <w:tcPr>
            <w:tcW w:w="48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2016</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r>
      <w:tr>
        <w:trPr>
          <w:trHeight w:val="199"/>
        </w:trPr>
        <w:tc>
          <w:tcPr>
            <w:tcW w:w="4660" w:type="dxa"/>
            <w:vAlign w:val="bottom"/>
          </w:tcPr>
          <w:p>
            <w:pPr>
              <w:ind w:left="20"/>
              <w:spacing w:after="0"/>
              <w:rPr>
                <w:sz w:val="20"/>
                <w:szCs w:val="20"/>
                <w:color w:val="auto"/>
              </w:rPr>
            </w:pPr>
            <w:r>
              <w:rPr>
                <w:rFonts w:ascii="Arial" w:cs="Arial" w:eastAsia="Arial" w:hAnsi="Arial"/>
                <w:sz w:val="14"/>
                <w:szCs w:val="14"/>
                <w:color w:val="auto"/>
              </w:rPr>
              <w:t>Anders Ullman, M.D., Ph.D.</w:t>
            </w:r>
          </w:p>
        </w:tc>
        <w:tc>
          <w:tcPr>
            <w:tcW w:w="4840" w:type="dxa"/>
            <w:vAlign w:val="bottom"/>
          </w:tcPr>
          <w:p>
            <w:pPr>
              <w:jc w:val="right"/>
              <w:ind w:right="268"/>
              <w:spacing w:after="0"/>
              <w:rPr>
                <w:sz w:val="20"/>
                <w:szCs w:val="20"/>
                <w:color w:val="auto"/>
              </w:rPr>
            </w:pPr>
            <w:r>
              <w:rPr>
                <w:rFonts w:ascii="Arial" w:cs="Arial" w:eastAsia="Arial" w:hAnsi="Arial"/>
                <w:sz w:val="14"/>
                <w:szCs w:val="14"/>
                <w:color w:val="auto"/>
              </w:rPr>
              <w:t>2018</w:t>
            </w:r>
          </w:p>
        </w:tc>
        <w:tc>
          <w:tcPr>
            <w:tcW w:w="1960" w:type="dxa"/>
            <w:vAlign w:val="bottom"/>
          </w:tcPr>
          <w:p>
            <w:pPr>
              <w:jc w:val="right"/>
              <w:spacing w:after="0"/>
              <w:rPr>
                <w:sz w:val="20"/>
                <w:szCs w:val="20"/>
                <w:color w:val="auto"/>
              </w:rPr>
            </w:pPr>
            <w:r>
              <w:rPr>
                <w:rFonts w:ascii="Arial" w:cs="Arial" w:eastAsia="Arial" w:hAnsi="Arial"/>
                <w:sz w:val="14"/>
                <w:szCs w:val="14"/>
                <w:color w:val="auto"/>
              </w:rPr>
              <w:t>2021</w:t>
            </w:r>
          </w:p>
        </w:tc>
      </w:tr>
      <w:tr>
        <w:trPr>
          <w:trHeight w:val="205"/>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Martin Edwards, M.D.</w:t>
            </w:r>
          </w:p>
        </w:tc>
        <w:tc>
          <w:tcPr>
            <w:tcW w:w="48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2019</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w:t>
            </w:r>
          </w:p>
        </w:tc>
      </w:tr>
    </w:tbl>
    <w:p>
      <w:pPr>
        <w:spacing w:after="0" w:line="107" w:lineRule="exact"/>
        <w:rPr>
          <w:sz w:val="20"/>
          <w:szCs w:val="20"/>
          <w:color w:val="auto"/>
        </w:rPr>
      </w:pPr>
    </w:p>
    <w:p>
      <w:pPr>
        <w:ind w:right="1160"/>
        <w:spacing w:after="0" w:line="434" w:lineRule="auto"/>
        <w:rPr>
          <w:sz w:val="20"/>
          <w:szCs w:val="20"/>
          <w:color w:val="auto"/>
        </w:rPr>
      </w:pPr>
      <w:r>
        <w:rPr>
          <w:rFonts w:ascii="Arial" w:cs="Arial" w:eastAsia="Arial" w:hAnsi="Arial"/>
          <w:sz w:val="14"/>
          <w:szCs w:val="14"/>
          <w:color w:val="auto"/>
        </w:rPr>
        <w:t xml:space="preserve">There are no arrangements or understanding between us and any of the members of our board of directors providing for benefits upon termination of their service. </w:t>
      </w:r>
      <w:r>
        <w:rPr>
          <w:rFonts w:ascii="Arial" w:cs="Arial" w:eastAsia="Arial" w:hAnsi="Arial"/>
          <w:sz w:val="14"/>
          <w:szCs w:val="14"/>
          <w:b w:val="1"/>
          <w:bCs w:val="1"/>
          <w:color w:val="auto"/>
        </w:rPr>
        <w:t>Committees of our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Our Board has three standing committees: an Audit and Risk Committee, a Remuneration Committee and a Nomination and Governance Committee.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and Risk Committee of the Board</w:t>
      </w:r>
    </w:p>
    <w:p>
      <w:pPr>
        <w:spacing w:after="0" w:line="157" w:lineRule="exact"/>
        <w:rPr>
          <w:sz w:val="20"/>
          <w:szCs w:val="20"/>
          <w:color w:val="auto"/>
        </w:rPr>
      </w:pPr>
    </w:p>
    <w:p>
      <w:pPr>
        <w:ind w:left="100" w:right="60"/>
        <w:spacing w:after="0" w:line="260" w:lineRule="auto"/>
        <w:rPr>
          <w:sz w:val="20"/>
          <w:szCs w:val="20"/>
          <w:color w:val="auto"/>
        </w:rPr>
      </w:pPr>
      <w:r>
        <w:rPr>
          <w:rFonts w:ascii="Arial" w:cs="Arial" w:eastAsia="Arial" w:hAnsi="Arial"/>
          <w:sz w:val="14"/>
          <w:szCs w:val="14"/>
          <w:color w:val="auto"/>
        </w:rPr>
        <w:t>The Audit and Risk Committee, which consists of Vikas Sinha, Dr. David Ebsworth and Dr. Andrew Sinclair, assists the Board in overseeing our accounting and financial reporting processes and the audits of our financial statements and monitoring UK Governance Code compliance and business risk. Mr. Sinha serves as Chairman of the Audit and Risk Committee. The Audit and Risk Committee consists of members of our Board who are financially literate and are also considered to be "audit committee financial experts" as defined by applicable SEC rules and have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The Audit and Risk Committee's responsibilities include, among other things:</w:t>
      </w:r>
    </w:p>
    <w:p>
      <w:pPr>
        <w:spacing w:after="0" w:line="76" w:lineRule="exact"/>
        <w:rPr>
          <w:sz w:val="20"/>
          <w:szCs w:val="20"/>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recommending the appointment of the independent auditor to the general meeting of shareholders;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appointment, compensation, retention and oversight of the independent auditor;</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pre-approving the audit services and non-audit services to be provided by the independent auditor before the auditor is engaged to render such services;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evaluating the independent auditor's qualifications, performance and independence, and presenting its conclusions to our Board on at least an annual basis;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reviewing and discussing with the executive officers, our Board and the independent auditor our financial statements and our financial reporting process;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considering and recommending to our Board whether the audited financial statements be approved;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monitoring our review and mitigation of corporate and operational risk.</w:t>
      </w:r>
    </w:p>
    <w:p>
      <w:pPr>
        <w:spacing w:after="0" w:line="76" w:lineRule="exact"/>
        <w:rPr>
          <w:sz w:val="20"/>
          <w:szCs w:val="20"/>
          <w:color w:val="auto"/>
        </w:rPr>
      </w:pPr>
    </w:p>
    <w:p>
      <w:pPr>
        <w:ind w:left="100" w:right="60"/>
        <w:spacing w:after="0" w:line="273" w:lineRule="auto"/>
        <w:rPr>
          <w:sz w:val="20"/>
          <w:szCs w:val="20"/>
          <w:color w:val="auto"/>
        </w:rPr>
      </w:pPr>
      <w:r>
        <w:rPr>
          <w:rFonts w:ascii="Arial" w:cs="Arial" w:eastAsia="Arial" w:hAnsi="Arial"/>
          <w:sz w:val="14"/>
          <w:szCs w:val="14"/>
          <w:color w:val="auto"/>
        </w:rPr>
        <w:t>The Audit and Risk Committee meets as often as one or more members of the Committee deem necessary, but in any event must meet at least four times per year. The Audit and Risk Committee must meet at least once per year with our independent auditor, without our executive officers being present.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60"/>
          </w:cols>
          <w:pgMar w:left="220" w:top="401" w:right="21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i w:val="1"/>
          <w:iCs w:val="1"/>
          <w:color w:val="auto"/>
        </w:rPr>
        <w:t>Remuneration Committee of the Board</w:t>
      </w:r>
    </w:p>
    <w:p>
      <w:pPr>
        <w:spacing w:after="0" w:line="157"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The Remuneration Committee, which consists of Dr. Ken Cunningham, Dr. David Ebsworth and Rishi Gupta, assists the Board in determining directors’ and executive officers’ compensation. Dr Cunningham serves as Chairman of the Committee.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The Remuneration Committee's responsibilities include, among other things:</w:t>
      </w:r>
    </w:p>
    <w:p>
      <w:pPr>
        <w:spacing w:after="0" w:line="76" w:lineRule="exact"/>
        <w:rPr>
          <w:sz w:val="20"/>
          <w:szCs w:val="20"/>
          <w:color w:val="auto"/>
        </w:rPr>
      </w:pPr>
    </w:p>
    <w:p>
      <w:pPr>
        <w:ind w:left="520" w:hanging="255"/>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identifying, reviewing and proposing policies relevant to the compensation of the Company’s directors and executive officers;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evaluating each executive officer's performance in light of such policies and reporting to the Board;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analyzing the possible outcomes of the variable remuneration components and how they may affect the remuneration of the executive officers;</w:t>
      </w:r>
    </w:p>
    <w:p>
      <w:pPr>
        <w:spacing w:after="0" w:line="11" w:lineRule="exact"/>
        <w:rPr>
          <w:rFonts w:ascii="Arial" w:cs="Arial" w:eastAsia="Arial" w:hAnsi="Arial"/>
          <w:sz w:val="14"/>
          <w:szCs w:val="14"/>
          <w:color w:val="auto"/>
        </w:rPr>
      </w:pPr>
    </w:p>
    <w:p>
      <w:pPr>
        <w:ind w:left="520" w:right="180" w:hanging="255"/>
        <w:spacing w:after="0" w:line="257"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recommending any equity long-term incentive component of each executive officer's compensation in line with the remuneration policy and reviewing our executive officer compensation and benefits policies generally;</w:t>
      </w:r>
    </w:p>
    <w:p>
      <w:pPr>
        <w:ind w:left="520" w:hanging="255"/>
        <w:spacing w:after="0" w:line="257"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appointing and setting the terms of engagement for any remuneration consultants who advise the Committee and obtain benchmarking data with respect to the directors' and executive officers’ compensation; and</w:t>
      </w:r>
    </w:p>
    <w:p>
      <w:pPr>
        <w:ind w:left="520" w:hanging="255"/>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reviewing and assessing risks arising from our compensation policies and practices.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Nomination and Governance Committee of the Board</w:t>
      </w:r>
    </w:p>
    <w:p>
      <w:pPr>
        <w:spacing w:after="0" w:line="15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Nomination and Governance Committee, which consists of Dr. David Ebsworth, Dr. Mahendra Shah and Dr. Anders Ullman, assists our Board in identifying individuals qualified to become executive and non-executive directors of our Company consistent with criteria established by our Board and in developing our corporate governance principles. Dr Ebsworth serves as Chairman of the Committee.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Nomination and Governance Committee's responsibilities include, among other things:</w:t>
      </w:r>
    </w:p>
    <w:p>
      <w:pPr>
        <w:spacing w:after="0" w:line="249" w:lineRule="exact"/>
        <w:rPr>
          <w:sz w:val="20"/>
          <w:szCs w:val="20"/>
          <w:color w:val="auto"/>
        </w:rPr>
      </w:pPr>
    </w:p>
    <w:p>
      <w:pPr>
        <w:ind w:left="520" w:hanging="255"/>
        <w:spacing w:after="0"/>
        <w:tabs>
          <w:tab w:leader="none" w:pos="5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reviewing and evaluating the structure, size and composition of our Board and making recommendations with regard to any adjustments considered necessary;</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drawing up selection criteria and appointment procedures for Board members;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identifying and nominating, for the approval of our Board, candidates to fill vacancies on the Board and its corresponding committees;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keeping under review the leadership needs of the Company, both executive and non-executive, and planning the orderly succession of such appointments;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1"/>
          <w:numId w:val="49"/>
        </w:numPr>
        <w:rPr>
          <w:rFonts w:ascii="Arial" w:cs="Arial" w:eastAsia="Arial" w:hAnsi="Arial"/>
          <w:sz w:val="14"/>
          <w:szCs w:val="14"/>
          <w:color w:val="auto"/>
        </w:rPr>
      </w:pPr>
      <w:r>
        <w:rPr>
          <w:rFonts w:ascii="Arial" w:cs="Arial" w:eastAsia="Arial" w:hAnsi="Arial"/>
          <w:sz w:val="14"/>
          <w:szCs w:val="14"/>
          <w:color w:val="auto"/>
        </w:rPr>
        <w:t>assessing the functioning of our Board and individual members and reporting the results of such assessment to the Board.</w:t>
      </w:r>
    </w:p>
    <w:p>
      <w:pPr>
        <w:spacing w:after="0" w:line="10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b w:val="1"/>
          <w:bCs w:val="1"/>
          <w:color w:val="auto"/>
        </w:rPr>
        <w:t>D. Employees</w:t>
      </w:r>
    </w:p>
    <w:p>
      <w:pPr>
        <w:spacing w:after="0" w:line="137" w:lineRule="exact"/>
        <w:rPr>
          <w:sz w:val="20"/>
          <w:szCs w:val="20"/>
          <w:color w:val="auto"/>
        </w:rPr>
      </w:pPr>
    </w:p>
    <w:p>
      <w:pPr>
        <w:jc w:val="both"/>
        <w:ind w:right="500"/>
        <w:spacing w:after="0" w:line="265" w:lineRule="auto"/>
        <w:rPr>
          <w:sz w:val="20"/>
          <w:szCs w:val="20"/>
          <w:color w:val="auto"/>
        </w:rPr>
      </w:pPr>
      <w:r>
        <w:rPr>
          <w:rFonts w:ascii="Arial" w:cs="Arial" w:eastAsia="Arial" w:hAnsi="Arial"/>
          <w:sz w:val="14"/>
          <w:szCs w:val="14"/>
          <w:color w:val="auto"/>
        </w:rPr>
        <w:t>As of December 31, 2019, 2018 and 2017, we had 24, 15, and 15 employees, respectively, of which 13, 11, and 10 were based in the United Kingdom, respectively, and the remainder of which were based outside the United Kingdom. All of our employees were engaged in either administrative or research and development functions. None of our employees are covered by a collective bargaining agreement.</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Share Ownership</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regarding the share ownership of members of our board and executive officers and arrangements involving our employees in our share capital, see Item 6.B.</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Compensation, Item 7.A. Major Shareholders and Item 7.B. Related Party Transactions.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60"/>
          </w:cols>
          <w:pgMar w:left="220" w:top="360" w:right="21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color w:val="auto"/>
        </w:rPr>
        <w:t>ITEM 7: MAJOR SHAREHOLDERS AND RELATED PARTY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MAJOR SHAREHOLDERS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relating to the beneficial ownership of our ordinary shares as of December 31, 2019, by:</w:t>
      </w:r>
    </w:p>
    <w:p>
      <w:pPr>
        <w:spacing w:after="0" w:line="227" w:lineRule="exact"/>
        <w:rPr>
          <w:sz w:val="20"/>
          <w:szCs w:val="20"/>
          <w:color w:val="auto"/>
        </w:rPr>
      </w:pPr>
    </w:p>
    <w:p>
      <w:pPr>
        <w:ind w:left="520" w:hanging="255"/>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each person, or group of affiliated persons, that beneficially owns 3% or more of our outstanding ordinary shares (including ordinary shares in the form of our ADSs);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each member of our board of directors and each of our executive officers; and</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board members and executive officers as a group.</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December 31, 2019,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percentage of ordinary shares beneficially owned is computed on the basis of 105,326,638 of our ordinary shares outstanding as of December 31, 2019. Ordinary shares that a person has the right to acquire within 60 days of December 31, 2019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As of December 31, 2019, 56,045,857 ordinary shares, representing 53% of our issued and outstanding ordinary shares (including ordinary shares in the form of our ADSs), were held by 15 U.S. record holders. Unless otherwise indicated below, the address for each beneficial owner listed is c/o Verona Pharma plc, 3 More London Riverside, London SE1 2RE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40"/>
          </w:cols>
          <w:pgMar w:left="220" w:top="40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2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Number of Shares Beneficially Owned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120" w:type="dxa"/>
            <w:vAlign w:val="bottom"/>
          </w:tcPr>
          <w:p>
            <w:pPr>
              <w:ind w:left="820"/>
              <w:spacing w:after="0"/>
              <w:rPr>
                <w:sz w:val="20"/>
                <w:szCs w:val="20"/>
                <w:color w:val="auto"/>
              </w:rPr>
            </w:pPr>
            <w:r>
              <w:rPr>
                <w:rFonts w:ascii="Arial" w:cs="Arial" w:eastAsia="Arial" w:hAnsi="Arial"/>
                <w:sz w:val="14"/>
                <w:szCs w:val="14"/>
                <w:b w:val="1"/>
                <w:bCs w:val="1"/>
                <w:color w:val="auto"/>
              </w:rPr>
              <w:t>Number</w:t>
            </w:r>
          </w:p>
        </w:tc>
        <w:tc>
          <w:tcPr>
            <w:tcW w:w="2100" w:type="dxa"/>
            <w:vAlign w:val="bottom"/>
          </w:tcPr>
          <w:p>
            <w:pPr>
              <w:ind w:left="6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3% or Greater Shareholders:</w:t>
            </w:r>
          </w:p>
        </w:tc>
        <w:tc>
          <w:tcPr>
            <w:tcW w:w="4580" w:type="dxa"/>
            <w:vAlign w:val="bottom"/>
            <w:vMerge w:val="restart"/>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458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Novo A/S </w:t>
            </w:r>
            <w:r>
              <w:rPr>
                <w:rFonts w:ascii="Arial" w:cs="Arial" w:eastAsia="Arial" w:hAnsi="Arial"/>
                <w:sz w:val="17"/>
                <w:szCs w:val="17"/>
                <w:color w:val="auto"/>
                <w:vertAlign w:val="superscript"/>
              </w:rPr>
              <w:t>(1)</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14,159,611</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 xml:space="preserve">Vivo Capital affiliates </w:t>
            </w:r>
            <w:r>
              <w:rPr>
                <w:rFonts w:ascii="Arial" w:cs="Arial" w:eastAsia="Arial" w:hAnsi="Arial"/>
                <w:sz w:val="17"/>
                <w:szCs w:val="17"/>
                <w:color w:val="auto"/>
                <w:vertAlign w:val="superscript"/>
              </w:rPr>
              <w:t>(2)</w:t>
            </w:r>
          </w:p>
        </w:tc>
        <w:tc>
          <w:tcPr>
            <w:tcW w:w="2120" w:type="dxa"/>
            <w:vAlign w:val="bottom"/>
          </w:tcPr>
          <w:p>
            <w:pPr>
              <w:jc w:val="center"/>
              <w:spacing w:after="0"/>
              <w:rPr>
                <w:sz w:val="20"/>
                <w:szCs w:val="20"/>
                <w:color w:val="auto"/>
              </w:rPr>
            </w:pPr>
            <w:r>
              <w:rPr>
                <w:rFonts w:ascii="Arial" w:cs="Arial" w:eastAsia="Arial" w:hAnsi="Arial"/>
                <w:sz w:val="14"/>
                <w:szCs w:val="14"/>
                <w:color w:val="auto"/>
              </w:rPr>
              <w:t>13,811,584</w:t>
            </w:r>
          </w:p>
        </w:tc>
        <w:tc>
          <w:tcPr>
            <w:tcW w:w="2100" w:type="dxa"/>
            <w:vAlign w:val="bottom"/>
          </w:tcPr>
          <w:p>
            <w:pPr>
              <w:jc w:val="center"/>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OrbiMed Private Investments VI, LP </w:t>
            </w:r>
            <w:r>
              <w:rPr>
                <w:rFonts w:ascii="Arial" w:cs="Arial" w:eastAsia="Arial" w:hAnsi="Arial"/>
                <w:sz w:val="17"/>
                <w:szCs w:val="17"/>
                <w:color w:val="auto"/>
                <w:vertAlign w:val="superscript"/>
              </w:rPr>
              <w:t>(3)</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11,871,112</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 xml:space="preserve">Growth Equity Opportunities Fund IV, LLC </w:t>
            </w:r>
            <w:r>
              <w:rPr>
                <w:rFonts w:ascii="Arial" w:cs="Arial" w:eastAsia="Arial" w:hAnsi="Arial"/>
                <w:sz w:val="17"/>
                <w:szCs w:val="17"/>
                <w:color w:val="auto"/>
                <w:vertAlign w:val="superscript"/>
              </w:rPr>
              <w:t>(4)</w:t>
            </w:r>
          </w:p>
        </w:tc>
        <w:tc>
          <w:tcPr>
            <w:tcW w:w="2120" w:type="dxa"/>
            <w:vAlign w:val="bottom"/>
          </w:tcPr>
          <w:p>
            <w:pPr>
              <w:jc w:val="center"/>
              <w:spacing w:after="0"/>
              <w:rPr>
                <w:sz w:val="20"/>
                <w:szCs w:val="20"/>
                <w:color w:val="auto"/>
              </w:rPr>
            </w:pPr>
            <w:r>
              <w:rPr>
                <w:rFonts w:ascii="Arial" w:cs="Arial" w:eastAsia="Arial" w:hAnsi="Arial"/>
                <w:sz w:val="14"/>
                <w:szCs w:val="14"/>
                <w:color w:val="auto"/>
              </w:rPr>
              <w:t>11,527,019</w:t>
            </w:r>
          </w:p>
        </w:tc>
        <w:tc>
          <w:tcPr>
            <w:tcW w:w="2100" w:type="dxa"/>
            <w:vAlign w:val="bottom"/>
          </w:tcPr>
          <w:p>
            <w:pPr>
              <w:jc w:val="center"/>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Abingworth Bioventures VI, LP </w:t>
            </w:r>
            <w:r>
              <w:rPr>
                <w:rFonts w:ascii="Arial" w:cs="Arial" w:eastAsia="Arial" w:hAnsi="Arial"/>
                <w:sz w:val="17"/>
                <w:szCs w:val="17"/>
                <w:color w:val="auto"/>
                <w:vertAlign w:val="superscript"/>
              </w:rPr>
              <w:t>(5)</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8,619,765</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 xml:space="preserve">venBio Select Advisor </w:t>
            </w:r>
            <w:r>
              <w:rPr>
                <w:rFonts w:ascii="Arial" w:cs="Arial" w:eastAsia="Arial" w:hAnsi="Arial"/>
                <w:sz w:val="17"/>
                <w:szCs w:val="17"/>
                <w:color w:val="auto"/>
                <w:vertAlign w:val="superscript"/>
              </w:rPr>
              <w:t>(6)</w:t>
            </w:r>
          </w:p>
        </w:tc>
        <w:tc>
          <w:tcPr>
            <w:tcW w:w="2120" w:type="dxa"/>
            <w:vAlign w:val="bottom"/>
          </w:tcPr>
          <w:p>
            <w:pPr>
              <w:jc w:val="center"/>
              <w:spacing w:after="0"/>
              <w:rPr>
                <w:sz w:val="20"/>
                <w:szCs w:val="20"/>
                <w:color w:val="auto"/>
              </w:rPr>
            </w:pPr>
            <w:r>
              <w:rPr>
                <w:rFonts w:ascii="Arial" w:cs="Arial" w:eastAsia="Arial" w:hAnsi="Arial"/>
                <w:sz w:val="14"/>
                <w:szCs w:val="14"/>
                <w:color w:val="auto"/>
              </w:rPr>
              <w:t>7,000,000</w:t>
            </w:r>
          </w:p>
        </w:tc>
        <w:tc>
          <w:tcPr>
            <w:tcW w:w="2100" w:type="dxa"/>
            <w:vAlign w:val="bottom"/>
          </w:tcPr>
          <w:p>
            <w:pPr>
              <w:jc w:val="center"/>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Polar Capital Holdings plc </w:t>
            </w:r>
            <w:r>
              <w:rPr>
                <w:rFonts w:ascii="Arial" w:cs="Arial" w:eastAsia="Arial" w:hAnsi="Arial"/>
                <w:sz w:val="17"/>
                <w:szCs w:val="17"/>
                <w:color w:val="auto"/>
                <w:vertAlign w:val="superscript"/>
              </w:rPr>
              <w:t>(7)</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5,368,819</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 xml:space="preserve">Tekla Capital affiliates </w:t>
            </w:r>
            <w:r>
              <w:rPr>
                <w:rFonts w:ascii="Arial" w:cs="Arial" w:eastAsia="Arial" w:hAnsi="Arial"/>
                <w:sz w:val="17"/>
                <w:szCs w:val="17"/>
                <w:color w:val="auto"/>
                <w:vertAlign w:val="superscript"/>
              </w:rPr>
              <w:t>(8)</w:t>
            </w:r>
          </w:p>
        </w:tc>
        <w:tc>
          <w:tcPr>
            <w:tcW w:w="2120" w:type="dxa"/>
            <w:vAlign w:val="bottom"/>
          </w:tcPr>
          <w:p>
            <w:pPr>
              <w:jc w:val="center"/>
              <w:spacing w:after="0"/>
              <w:rPr>
                <w:sz w:val="20"/>
                <w:szCs w:val="20"/>
                <w:color w:val="auto"/>
              </w:rPr>
            </w:pPr>
            <w:r>
              <w:rPr>
                <w:rFonts w:ascii="Arial" w:cs="Arial" w:eastAsia="Arial" w:hAnsi="Arial"/>
                <w:sz w:val="14"/>
                <w:szCs w:val="14"/>
                <w:color w:val="auto"/>
              </w:rPr>
              <w:t>5,296,845</w:t>
            </w:r>
          </w:p>
        </w:tc>
        <w:tc>
          <w:tcPr>
            <w:tcW w:w="2100" w:type="dxa"/>
            <w:vAlign w:val="bottom"/>
          </w:tcPr>
          <w:p>
            <w:pPr>
              <w:jc w:val="center"/>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Aisling Capital IV, LP </w:t>
            </w:r>
            <w:r>
              <w:rPr>
                <w:rFonts w:ascii="Arial" w:cs="Arial" w:eastAsia="Arial" w:hAnsi="Arial"/>
                <w:sz w:val="17"/>
                <w:szCs w:val="17"/>
                <w:color w:val="auto"/>
                <w:vertAlign w:val="superscript"/>
              </w:rPr>
              <w:t>(9)</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4,138,643</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2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Zaccardelli, Pharm.D</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 xml:space="preserve">Piers Morgan </w:t>
            </w:r>
            <w:r>
              <w:rPr>
                <w:rFonts w:ascii="Arial" w:cs="Arial" w:eastAsia="Arial" w:hAnsi="Arial"/>
                <w:sz w:val="17"/>
                <w:szCs w:val="17"/>
                <w:color w:val="auto"/>
                <w:vertAlign w:val="superscript"/>
              </w:rPr>
              <w:t>(10)</w:t>
            </w:r>
          </w:p>
        </w:tc>
        <w:tc>
          <w:tcPr>
            <w:tcW w:w="2120" w:type="dxa"/>
            <w:vAlign w:val="bottom"/>
          </w:tcPr>
          <w:p>
            <w:pPr>
              <w:jc w:val="center"/>
              <w:spacing w:after="0"/>
              <w:rPr>
                <w:sz w:val="20"/>
                <w:szCs w:val="20"/>
                <w:color w:val="auto"/>
              </w:rPr>
            </w:pPr>
            <w:r>
              <w:rPr>
                <w:rFonts w:ascii="Arial" w:cs="Arial" w:eastAsia="Arial" w:hAnsi="Arial"/>
                <w:sz w:val="14"/>
                <w:szCs w:val="14"/>
                <w:color w:val="auto"/>
              </w:rPr>
              <w:t>1,712,362</w:t>
            </w:r>
          </w:p>
        </w:tc>
        <w:tc>
          <w:tcPr>
            <w:tcW w:w="2100" w:type="dxa"/>
            <w:vAlign w:val="bottom"/>
          </w:tcPr>
          <w:p>
            <w:pPr>
              <w:jc w:val="center"/>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Kathleen Rickard, M.D.</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 xml:space="preserve">Claire Poll </w:t>
            </w:r>
            <w:r>
              <w:rPr>
                <w:rFonts w:ascii="Arial" w:cs="Arial" w:eastAsia="Arial" w:hAnsi="Arial"/>
                <w:sz w:val="17"/>
                <w:szCs w:val="17"/>
                <w:color w:val="auto"/>
                <w:vertAlign w:val="superscript"/>
              </w:rPr>
              <w:t>(11)</w:t>
            </w:r>
          </w:p>
        </w:tc>
        <w:tc>
          <w:tcPr>
            <w:tcW w:w="2120" w:type="dxa"/>
            <w:vAlign w:val="bottom"/>
          </w:tcPr>
          <w:p>
            <w:pPr>
              <w:jc w:val="center"/>
              <w:spacing w:after="0"/>
              <w:rPr>
                <w:sz w:val="20"/>
                <w:szCs w:val="20"/>
                <w:color w:val="auto"/>
              </w:rPr>
            </w:pPr>
            <w:r>
              <w:rPr>
                <w:rFonts w:ascii="Arial" w:cs="Arial" w:eastAsia="Arial" w:hAnsi="Arial"/>
                <w:sz w:val="14"/>
                <w:szCs w:val="14"/>
                <w:color w:val="auto"/>
              </w:rPr>
              <w:t>799,141</w:t>
            </w:r>
          </w:p>
        </w:tc>
        <w:tc>
          <w:tcPr>
            <w:tcW w:w="21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 Cunningham, M.D.</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Martin Edwards</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Ebsworth, Ph.D.</w:t>
            </w:r>
            <w:r>
              <w:rPr>
                <w:rFonts w:ascii="Arial" w:cs="Arial" w:eastAsia="Arial" w:hAnsi="Arial"/>
                <w:sz w:val="17"/>
                <w:szCs w:val="17"/>
                <w:color w:val="auto"/>
                <w:vertAlign w:val="superscript"/>
              </w:rPr>
              <w:t>(12)</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400,303</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Rishi Gupta</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Mahendra Shah, Ph.D.</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Andrew Sinclair, Ph.D.</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Vikas Sinha </w:t>
            </w:r>
            <w:r>
              <w:rPr>
                <w:rFonts w:ascii="Arial" w:cs="Arial" w:eastAsia="Arial" w:hAnsi="Arial"/>
                <w:sz w:val="17"/>
                <w:szCs w:val="17"/>
                <w:color w:val="auto"/>
                <w:vertAlign w:val="superscript"/>
              </w:rPr>
              <w:t>(13)</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102,478</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Anders Ullman, Ph.D.</w:t>
            </w:r>
          </w:p>
        </w:tc>
        <w:tc>
          <w:tcPr>
            <w:tcW w:w="2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executive officers and directors as a group (12 persons)</w:t>
            </w:r>
          </w:p>
        </w:tc>
        <w:tc>
          <w:tcPr>
            <w:tcW w:w="2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3,014,284</w:t>
            </w:r>
          </w:p>
        </w:tc>
        <w:tc>
          <w:tcPr>
            <w:tcW w:w="2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 Less than 1%.</w:t>
            </w:r>
          </w:p>
        </w:tc>
        <w:tc>
          <w:tcPr>
            <w:tcW w:w="2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20" w:right="40" w:hanging="514"/>
        <w:spacing w:after="0" w:line="252" w:lineRule="auto"/>
        <w:tabs>
          <w:tab w:leader="none" w:pos="520" w:val="left"/>
        </w:tabs>
        <w:numPr>
          <w:ilvl w:val="0"/>
          <w:numId w:val="51"/>
        </w:numPr>
        <w:rPr>
          <w:rFonts w:ascii="Arial" w:cs="Arial" w:eastAsia="Arial" w:hAnsi="Arial"/>
          <w:sz w:val="7"/>
          <w:szCs w:val="7"/>
          <w:color w:val="auto"/>
        </w:rPr>
      </w:pPr>
      <w:r>
        <w:rPr>
          <w:rFonts w:ascii="Arial" w:cs="Arial" w:eastAsia="Arial" w:hAnsi="Arial"/>
          <w:sz w:val="11"/>
          <w:szCs w:val="11"/>
          <w:color w:val="auto"/>
        </w:rPr>
        <w:t>Consists of (a) 12,389,985 ordinary shares held directly by Novo A/S, or Novo, and (b) warrants to purchase 1,769,626 ordinary shares. The board of directors of Novo A/S, or the Novo Board, has shared investment and voting control over the securities held by Novo and may exercise such control only with the support of a majority of the Novo Board. As such, no individual member of the Novo Board is deemed to hold any beneficial ownership or reportable pecuniary interest in the securities held by Novo. Beneficial ownership information is based on information known to us and a Schedule 13D filed with the SEC on April 2, 2019. Novo's mailing address is Tuborg Havnevej 19, Hellerup, G7 2900, Denmark</w:t>
      </w:r>
    </w:p>
    <w:p>
      <w:pPr>
        <w:spacing w:after="0" w:line="201" w:lineRule="exact"/>
        <w:rPr>
          <w:rFonts w:ascii="Arial" w:cs="Arial" w:eastAsia="Arial" w:hAnsi="Arial"/>
          <w:sz w:val="7"/>
          <w:szCs w:val="7"/>
          <w:color w:val="auto"/>
        </w:rPr>
      </w:pPr>
    </w:p>
    <w:p>
      <w:pPr>
        <w:ind w:left="520" w:hanging="514"/>
        <w:spacing w:after="0" w:line="247" w:lineRule="auto"/>
        <w:tabs>
          <w:tab w:leader="none" w:pos="520" w:val="left"/>
        </w:tabs>
        <w:numPr>
          <w:ilvl w:val="0"/>
          <w:numId w:val="51"/>
        </w:numPr>
        <w:rPr>
          <w:rFonts w:ascii="Arial" w:cs="Arial" w:eastAsia="Arial" w:hAnsi="Arial"/>
          <w:sz w:val="7"/>
          <w:szCs w:val="7"/>
          <w:color w:val="auto"/>
        </w:rPr>
      </w:pPr>
      <w:r>
        <w:rPr>
          <w:rFonts w:ascii="Arial" w:cs="Arial" w:eastAsia="Arial" w:hAnsi="Arial"/>
          <w:sz w:val="11"/>
          <w:szCs w:val="11"/>
          <w:color w:val="auto"/>
        </w:rPr>
        <w:t>Consists of (a) 2,388,728 ordinary shares held directly by Vivo Ventures Fund VI, L.P., or Vivo VI, of which 1,126,760 are held in the form of ADSs, (b) warrants to purchase 370,871 ordinary shares held directly by Vivo VI, (c) warrants to purchase 2,717 ordinary shares held directly by Vivo Ventures VI Affiliates Fund, L.P., or Vivo Affiliates VI, (d) 9,554,917 ordinary shares held directly by Vivo Ventures Fund VII L.P., or Vivo VII, of which 4,507,040 are held in the form of ADSs, (e) warrants to purchase 1,462,477 ordinary shares held directly by Vivo VII, (f) warrants to purchase 31,874 ordinary shares held directly by Vivo Ventures VII Affiliates Fund, L.P., or Vivo Affiliates VII. Vivo Ventures VI, LLC , or Vivo Ventures VI, is the sole general partner of Vivo VI and Vivo Affiliates VI. Vivo Ventures VII, LLC, or Vivo Ventures VII, is the sole general partner of Vivo VII and Vivo Affiliates VII. Vivo Ventures VI and Vivo Ventures VII disclaim beneficial ownership of all shares held by Vivo VI, Vivo Affiliates VI, Vivo VII and Vivo Affiliates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Vll are Drs. Albert Cha, Edgar Engleman, Frank Kung, Chen Yu and Mr. Shan Fu, each of whom may be deemed to have shared voting and dispositive power of the shares held by Vivo Vll and Vivo Affiliates Vll. Mahendra Shah, the Managing Director of Vivo Capital, is a member of our Board of Directors and disclaims beneficial ownership of these shares except to the extent of his pecuniary interest arising as a result of his employment by Vivo Capital. Beneficial ownership information is based on information known to us and Forms TR-1 provided to us on May 30, 2017. Vivo Capital's mailing address is 505 Hamilton Avenue, Suite 200, Palo Alto, CA 94301.</w:t>
      </w:r>
    </w:p>
    <w:p>
      <w:pPr>
        <w:spacing w:after="0" w:line="207" w:lineRule="exact"/>
        <w:rPr>
          <w:rFonts w:ascii="Arial" w:cs="Arial" w:eastAsia="Arial" w:hAnsi="Arial"/>
          <w:sz w:val="7"/>
          <w:szCs w:val="7"/>
          <w:color w:val="auto"/>
        </w:rPr>
      </w:pPr>
    </w:p>
    <w:p>
      <w:pPr>
        <w:ind w:left="520" w:right="40" w:hanging="514"/>
        <w:spacing w:after="0" w:line="249" w:lineRule="auto"/>
        <w:tabs>
          <w:tab w:leader="none" w:pos="520" w:val="left"/>
        </w:tabs>
        <w:numPr>
          <w:ilvl w:val="0"/>
          <w:numId w:val="51"/>
        </w:numPr>
        <w:rPr>
          <w:rFonts w:ascii="Arial" w:cs="Arial" w:eastAsia="Arial" w:hAnsi="Arial"/>
          <w:sz w:val="7"/>
          <w:szCs w:val="7"/>
          <w:color w:val="auto"/>
        </w:rPr>
      </w:pPr>
      <w:r>
        <w:rPr>
          <w:rFonts w:ascii="Arial" w:cs="Arial" w:eastAsia="Arial" w:hAnsi="Arial"/>
          <w:sz w:val="11"/>
          <w:szCs w:val="11"/>
          <w:color w:val="auto"/>
        </w:rPr>
        <w:t>Consists of (a) 10,003,174 ordinary shares held directly by OrbiMed Private Investments VI, LP, or OPI VI, of which 10,003,168 are held in the form of ADSs and (b) warrants to purchase 1,867,938 ordinary shares are held directly by OPI VI. OrbiMed Capital GP VI LLC, or GP VI, is the general partner of OPI VI. OrbiMed Advisors LLC, or Advisors, pursuant to its authority as the sole managing member of GP VI, the sole general partner of OPI VI, may be deemed to indirectly beneficially own the ordinary shares held by OPI VI. GP VI, pursuant to its authority as general partner or OPI VI, may be deemed to indirectly beneficially own the ordinary shares held by OPI VI. As a result, Advisors and GP VI share the power to direct the vote and to direct the disposition of the ordinary shares held by OPI VI. Advisors exercises this investment and voting power through a management committee comprised of Carl L. Gordon, Sven H. Borho and Jonathan T. Silverstein, each of whom disclaims beneficial ownership of the ordinary shares held by OPI VI. Beneficial ownership information is based on information known to us and a Schedule 13D/A filed with the SEC on January 26, 2018. The mailing address of OPI VI, GP VI and Advisors is 601 Lexington Avenue, 54th Floor, New York, NY 10022.</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60"/>
          </w:cols>
          <w:pgMar w:left="220" w:top="433" w:right="219" w:bottom="1440" w:gutter="0" w:footer="0" w:header="0"/>
        </w:sectPr>
      </w:pPr>
    </w:p>
    <w:bookmarkStart w:id="99" w:name="page100"/>
    <w:bookmarkEnd w:id="99"/>
    <w:p>
      <w:pPr>
        <w:ind w:left="520" w:right="20" w:hanging="514"/>
        <w:spacing w:after="0" w:line="249" w:lineRule="auto"/>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(a) 9,757,393 ordinary shares held directly by Growth Equity Opportunities Fund IV, LLC, or GEO, of which 5,333,328 are held in the form of ADSs, and (c) warrants to purchase 1,769,626 ordinary shares held directly by GEO. New Enterprise Associates 15, L.P., or NEA 15, is the sole member of GEO. NEA Partners 15, L.P., NEA Partners 15, is the sole general partner of NEA 15. NEA 15 GP, LLC, or NEA 15 LLC, is the sole general partner of NEA Partners 15. Peter J. Barris, Forest Baskett, Anthony Florence, Jr., Krishnu Kolluri, David M. Mott, Scott D. Sandell, Peter Sonsini, Jon Sakoda, Ravia Viswanthan and Henry Weller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Beneficial ownership information is based on information known to us and a Form TR-1 provided to us on May 8, 2017. GEO's mailing address is 1954 Greenspring Drive, Suite 600, Timonium, MD 21093-4135.</w:t>
      </w:r>
    </w:p>
    <w:p>
      <w:pPr>
        <w:spacing w:after="0" w:line="204" w:lineRule="exact"/>
        <w:rPr>
          <w:rFonts w:ascii="Arial" w:cs="Arial" w:eastAsia="Arial" w:hAnsi="Arial"/>
          <w:sz w:val="7"/>
          <w:szCs w:val="7"/>
          <w:color w:val="auto"/>
        </w:rPr>
      </w:pPr>
    </w:p>
    <w:p>
      <w:pPr>
        <w:ind w:left="520" w:hanging="514"/>
        <w:spacing w:after="0" w:line="248" w:lineRule="auto"/>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(a) 7,215,544 ordinary shares held directly by Abingworth Bioventures VI, LP, or Abingworth VI, all of which are held in the form of ADSs, and (b) warrants to purchase 1,404,221 ordinary shares held directly by Abingworth VI. Abingworth Bioventures VI GP LP, or Abingworth GP VI, serves as general partner of Abingworth VI. Abingworth General Partner VI LLP, or Abingworth General Partner VI, serves as general partner of Abingworth GP VI. Abingworth General Partner VI has delegated to Abingworth LLP, all investment and dispositive power over the securities held by Abingworth VI. An Abingworth LLP investment committee comprised of Stephen Bunting, Timothy Haines, Kurt von Emster and Genghis Lloyd-Harris approves investment and voting decisions of Abingworth VI by a majority vote, and no individual member has the sole control or voting power over the securities held by Abingworth VI. Abingworth GP VI, Abingworth General Partner VI, Abingworth LLP and each of Stephen Bunting, Timothy Haines, Kurt von Emster and Genghis Lloyd-Harris disclaim beneficial ownership of securities held by Abingworth VI, except to the extent, if any of their pecuniary interest therein. Andrew Sinclair is a Partner and Portfolio Manager at Abingworth LLP and a member of our board of directors. Dr. Sinclair does not have voting or dispositive power over any of the securities held by Abingworth Vl. Beneficial ownership information is based on information known to us and a Form TR-1 provided to us on May 9, 2017. Abingworth VI's mailing address is 38 Jermyn Street, London SW1Y 6DN, United Kingdom.</w:t>
      </w:r>
    </w:p>
    <w:p>
      <w:pPr>
        <w:spacing w:after="0" w:line="204" w:lineRule="exact"/>
        <w:rPr>
          <w:rFonts w:ascii="Arial" w:cs="Arial" w:eastAsia="Arial" w:hAnsi="Arial"/>
          <w:sz w:val="7"/>
          <w:szCs w:val="7"/>
          <w:color w:val="auto"/>
        </w:rPr>
      </w:pPr>
    </w:p>
    <w:p>
      <w:pPr>
        <w:ind w:left="520" w:right="380" w:hanging="514"/>
        <w:spacing w:after="0" w:line="267" w:lineRule="auto"/>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7,000,000 ordinary shares held in the form of ADSs by VenBio Select Advisor. This information is based on information known to us. The mailing address for VenBio Select Advisor is 120 W 45th St #2802, New York, NY 10036</w:t>
      </w:r>
    </w:p>
    <w:p>
      <w:pPr>
        <w:spacing w:after="0" w:line="192" w:lineRule="exact"/>
        <w:rPr>
          <w:rFonts w:ascii="Arial" w:cs="Arial" w:eastAsia="Arial" w:hAnsi="Arial"/>
          <w:sz w:val="7"/>
          <w:szCs w:val="7"/>
          <w:color w:val="auto"/>
        </w:rPr>
      </w:pPr>
    </w:p>
    <w:p>
      <w:pPr>
        <w:ind w:left="520" w:right="200" w:hanging="514"/>
        <w:spacing w:after="0" w:line="256" w:lineRule="auto"/>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5,300,000 ordinary shares of which (a) 4,500,000 ordinary shares are held directly by Polar Biotechnology Fund, or PBF, (b) 800,000 are held by PBF in the form of ADSs, and (c) warrants to purchase 68,819 ordinary shares held directly by PBF. PBF and PCGH are managed by Polar Capital Holdings plc, or PCH. Beneficial ownership information is based on a TR-1 provided to us on September 9, 2019 and information known to us.</w:t>
      </w:r>
    </w:p>
    <w:p>
      <w:pPr>
        <w:spacing w:after="0" w:line="198" w:lineRule="exact"/>
        <w:rPr>
          <w:rFonts w:ascii="Arial" w:cs="Arial" w:eastAsia="Arial" w:hAnsi="Arial"/>
          <w:sz w:val="7"/>
          <w:szCs w:val="7"/>
          <w:color w:val="auto"/>
        </w:rPr>
      </w:pPr>
    </w:p>
    <w:p>
      <w:pPr>
        <w:ind w:left="520" w:right="80" w:hanging="514"/>
        <w:spacing w:after="0" w:line="249" w:lineRule="auto"/>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(a) 4,412,031 ordinary shares held directly by Tekla World Healthcare Fund, or Tekla World, of which 2,200,000 are held in the form of ADSs, (b) warrants to purchase 513,192 ordinary shares held directly by Tekla World, and (c) warrants to purchase 371,622 ordinary shares held directly by Tekla Life. Tekla Capital Management LLC, or Tekla Capital, is an investment adviser registered pursuant to Section 203 of the Investment Advisers Act of 1940 and is the investment adviser of Tekla World and Tekla Life, each of which is a registered investment company pursuant to Section 8 of the Investment Company Act of 1940. Each of Tekla Capital and Daniel R. Omstead, through his control of Tekla Capital, has sole power to dispose of the shares beneficially owned by Tekla World and Tekla Life. Neither Tekla Capital nor Daniel R. Omstead has the sole power to vote or direct the vote of the shares beneficially owned by Tekla World and Tekla Life, which power resides in each fund's Board of Trustees. Tekla Capital carries out the voting of the shares under written guidelines established by each fund's Board of Trustees. Beneficial ownership information is based on information known to us and a Schedule 13G filed with the SEC on February 12, 2019. Tekla Capital's mailing address is 100 Federal Street, 19th Floor, Boston, MA 02110.</w:t>
      </w:r>
    </w:p>
    <w:p>
      <w:pPr>
        <w:spacing w:after="0" w:line="202" w:lineRule="exact"/>
        <w:rPr>
          <w:rFonts w:ascii="Arial" w:cs="Arial" w:eastAsia="Arial" w:hAnsi="Arial"/>
          <w:sz w:val="7"/>
          <w:szCs w:val="7"/>
          <w:color w:val="auto"/>
        </w:rPr>
      </w:pPr>
    </w:p>
    <w:p>
      <w:pPr>
        <w:jc w:val="both"/>
        <w:ind w:left="520" w:right="300" w:hanging="514"/>
        <w:spacing w:after="0" w:line="267" w:lineRule="auto"/>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(a) 3,548,768 ordinary shares held directly by Aisling Capital IV, LP, or Aisling, of which 2,074,080 are held in the form of ADSs, and (b) warrants to purchase 589,875 ordinary shares held directly by Aisling. This information is based on information known to us and a TR-1 provided to us on June 6, 2017. The mailing address of Aisling is Aisling Capital, 888 Seventh Avenue, 12th Floor, New York, NY 10106.</w:t>
      </w:r>
    </w:p>
    <w:p>
      <w:pPr>
        <w:spacing w:after="0" w:line="192" w:lineRule="exact"/>
        <w:rPr>
          <w:rFonts w:ascii="Arial" w:cs="Arial" w:eastAsia="Arial" w:hAnsi="Arial"/>
          <w:sz w:val="7"/>
          <w:szCs w:val="7"/>
          <w:color w:val="auto"/>
        </w:rPr>
      </w:pPr>
    </w:p>
    <w:p>
      <w:pPr>
        <w:ind w:left="520" w:right="60" w:hanging="514"/>
        <w:spacing w:after="0" w:line="267" w:lineRule="auto"/>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(a) 147,009 ordinary shares, (b) 238,420 ordinary shares issuable from restricted stock units that will vest within 60 days of December 31, 2019 and (c) 1,326,933 options to purchase ordinary shares that are, or will be within 60 days of December 31, 2019, immediately exercisable.</w:t>
      </w:r>
    </w:p>
    <w:p>
      <w:pPr>
        <w:spacing w:after="0" w:line="192" w:lineRule="exact"/>
        <w:rPr>
          <w:rFonts w:ascii="Arial" w:cs="Arial" w:eastAsia="Arial" w:hAnsi="Arial"/>
          <w:sz w:val="7"/>
          <w:szCs w:val="7"/>
          <w:color w:val="auto"/>
        </w:rPr>
      </w:pPr>
    </w:p>
    <w:p>
      <w:pPr>
        <w:ind w:left="520" w:hanging="514"/>
        <w:spacing w:after="0"/>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(a) 130,575 ordinary shares and (b) 668,566 options to purchase ordinary shares that are, or will be within 60 days of December 31, 2019, immediately exercisable.</w:t>
      </w:r>
    </w:p>
    <w:p>
      <w:pPr>
        <w:spacing w:after="0" w:line="218" w:lineRule="exact"/>
        <w:rPr>
          <w:rFonts w:ascii="Arial" w:cs="Arial" w:eastAsia="Arial" w:hAnsi="Arial"/>
          <w:sz w:val="7"/>
          <w:szCs w:val="7"/>
          <w:color w:val="auto"/>
        </w:rPr>
      </w:pPr>
    </w:p>
    <w:p>
      <w:pPr>
        <w:ind w:left="520" w:hanging="514"/>
        <w:spacing w:after="0"/>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(a) 395,387 ordinary shares and (b) warrants to purchase 4,916 ordinary shares.</w:t>
      </w:r>
    </w:p>
    <w:p>
      <w:pPr>
        <w:spacing w:after="0" w:line="218" w:lineRule="exact"/>
        <w:rPr>
          <w:rFonts w:ascii="Arial" w:cs="Arial" w:eastAsia="Arial" w:hAnsi="Arial"/>
          <w:sz w:val="7"/>
          <w:szCs w:val="7"/>
          <w:color w:val="auto"/>
        </w:rPr>
      </w:pPr>
    </w:p>
    <w:p>
      <w:pPr>
        <w:ind w:left="520" w:hanging="514"/>
        <w:spacing w:after="0"/>
        <w:tabs>
          <w:tab w:leader="none" w:pos="520" w:val="left"/>
        </w:tabs>
        <w:numPr>
          <w:ilvl w:val="0"/>
          <w:numId w:val="52"/>
        </w:numPr>
        <w:rPr>
          <w:rFonts w:ascii="Arial" w:cs="Arial" w:eastAsia="Arial" w:hAnsi="Arial"/>
          <w:sz w:val="7"/>
          <w:szCs w:val="7"/>
          <w:color w:val="auto"/>
        </w:rPr>
      </w:pPr>
      <w:r>
        <w:rPr>
          <w:rFonts w:ascii="Arial" w:cs="Arial" w:eastAsia="Arial" w:hAnsi="Arial"/>
          <w:sz w:val="11"/>
          <w:szCs w:val="11"/>
          <w:color w:val="auto"/>
        </w:rPr>
        <w:t>Consists of (a) 22,222 ordinary shares and (b) options to purchase 80,256 ordinary shares that are or will be immediately exercisable withint 60 days of December 31, 2019.</w:t>
      </w:r>
    </w:p>
    <w:p>
      <w:pPr>
        <w:spacing w:after="0" w:line="279" w:lineRule="exact"/>
        <w:rPr>
          <w:sz w:val="20"/>
          <w:szCs w:val="20"/>
          <w:color w:val="auto"/>
        </w:rPr>
      </w:pPr>
    </w:p>
    <w:p>
      <w:pPr>
        <w:ind w:right="640"/>
        <w:spacing w:after="0" w:line="273" w:lineRule="auto"/>
        <w:rPr>
          <w:sz w:val="20"/>
          <w:szCs w:val="20"/>
          <w:color w:val="auto"/>
        </w:rPr>
      </w:pPr>
      <w:r>
        <w:rPr>
          <w:rFonts w:ascii="Arial" w:cs="Arial" w:eastAsia="Arial" w:hAnsi="Arial"/>
          <w:sz w:val="14"/>
          <w:szCs w:val="14"/>
          <w:color w:val="auto"/>
        </w:rPr>
        <w:t>To our knowledge, other than as provided in the table above, our other filings with the SEC and this Annual Report, there has been no significant change in the percentage ownership held by any major shareholder since January 1, 2017.</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major shareholders listed above do not have voting rights with respect to their ordinary shares that are different from the voting rights of other holders of our ordinary shares.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Related Party Transactions.</w:t>
      </w:r>
    </w:p>
    <w:p>
      <w:pPr>
        <w:spacing w:after="0" w:line="148"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The following is a description of related party transactions we have entered into since January 1, 2019 or currently in effect with any member of our board of directors and executive officers.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60"/>
          </w:cols>
          <w:pgMar w:left="220" w:top="423" w:right="2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color w:val="auto"/>
        </w:rPr>
        <w:t>Registration Rights Agreement</w:t>
      </w:r>
    </w:p>
    <w:p>
      <w:pPr>
        <w:spacing w:after="0" w:line="2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In July 2016, we entered into a registration rights agreement that provides certain demand registration rights to Abingworth Bioventures VI, LP, or Abingworth, Growth Equity Opportunities Fund IV, LLC, OrbiMed Private Investments VI, LP, or OrbiMed, and Vivo Ventures Fund VII, L.P., Vivo Ventures VII Affiliates Fund, L.P., Vivo Ventures Fund VI, L.P., and Vivo Ventures Fund VI Affiliates Fund, L.P., or collectively, Vivo Capital, with respect to the ordinary shares and any ADSs held by them.</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Demand Registration Rights</w:t>
      </w:r>
    </w:p>
    <w:p>
      <w:pPr>
        <w:spacing w:after="0" w:line="2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At any time, the holders of at least a majority of the registrable securities as defined in the registration rights agreement have the right to demand that we effect an underwritten public offering of their registrable securities pursuant to an effective registration statement under the Securities Act. These registration rights are subject to specified conditions and limitations including the right of the underwriters, if any, to limit the number of shares included in any such registration under specified circumstances. Upon such a request, we are required to use commercially reasonable efforts to effect the public offering.</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 of Registration</w:t>
      </w:r>
    </w:p>
    <w:p>
      <w:pPr>
        <w:spacing w:after="0" w:line="29"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We will pay all expenses relating to any registration under the registration rights agreement, other than selling commission, discounts or brokerage fees and stock transfer taxes, subject to specified conditions and limitations.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 of Registration Rights</w:t>
      </w:r>
    </w:p>
    <w:p>
      <w:pPr>
        <w:spacing w:after="0" w:line="29"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color w:val="auto"/>
        </w:rPr>
        <w:t>The registration rights granted under the registration rights agreement shall terminate upon the earlier to occur of (i) the fifth anniversary of the closing of the global offering and (ii) the date on which there are no registrable securities remaining pursuant to the registration rights agreement.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Relationship Agreements</w:t>
      </w:r>
    </w:p>
    <w:p>
      <w:pPr>
        <w:spacing w:after="0" w:line="2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In June 2016, we entered into relationship agreements with each of Vivo Capital, OrbiMed, and Abingworth, pursuant to which our relationship with such parties is regulated and their influence over our corporate actions and activities, and the outcome of general matters pertaining to us, are limited. Pursuant to the relationship agreements, we also agreed to appoint representatives designated by Vivo Capital, OrbiMed, and Abingworth to our board of directors, who are Dr. Mahendra Shah, Mr. Rishi Gupta, and Dr. Andrew Sinclair, respectively. The appointment rights under the relationship agreements will automatically terminate upon (i) Vivo Capital, OrbiMed or Abingworth (or any of their associates), as applicable, ceasing to beneficially hold 6.5% of our issued ordinary shares, or (ii) our ordinary shares ceasing to be admitted to AIM. In addition, each of the relationship agreements will automatically terminate upon the first date which Vivo Capital, OrbiMed, or Abingworth, as applicable, cease to have certain rights and obligations under the relationship agreements.</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29"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Agreements with Our Executive Officers and Directors</w:t>
      </w:r>
    </w:p>
    <w:p>
      <w:pPr>
        <w:spacing w:after="0" w:line="29" w:lineRule="exact"/>
        <w:rPr>
          <w:sz w:val="20"/>
          <w:szCs w:val="20"/>
          <w:color w:val="auto"/>
        </w:rPr>
      </w:pPr>
    </w:p>
    <w:p>
      <w:pPr>
        <w:ind w:right="280"/>
        <w:spacing w:after="0" w:line="172" w:lineRule="exact"/>
        <w:rPr>
          <w:sz w:val="20"/>
          <w:szCs w:val="20"/>
          <w:color w:val="auto"/>
        </w:rPr>
      </w:pPr>
      <w:r>
        <w:rPr>
          <w:rFonts w:ascii="Arial" w:cs="Arial" w:eastAsia="Arial" w:hAnsi="Arial"/>
          <w:sz w:val="14"/>
          <w:szCs w:val="14"/>
          <w:color w:val="auto"/>
        </w:rPr>
        <w:t>We have entered into employment agreements with certain of our executive officers and service agreements with our non</w:t>
      </w:r>
      <w:r>
        <w:rPr>
          <w:rFonts w:ascii="MS PGothic" w:cs="MS PGothic" w:eastAsia="MS PGothic" w:hAnsi="MS PGothic"/>
          <w:sz w:val="14"/>
          <w:szCs w:val="14"/>
          <w:color w:val="auto"/>
        </w:rPr>
        <w:t>‑</w:t>
      </w:r>
      <w:r>
        <w:rPr>
          <w:rFonts w:ascii="Arial" w:cs="Arial" w:eastAsia="Arial" w:hAnsi="Arial"/>
          <w:sz w:val="14"/>
          <w:szCs w:val="14"/>
          <w:color w:val="auto"/>
        </w:rPr>
        <w:t>employee directors. See Item 6.B. Compensation and Note 8 of our Annual Consolidated Financial Statements included elsewhere in this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Transactions</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At December 31, 2019, there was a receivable of £nil (2018: £126 thousand) due from one director and two key management personnel relating to tax due on RSUs that vested in the year ended December 31, 2018. This receivable was repaid, together with interest at a rate of 3.9% per annum, by March 6, 2019. The Company notes that the transaction that generated this receivable was potentially a breach of Section 402 of the Sarbanes-Oxley Act of 2002. See Item 3.D. Risk Factors-Risks Related to Our ADSs and Ordinary Shares. We may have inadvertently violated Section 13(k) of the Exchange Act (implementing Section 402 of the Sarbanes-Oxley Act of 2002) and may be subject to sanctions as a result.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In the year ended December 31, 2019, a director provided consultancy services for £26 thousand (2018: £26 thousand).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Interests of Experts and Counsel</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40"/>
          </w:cols>
          <w:pgMar w:left="220" w:top="293" w:right="2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ITEM 8: FINANCIAL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Consolidated Statements and Other Financial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Our consolidated financial statements are appended at the end of this Annual Report, starting at page F-1,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We are not subject to any material legal proceedings.</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Distribution Policy</w:t>
      </w:r>
    </w:p>
    <w:p>
      <w:pPr>
        <w:spacing w:after="0" w:line="116"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Significant Changes.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significant changes since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THE OFFER AND THE LISTING</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Offer and Listing Details.</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Our Ordinary Shares are listed on AIM, a market of the London Stock Exchange, under the symbol “VRP”, and our ADSs are listed on The Nasdaq Global Market under the symbol “VRNA”.</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Plan of Distribution.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Markets.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Our Ordinary Shares are listed on AIM, a market of the London Stock Exchange, and our ADSs are listed on The Nasdaq Global Market.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Selling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80" w:lineRule="exact"/>
        <w:rPr>
          <w:sz w:val="20"/>
          <w:szCs w:val="20"/>
          <w:color w:val="auto"/>
        </w:rPr>
      </w:pPr>
    </w:p>
    <w:p>
      <w:pPr>
        <w:ind w:right="10440" w:firstLine="6"/>
        <w:spacing w:after="0" w:line="385" w:lineRule="auto"/>
        <w:tabs>
          <w:tab w:leader="none" w:pos="176"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Dilution. </w:t>
      </w:r>
      <w:r>
        <w:rPr>
          <w:rFonts w:ascii="Arial" w:cs="Arial" w:eastAsia="Arial" w:hAnsi="Arial"/>
          <w:sz w:val="14"/>
          <w:szCs w:val="14"/>
          <w:color w:val="auto"/>
        </w:rPr>
        <w:t>Not applicable.</w:t>
      </w:r>
    </w:p>
    <w:p>
      <w:pPr>
        <w:ind w:right="9700" w:firstLine="6"/>
        <w:spacing w:after="0" w:line="428" w:lineRule="auto"/>
        <w:tabs>
          <w:tab w:leader="none" w:pos="152"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Expenses of the Issue. </w:t>
      </w:r>
      <w:r>
        <w:rPr>
          <w:rFonts w:ascii="Arial" w:cs="Arial" w:eastAsia="Arial" w:hAnsi="Arial"/>
          <w:sz w:val="14"/>
          <w:szCs w:val="14"/>
          <w:color w:val="auto"/>
        </w:rPr>
        <w:t>Not applicable.</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00"/>
          </w:cols>
          <w:pgMar w:left="220" w:top="379" w:right="27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ITEM 10: ADDITIONAL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Share Capital.</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Memorandum and Articles of Association.</w:t>
      </w:r>
    </w:p>
    <w:p>
      <w:pPr>
        <w:spacing w:after="0" w:line="202"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A copy of our Articles of Association is attached as Exhibit 1.1 to this Annual Report. The information called for by this Item is set forth in Exhibit 2.5 to this Annual Report and is incorporated by reference into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Material Contracts.</w:t>
      </w:r>
    </w:p>
    <w:p>
      <w:pPr>
        <w:spacing w:after="0" w:line="116"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In addition to the contracts described elsewhere in this Annual Report, the following are summaries of each material contract, other than material contracts entered into in the ordinary course of business, to which we are a party for the two years preceding the date of this Annual Report.</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w:t>
      </w:r>
    </w:p>
    <w:p>
      <w:pPr>
        <w:spacing w:after="0" w:line="116"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principal office is located at 3 More London Riverside, London SE1 2RE, United Kingdom, where we lease office space. We also lease office space in New York , New York. The office space in these two locations is held under four leases that terminate in 2020 and 2021. We pay £0.5 million per year under these leases. We intend to add new facilities as we add employees, and we believe that suitable additional or substitute space will be available as needed to accommodate any such expansion of our operations.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Exchange Controls.</w:t>
      </w:r>
    </w:p>
    <w:p>
      <w:pPr>
        <w:spacing w:after="0" w:line="202" w:lineRule="exact"/>
        <w:rPr>
          <w:sz w:val="20"/>
          <w:szCs w:val="20"/>
          <w:color w:val="auto"/>
        </w:rPr>
      </w:pPr>
    </w:p>
    <w:p>
      <w:pPr>
        <w:jc w:val="both"/>
        <w:spacing w:after="0" w:line="172" w:lineRule="exact"/>
        <w:rPr>
          <w:sz w:val="20"/>
          <w:szCs w:val="20"/>
          <w:color w:val="auto"/>
        </w:rPr>
      </w:pPr>
      <w:r>
        <w:rPr>
          <w:rFonts w:ascii="Arial" w:cs="Arial" w:eastAsia="Arial" w:hAnsi="Arial"/>
          <w:sz w:val="14"/>
          <w:szCs w:val="14"/>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w:t>
      </w:r>
      <w:r>
        <w:rPr>
          <w:rFonts w:ascii="MS PGothic" w:cs="MS PGothic" w:eastAsia="MS PGothic" w:hAnsi="MS PGothic"/>
          <w:sz w:val="14"/>
          <w:szCs w:val="14"/>
          <w:color w:val="auto"/>
        </w:rPr>
        <w:t>‑</w:t>
      </w:r>
      <w:r>
        <w:rPr>
          <w:rFonts w:ascii="Arial" w:cs="Arial" w:eastAsia="Arial" w:hAnsi="Arial"/>
          <w:sz w:val="14"/>
          <w:szCs w:val="14"/>
          <w:color w:val="auto"/>
        </w:rPr>
        <w:t>resident holders of our ordinary shares or ADSs, other than withholding tax requirements. There is no limitation imposed by English law or in our Articles of Association on the right of non</w:t>
      </w:r>
      <w:r>
        <w:rPr>
          <w:rFonts w:ascii="MS PGothic" w:cs="MS PGothic" w:eastAsia="MS PGothic" w:hAnsi="MS PGothic"/>
          <w:sz w:val="14"/>
          <w:szCs w:val="14"/>
          <w:color w:val="auto"/>
        </w:rPr>
        <w:t>‑</w:t>
      </w:r>
      <w:r>
        <w:rPr>
          <w:rFonts w:ascii="Arial" w:cs="Arial" w:eastAsia="Arial" w:hAnsi="Arial"/>
          <w:sz w:val="14"/>
          <w:szCs w:val="14"/>
          <w:color w:val="auto"/>
        </w:rPr>
        <w:t>residents to hold or vote shares.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Taxation</w:t>
      </w:r>
    </w:p>
    <w:p>
      <w:pPr>
        <w:spacing w:after="0" w:line="116"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The following is a description of certain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267" w:lineRule="exact"/>
        <w:rPr>
          <w:sz w:val="20"/>
          <w:szCs w:val="20"/>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banks, insurance companies, and certain other financial institutions;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U.S. expatriates and certain former citizens or long-term residents of the United States;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dealers or traders in securities who use a mark-to-market method of tax accounting;</w:t>
      </w:r>
    </w:p>
    <w:p>
      <w:pPr>
        <w:spacing w:after="0" w:line="119" w:lineRule="exact"/>
        <w:rPr>
          <w:rFonts w:ascii="Arial" w:cs="Arial" w:eastAsia="Arial" w:hAnsi="Arial"/>
          <w:sz w:val="14"/>
          <w:szCs w:val="14"/>
          <w:color w:val="auto"/>
        </w:rPr>
      </w:pPr>
    </w:p>
    <w:p>
      <w:pPr>
        <w:ind w:left="520" w:right="120" w:hanging="255"/>
        <w:spacing w:after="0" w:line="273"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persons holding our ordinary shares or ADSs as part of a hedging transaction, "straddle," wash sale, conversion transaction or integrated transaction or persons entering into a constructive sale with respect to ordinary shares or ADSs;</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persons whose "functional currency" for U.S. federal income tax purposes is not the U.S. dollar;</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brokers, dealers or traders in securities, commodities or currencies;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tax-exempt entities or government organizations;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 corporations, partnerships, or other entities or arrangements classified as partnerships for U.S. federal income tax purposes;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regulated investment companies or real estate investment trusts;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persons who acquired our ordinary shares or ADSs pursuant to the exercise of any employee stock option or otherwise as compensation;</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360"/>
          </w:cols>
          <w:pgMar w:left="220" w:top="379" w:right="319" w:bottom="1440" w:gutter="0" w:footer="0" w:header="0"/>
        </w:sectPr>
      </w:pPr>
    </w:p>
    <w:bookmarkStart w:id="103" w:name="page104"/>
    <w:bookmarkEnd w:id="103"/>
    <w:p>
      <w:pPr>
        <w:ind w:left="520" w:right="240" w:hanging="255"/>
        <w:spacing w:after="0" w:line="385"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ordinary shares or ADSs being taken into account in an applicable financial statement;</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persons that own or are deemed to own ten percent or more of our ordinary shares by vote or value; and</w:t>
      </w:r>
    </w:p>
    <w:p>
      <w:pPr>
        <w:spacing w:after="0" w:line="119" w:lineRule="exact"/>
        <w:rPr>
          <w:sz w:val="20"/>
          <w:szCs w:val="20"/>
          <w:color w:val="auto"/>
        </w:rPr>
      </w:pPr>
    </w:p>
    <w:p>
      <w:pPr>
        <w:ind w:left="520" w:hanging="255"/>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persons holding our ordinary shares or ADSs in connection with a trade or business, permanent establishment, or fixed base outside the United States.</w:t>
      </w:r>
    </w:p>
    <w:p>
      <w:pPr>
        <w:spacing w:after="0" w:line="119" w:lineRule="exact"/>
        <w:rPr>
          <w:sz w:val="20"/>
          <w:szCs w:val="20"/>
          <w:color w:val="auto"/>
        </w:rPr>
      </w:pPr>
    </w:p>
    <w:p>
      <w:pPr>
        <w:ind w:right="560"/>
        <w:spacing w:after="0" w:line="265" w:lineRule="auto"/>
        <w:rPr>
          <w:sz w:val="20"/>
          <w:szCs w:val="20"/>
          <w:color w:val="auto"/>
        </w:rPr>
      </w:pPr>
      <w:r>
        <w:rPr>
          <w:rFonts w:ascii="Arial" w:cs="Arial" w:eastAsia="Arial" w:hAnsi="Arial"/>
          <w:sz w:val="14"/>
          <w:szCs w:val="14"/>
          <w:color w:val="auto"/>
        </w:rPr>
        <w:t>If an entity that is classified as a partnership for U.S. federal income tax purposes holds our ordinary shares or ADSs, the U.S. federal income tax treatment of a partner will generally depend on the status of the partner and the activities of the partnership. Partnerships holding our ordinary shares or ADSs and partners in such partnerships are encouraged to consult their tax advisers as to the particular U.S. federal income tax consequences of holding and disposing of our ordinary shares or ADSs.</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discussion is based on the Internal Revenue Code of 1986, as amended (the "Code"), administrative pronouncements, judicial decisions, final, temporary and proposed Treasury Regulations, and the income tax treaty between the United Kingdom and the United States (the "Treaty") all as of the date hereof, changes to any of which may affect the tax consequences described herein — possibly with retroactive effect.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A "U.S. Holder" is a holder who, for U.S. federal income tax purposes, is a beneficial owner of our ordinary shares or ADSs who is eligible for the benefits of the Treaty and is:</w:t>
      </w:r>
    </w:p>
    <w:p>
      <w:pPr>
        <w:spacing w:after="0" w:line="119" w:lineRule="exact"/>
        <w:rPr>
          <w:sz w:val="20"/>
          <w:szCs w:val="20"/>
          <w:color w:val="auto"/>
        </w:rPr>
      </w:pPr>
    </w:p>
    <w:p>
      <w:pPr>
        <w:ind w:left="700" w:hanging="694"/>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11" w:lineRule="exact"/>
        <w:rPr>
          <w:rFonts w:ascii="Arial" w:cs="Arial" w:eastAsia="Arial" w:hAnsi="Arial"/>
          <w:sz w:val="14"/>
          <w:szCs w:val="14"/>
          <w:color w:val="auto"/>
        </w:rPr>
      </w:pPr>
    </w:p>
    <w:p>
      <w:pPr>
        <w:ind w:left="520" w:hanging="514"/>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 corporation, or other entity taxable as a corporation, created or organized in or under the laws of the United States, any state therein or the District of Columbia; or</w:t>
      </w:r>
    </w:p>
    <w:p>
      <w:pPr>
        <w:spacing w:after="0" w:line="11" w:lineRule="exact"/>
        <w:rPr>
          <w:rFonts w:ascii="Arial" w:cs="Arial" w:eastAsia="Arial" w:hAnsi="Arial"/>
          <w:sz w:val="14"/>
          <w:szCs w:val="14"/>
          <w:color w:val="auto"/>
        </w:rPr>
      </w:pPr>
    </w:p>
    <w:p>
      <w:pPr>
        <w:ind w:left="700" w:hanging="694"/>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estate or trust the income of which is subject to U.S. federal income taxation regardless of its source.</w:t>
      </w:r>
    </w:p>
    <w:p>
      <w:pPr>
        <w:spacing w:after="0" w:line="119"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U.S. Holders are encouraged to consult their tax advisers concerning the U.S. federal, state, local and foreign tax consequences of owning and disposing of our ordinary shares or ADSs in their particular circumstances.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discussion below assumes that the representations contained in the deposit agreement with respect to our ADSs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our ADSs and our company if as a result of such actions the holders of our ADSs are not properly treated as beneficial owners of the underlying ordinary shares.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Passive Foreign Investment Company ("PFIC") Rules</w:t>
      </w:r>
    </w:p>
    <w:p>
      <w:pPr>
        <w:spacing w:after="0" w:line="243" w:lineRule="exact"/>
        <w:rPr>
          <w:sz w:val="20"/>
          <w:szCs w:val="20"/>
          <w:color w:val="auto"/>
        </w:rPr>
      </w:pPr>
    </w:p>
    <w:p>
      <w:pPr>
        <w:jc w:val="both"/>
        <w:ind w:right="280"/>
        <w:spacing w:after="0" w:line="265" w:lineRule="auto"/>
        <w:rPr>
          <w:sz w:val="20"/>
          <w:szCs w:val="20"/>
          <w:color w:val="auto"/>
        </w:rPr>
      </w:pPr>
      <w:r>
        <w:rPr>
          <w:rFonts w:ascii="Arial" w:cs="Arial" w:eastAsia="Arial" w:hAnsi="Arial"/>
          <w:sz w:val="14"/>
          <w:szCs w:val="14"/>
          <w:color w:val="auto"/>
        </w:rPr>
        <w:t>Because we did not earn revenue from our business operations during the year ended December 31, 2019, and because our sole source of income currently is interest on bank accounts held by us, we believe we will likely be classified as a PFIC for the taxable year ended December 31, 2019. A non-U.S. corporation will be classified as a PFIC for any taxable year in which, after applying certain look-through rules, either:</w:t>
      </w:r>
    </w:p>
    <w:p>
      <w:pPr>
        <w:spacing w:after="0" w:line="200" w:lineRule="exact"/>
        <w:rPr>
          <w:sz w:val="20"/>
          <w:szCs w:val="20"/>
          <w:color w:val="auto"/>
        </w:rPr>
      </w:pPr>
    </w:p>
    <w:p>
      <w:pPr>
        <w:ind w:left="520" w:hanging="255"/>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at least 75% of its gross income is passive income (such as interest income); or</w:t>
      </w:r>
    </w:p>
    <w:p>
      <w:pPr>
        <w:spacing w:after="0" w:line="119" w:lineRule="exact"/>
        <w:rPr>
          <w:rFonts w:ascii="Arial" w:cs="Arial" w:eastAsia="Arial" w:hAnsi="Arial"/>
          <w:sz w:val="14"/>
          <w:szCs w:val="14"/>
          <w:color w:val="auto"/>
        </w:rPr>
      </w:pPr>
    </w:p>
    <w:p>
      <w:pPr>
        <w:ind w:left="520" w:right="400" w:hanging="255"/>
        <w:spacing w:after="0" w:line="273"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at least 50% of its gross assets (determined on the basis of a quarterly average) is attributable to assets that produce passive income or are held for the production of passive income.</w:t>
      </w:r>
    </w:p>
    <w:p>
      <w:pPr>
        <w:spacing w:after="0" w:line="86"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We will be treated as owning our proportionate share of the assets and earning our proportionate share of the income of any other corporation, the equity of which we own, directly or indirectly, 25% or more (by value).</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our ordinary shares or ADSs, which may fluctuate considerably. Fluctuations in the market price of our ordinary shares or ADSs may result in our being a PFIC for any taxable year.</w:t>
      </w:r>
    </w:p>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tests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40"/>
          </w:cols>
          <w:pgMar w:left="220" w:top="354" w:right="239" w:bottom="1440" w:gutter="0" w:footer="0" w:header="0"/>
        </w:sectPr>
      </w:pPr>
    </w:p>
    <w:bookmarkStart w:id="104" w:name="page105"/>
    <w:bookmarkEnd w:id="104"/>
    <w:p>
      <w:pPr>
        <w:spacing w:after="0" w:line="260" w:lineRule="auto"/>
        <w:rPr>
          <w:sz w:val="20"/>
          <w:szCs w:val="20"/>
          <w:color w:val="auto"/>
        </w:rPr>
      </w:pPr>
      <w:r>
        <w:rPr>
          <w:rFonts w:ascii="Arial" w:cs="Arial" w:eastAsia="Arial" w:hAnsi="Arial"/>
          <w:sz w:val="14"/>
          <w:szCs w:val="14"/>
          <w:color w:val="auto"/>
        </w:rPr>
        <w:t>described above unless (1) we cease to be a PFIC and the U.S. Holder has made a "deemed sale" election under the PFIC rules, or (2) the U.S. Holder makes a QEF Election (defined below) with respect to taxable years in which we are a PFIC. If such election is made, the U.S. Holder will be deemed to have sold our ordinary shares or ADSs it holds at their fair market value and any gain from such deemed sale would be subject to the rules described below. After the deemed sale election, so long as we do not become a PFIC in a subsequent taxable year, the ordinary shares or ADSs with respect to which such election was made will not be treated as shares in a PFIC and the U.S. Holder will not be subject to the rules described below with respect to any "excess distribution" it receives from us or any gain from an actual sale or other disposition of our ordinary shares or ADSs. U.S. Holders should consult their tax advisors as to the possibility and consequences of making a deemed sale election if we cease to be a PFIC and such election becomes available.</w:t>
      </w:r>
    </w:p>
    <w:p>
      <w:pPr>
        <w:spacing w:after="0" w:line="20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For each taxable year we are treated as a PFIC with respect to a U.S. Holder, such holder will be subject to special tax rules with respect to any "excess distribution" it receives and any gain it recognizes from a sale or other disposition (including a pledge) of our ordinary shares or ADSs, unless such holder makes a QEF Election or a mark-to-market election as discussed below. Distributions that a U.S. Holder receives in a taxable year that are greater than 125% of the average annual distributions received during the shorter of the three preceding taxable years or such holder's holding period for out ordinary shares or ADSs will be treated as an excess distribution. Under these special tax rules:</w:t>
      </w:r>
    </w:p>
    <w:p>
      <w:pPr>
        <w:spacing w:after="0" w:line="202" w:lineRule="exact"/>
        <w:rPr>
          <w:sz w:val="20"/>
          <w:szCs w:val="20"/>
          <w:color w:val="auto"/>
        </w:rPr>
      </w:pPr>
    </w:p>
    <w:p>
      <w:pPr>
        <w:ind w:left="520" w:hanging="255"/>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excess distribution or gain will be allocated ratably over such holder's holding period for our ordinary shares or ADSs;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allocated to the current taxable year, and any taxable year prior to the first taxable year in which we became a PFIC, will be treated as ordinary income; and</w:t>
      </w:r>
    </w:p>
    <w:p>
      <w:pPr>
        <w:spacing w:after="0" w:line="119" w:lineRule="exact"/>
        <w:rPr>
          <w:rFonts w:ascii="Arial" w:cs="Arial" w:eastAsia="Arial" w:hAnsi="Arial"/>
          <w:sz w:val="14"/>
          <w:szCs w:val="14"/>
          <w:color w:val="auto"/>
        </w:rPr>
      </w:pPr>
    </w:p>
    <w:p>
      <w:pPr>
        <w:ind w:left="520" w:right="40" w:hanging="255"/>
        <w:spacing w:after="0" w:line="273"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86"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The tax liability for amounts allocated to years prior to the year of disposition or "excess distribution" cannot be offset by any net operating losses for such years, and gains (but not losses) realized on the sale of our ordinary shares or ADSs cannot be treated as capital, even if the U.S. Holder holds our ordinary shares or ADSs as capital assets.</w:t>
      </w:r>
    </w:p>
    <w:p>
      <w:pPr>
        <w:spacing w:after="0" w:line="194"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U.S. Holders can avoid the interest charge on excess distributions or gain relating to our ordinary shares or ADSs by making a mark-to-market election with respect to our ordinary shares or ADSs, provided that our ordinary shares or ADSs are "marketable." Our ordinary shares or ADSs will be marketable if they are "regularly traded" on certain U.S. stock exchanges or on a foreign stock exchange that meets certain conditions. For these purposes, our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are listed on the Nasdaq Global Market and our ordinary shares are traded on AIM, a market of the London Stock Exchange, each of, which is a qualified exchange for these purposes. Consequently, if our ADSs remain listed on the Nasdaq Global Market or our ordinary shares remain listed on AIM and, in each case, are regularly traded, and you are a holder of ADSs, we expect the mark-to-market election would be available to U.S. Holders of such ordinary shares or ADSs if we are a PFIC (which we believe likely for the current year). Each U.S. Holder should consult its tax advisor as to whether a mark-to-market election is available or advisable with respect to our ordinary shares or ADSs.</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A U.S. Holder that makes a mark-to-market election must include in ordinary income for each year an amount equal to the excess, if any, of the fair market value of our ordinary shares or ADSs at the close of the taxable year over the U.S. Holder's adjusted tax basis in our ordinary shares or ADSs. An electing holder may also claim an ordinary loss deduction for the excess, if any, of the U.S. Holder's adjusted basis in our ordinary shares or ADSs over the fair market value of our ordinary shares or ADSs at the close of the taxable year, but this deduction is allowable only to the extent of any net mark-to-market gains for prior years. Gains from an actual sale or other disposition of our ordinary shares or ADSs will be treated as ordinary income, and any losses incurred on a sale or other disposition of our ordinary shares or ADSs will be treated as an ordinary loss to the extent of any net mark-to-market gains for prior years. Once made, the election cannot be revoked without the consent of the U.S. Internal Revenue Service (the "IRS"), unless our ordinary shares or ADSs cease to be marketable.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40"/>
          </w:cols>
          <w:pgMar w:left="220" w:top="419" w:right="239" w:bottom="1440" w:gutter="0" w:footer="0" w:header="0"/>
        </w:sectPr>
      </w:pPr>
    </w:p>
    <w:bookmarkStart w:id="105" w:name="page106"/>
    <w:bookmarkEnd w:id="105"/>
    <w:p>
      <w:pPr>
        <w:ind w:right="480"/>
        <w:spacing w:after="0" w:line="273" w:lineRule="auto"/>
        <w:rPr>
          <w:sz w:val="20"/>
          <w:szCs w:val="20"/>
          <w:color w:val="auto"/>
        </w:rPr>
      </w:pPr>
      <w:r>
        <w:rPr>
          <w:rFonts w:ascii="Arial" w:cs="Arial" w:eastAsia="Arial" w:hAnsi="Arial"/>
          <w:sz w:val="14"/>
          <w:szCs w:val="14"/>
          <w:color w:val="auto"/>
        </w:rPr>
        <w:t>However, a mark-to-market election generally cannot be made for equity interests in any lower-tier PFICs that we own, unless shares of such lower-tier PFIC are themselves "marketable." We believe that</w:t>
      </w:r>
    </w:p>
    <w:p>
      <w:pPr>
        <w:spacing w:after="0" w:line="194"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Rhinopharma Limited will likely be treated as a lower-tier PFIC.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202" w:lineRule="exact"/>
        <w:rPr>
          <w:sz w:val="20"/>
          <w:szCs w:val="20"/>
          <w:color w:val="auto"/>
        </w:rPr>
      </w:pPr>
    </w:p>
    <w:p>
      <w:pPr>
        <w:jc w:val="both"/>
        <w:ind w:right="40"/>
        <w:spacing w:after="0" w:line="261" w:lineRule="auto"/>
        <w:rPr>
          <w:sz w:val="20"/>
          <w:szCs w:val="20"/>
          <w:color w:val="auto"/>
        </w:rPr>
      </w:pPr>
      <w:r>
        <w:rPr>
          <w:rFonts w:ascii="Arial" w:cs="Arial" w:eastAsia="Arial" w:hAnsi="Arial"/>
          <w:sz w:val="14"/>
          <w:szCs w:val="14"/>
          <w:color w:val="auto"/>
        </w:rPr>
        <w:t>Alternatively, a U.S. Holder can make an election, if we provide the necessary information, to treat us and each lower-tier PFIC as a qualified electing fund (a "QEF Election") in the first taxable year we (and our relevant subsidiaries) are treated as a PFIC with respect to the holder. If such election remains in place while we and any lower-tier PFIC subsidiaries are PFICs, we and our subsidiaries will not be treated as PFICs with respect to such U.S. Holder when we cease to be a PFIC. A U.S. Holder must make the QEF Election for each PFIC by attaching a separate properly completed IRS Form 8621 for each PFIC to the holder's timely filed U.S. federal income tax return. We will provide the information necessary for a U.S. Holder to make a QEF Election with respect to us and will cause each lower-tier PFIC which we control to provide such information with respect to such lower-tier PFIC.</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our ordinary shares or ADSs by an amount equal to any income included under the QEF Election and will decrease its tax basis by any amount distributed on our ordinary shares or ADSs that is not included in the holder's income. In addition, a U.S. Holder will recognize capital gain or loss on the disposition of our ordinary shares or ADSs in an amount equal to the difference between the amount realized and the holder's adjusted tax basis in our ordinary shares or ADSs. U.S. Holders should note that if they make QEF Elections with respect to us and lower-tier PFICs, they may be required to pay U.S. federal income tax with respect to our ordinary shares or ADSs for any taxable year significantly in excess of any cash distributions received on our ordinary shares or ADSs for such taxable year. U.S. Holders should consult their tax advisors regarding making QEF Elections in their particular circumstances.</w:t>
      </w:r>
    </w:p>
    <w:p>
      <w:pPr>
        <w:spacing w:after="0" w:line="204" w:lineRule="exact"/>
        <w:rPr>
          <w:sz w:val="20"/>
          <w:szCs w:val="20"/>
          <w:color w:val="auto"/>
        </w:rPr>
      </w:pPr>
    </w:p>
    <w:p>
      <w:pPr>
        <w:ind w:right="200"/>
        <w:spacing w:after="0" w:line="261" w:lineRule="auto"/>
        <w:rPr>
          <w:sz w:val="20"/>
          <w:szCs w:val="20"/>
          <w:color w:val="auto"/>
        </w:rPr>
      </w:pPr>
      <w:r>
        <w:rPr>
          <w:rFonts w:ascii="Arial" w:cs="Arial" w:eastAsia="Arial" w:hAnsi="Arial"/>
          <w:sz w:val="14"/>
          <w:szCs w:val="14"/>
          <w:color w:val="auto"/>
        </w:rPr>
        <w:t>Unless otherwise provided by the U.S. Treasury, each U.S. 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of Distributions</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 xml:space="preserve">Subject to the discussion above under "Passive Foreign Investment Company ("PFIC") Rules," distributions paid on our ordinary shares or ADSs, other than certain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may not apply if we are treated as a PFIC with respect to the U.S. Holder. The amount of a dividend will include any amounts withheld by us in respect of United Kingdom 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40"/>
          </w:cols>
          <w:pgMar w:left="220" w:top="419" w:right="239" w:bottom="1440" w:gutter="0" w:footer="0" w:header="0"/>
        </w:sectPr>
      </w:pPr>
    </w:p>
    <w:bookmarkStart w:id="106" w:name="page107"/>
    <w:bookmarkEnd w:id="106"/>
    <w:p>
      <w:pPr>
        <w:ind w:right="140"/>
        <w:spacing w:after="0" w:line="273" w:lineRule="auto"/>
        <w:rPr>
          <w:sz w:val="20"/>
          <w:szCs w:val="20"/>
          <w:color w:val="auto"/>
        </w:rPr>
      </w:pPr>
      <w:r>
        <w:rPr>
          <w:rFonts w:ascii="Arial" w:cs="Arial" w:eastAsia="Arial" w:hAnsi="Arial"/>
          <w:sz w:val="14"/>
          <w:szCs w:val="14"/>
          <w:color w:val="auto"/>
        </w:rPr>
        <w:t>property other than cash (and other than certain pro rata distributions of ordinary shares or ADSs or rights to acquire ordinary shares or ADSs) will be the fair market value of such property on the date of distribution.</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our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or Other Taxable Disposition of Our Ordinary Shares and ADSs</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Subject to the discussion above under "Passive Foreign Investment ("PFIC") Company Rules," gain or loss realized on the sale or other taxable disposition of our ordinary shares or ADSs will be capital gain or loss, and will be long-term capital gain or loss if the U.S. Holder held our ordinary shares or ADSs for more than one year. The amount of the gain or loss will equal the difference between the U.S. Holder's tax basis in our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If the consideration received by a U.S. Holder is not paid in U.S. dollars, the amount realized will be the U.S. dollar value of the payment received determined by reference to the spot rate of exchange on the date of the sale or other disposition. However, if our ordinary shares or ADSs are treated as traded on an "established securities market" and the U.S. Holder is are either a cash basis taxpayer or an accrual basis taxpayer that has made a special election (which must be applied consistently from year to year and cannot be changed without the consent of the IRS), such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88"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b w:val="1"/>
          <w:bCs w:val="1"/>
          <w:color w:val="auto"/>
        </w:rPr>
        <w:t>WE STRONGLY URGE INVESTORS IN OUR ORDINARY SHARES OR ADSs TO CONSULT THEIR TAX ADVISORS REGARDING THE IMPACT OF OUR PFIC STATUS ON THEIR INVESTMENT IN OUR ORDINARY SHARES OR ADSs AS WELL AS THE APPLICATION OF THE PFIC RULES TO SUCH INVESTMENT IN OUR ORDINARY SHARES OR ADSs.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Reporting and Backup Withholding</w:t>
      </w:r>
    </w:p>
    <w:p>
      <w:pPr>
        <w:spacing w:after="0" w:line="243"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00"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with Respect to Foreign Financial Assets</w:t>
      </w:r>
    </w:p>
    <w:p>
      <w:pPr>
        <w:spacing w:after="0" w:line="243"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Certain U.S. Holders who are individuals (and, under proposed regulations, certain entities) may be required to report information relating to our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our ordinary shares or ADSs.</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Dividends and Paying Agents.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60"/>
          </w:cols>
          <w:pgMar w:left="220" w:top="419" w:right="2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color w:val="auto"/>
        </w:rPr>
        <w:t>G. Statement by Experts.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 Documents on Display.</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maintain a corporate website at www.veronapharma.com. We make available free of charge on our website our Reports on Form 6-K, our Annual Reports on Form 20-F, and any other reports that we file or furnish with the SEC. Information contained on, or that can be accessed through, our website does not constitute a part of this Annual Report. We have included our website address in this Annual Report solely as an inactive textual reference.</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SEC also maintains a website at www.sec.gov that contains reports, proxy and information statements and other information regarding issuers that file electronically, such as us, with the SEC.</w:t>
      </w:r>
    </w:p>
    <w:p>
      <w:pPr>
        <w:spacing w:after="0" w:line="151"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References made in this Annual Report to any contract or certain other document are not necessarily complete and you should refer to the exhibits attached or incorporated by reference into this Annual Report for copies of the actual contract or document.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Subsidiary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60"/>
          </w:cols>
          <w:pgMar w:left="220" w:top="552" w:right="4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auto"/>
        </w:rPr>
        <w:t>ITEM 11: QUANTITATIVE AND QUALITATIVE DISCLOSURES ABOUT MARKET RISK</w:t>
      </w:r>
    </w:p>
    <w:p>
      <w:pPr>
        <w:spacing w:after="0" w:line="202" w:lineRule="exact"/>
        <w:rPr>
          <w:sz w:val="20"/>
          <w:szCs w:val="20"/>
          <w:color w:val="auto"/>
        </w:rPr>
      </w:pPr>
    </w:p>
    <w:p>
      <w:pPr>
        <w:ind w:right="780"/>
        <w:spacing w:after="0" w:line="273" w:lineRule="auto"/>
        <w:rPr>
          <w:sz w:val="20"/>
          <w:szCs w:val="20"/>
          <w:color w:val="auto"/>
        </w:rPr>
      </w:pPr>
      <w:r>
        <w:rPr>
          <w:rFonts w:ascii="Arial" w:cs="Arial" w:eastAsia="Arial" w:hAnsi="Arial"/>
          <w:sz w:val="14"/>
          <w:szCs w:val="14"/>
          <w:color w:val="auto"/>
        </w:rPr>
        <w:t>We are exposed to a variety of financial risks. Our overall risk management program seeks to minimize potential adverse effects of these financial risks on our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Risk</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We consider all of our material counterparties to be creditworthy. We consider the credit risk for each of our counterparties to be low and do not have a significant concentration of credit risk at any of our counterparties.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 Risk</w:t>
      </w:r>
    </w:p>
    <w:p>
      <w:pPr>
        <w:spacing w:after="0" w:line="24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We manage our liquidity risk by maintaining adequate cash reserves at banking facilities, and by continuously monitoring our cash forecasts, our actual cash flows and by matching the maturity profiles of financial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Currency Risk</w:t>
      </w:r>
    </w:p>
    <w:p>
      <w:pPr>
        <w:spacing w:after="0" w:line="243"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Foreign currency risk reflects the risk that the value of a financial commitment or recognized asset or liability will fluctuate due to changes in foreign currency rates. Our financial position, as expressed in pounds sterling, are exposed to movements in foreign exchange rates against the U.S. dollar and the Euro. Our main trading currencies are pounds sterling, the U.S. dollar and the Euro. We are exposed to foreign currency risk as a result of operating transactions and the translation of foreign bank accounts. We monitor our exposure to foreign exchange risk. We have not entered into foreign exchange contracts to hedge against gains or losses from foreign exchange fluctuations.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243"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color w:val="auto"/>
        </w:rPr>
        <w:t>Interest rate risk reflects the risk that the value of a financial instrument will fluctuate as a result of a change in market interest rates on classes of financial assets and financial liabilities. We do not hold any derivative instruments to manage interest rate risk.</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See note 3.1 of the financial statements for quantitative disclosures about market risk.</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DESCRIPTION OF SECURITIES OTHER THAN EQUITY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Debt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Warrants and Rights.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Other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380"/>
          </w:cols>
          <w:pgMar w:left="220" w:top="466" w:right="29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color w:val="auto"/>
        </w:rPr>
        <w:t>D. American Depositary Shares.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 and Charges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Holders of our ADSs are required to pay the following fees under the terms of the deposit agreement:</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274560" cy="232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232410"/>
                    </a:xfrm>
                    <a:prstGeom prst="rect">
                      <a:avLst/>
                    </a:prstGeom>
                    <a:noFill/>
                  </pic:spPr>
                </pic:pic>
              </a:graphicData>
            </a:graphic>
          </wp:anchor>
        </w:drawing>
      </w:r>
    </w:p>
    <w:p>
      <w:pPr>
        <w:spacing w:after="0" w:line="42" w:lineRule="exact"/>
        <w:rPr>
          <w:sz w:val="20"/>
          <w:szCs w:val="20"/>
          <w:color w:val="auto"/>
        </w:rPr>
      </w:pPr>
    </w:p>
    <w:p>
      <w:pPr>
        <w:ind w:left="20" w:right="20"/>
        <w:spacing w:after="0" w:line="167" w:lineRule="exact"/>
        <w:rPr>
          <w:sz w:val="20"/>
          <w:szCs w:val="20"/>
          <w:color w:val="auto"/>
        </w:rPr>
      </w:pPr>
      <w:r>
        <w:rPr>
          <w:rFonts w:ascii="Arial" w:cs="Arial" w:eastAsia="Arial" w:hAnsi="Arial"/>
          <w:sz w:val="14"/>
          <w:szCs w:val="14"/>
          <w:color w:val="auto"/>
        </w:rPr>
        <w:t>Issuance of ADSs (e.g., an issuance of ADS upon a deposit of ordinary shares or upon a change in the ADS(s)</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ordinary shares ratio), excluding ADS issuances as a result of distributions of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Up to $0.05 per ADS issued</w:t>
      </w:r>
    </w:p>
    <w:p>
      <w:pPr>
        <w:spacing w:after="0" w:line="130" w:lineRule="exact"/>
        <w:rPr>
          <w:sz w:val="20"/>
          <w:szCs w:val="20"/>
          <w:color w:val="auto"/>
        </w:rPr>
      </w:pPr>
    </w:p>
    <w:p>
      <w:pPr>
        <w:sectPr>
          <w:pgSz w:w="11900" w:h="16838" w:orient="portrait"/>
          <w:cols w:equalWidth="0" w:num="2">
            <w:col w:w="8700" w:space="720"/>
            <w:col w:w="2040"/>
          </w:cols>
          <w:pgMar w:left="220" w:top="466" w:right="219" w:bottom="1440" w:gutter="0" w:footer="0" w:header="0"/>
        </w:sectPr>
      </w:pPr>
    </w:p>
    <w:tbl>
      <w:tblPr>
        <w:tblLayout w:type="fixed"/>
        <w:tblInd w:w="0" w:type="dxa"/>
        <w:tblCellMar>
          <w:top w:w="0" w:type="dxa"/>
          <w:left w:w="0" w:type="dxa"/>
          <w:bottom w:w="0" w:type="dxa"/>
          <w:right w:w="0" w:type="dxa"/>
        </w:tblCellMar>
      </w:tblPr>
      <w:tr>
        <w:trPr>
          <w:trHeight w:val="172"/>
        </w:trPr>
        <w:tc>
          <w:tcPr>
            <w:tcW w:w="9200" w:type="dxa"/>
            <w:vAlign w:val="bottom"/>
          </w:tcPr>
          <w:p>
            <w:pPr>
              <w:ind w:left="20"/>
              <w:spacing w:after="0" w:line="161" w:lineRule="exact"/>
              <w:rPr>
                <w:sz w:val="20"/>
                <w:szCs w:val="20"/>
                <w:color w:val="auto"/>
              </w:rPr>
            </w:pPr>
            <w:r>
              <w:rPr>
                <w:rFonts w:ascii="Arial" w:cs="Arial" w:eastAsia="Arial" w:hAnsi="Arial"/>
                <w:sz w:val="14"/>
                <w:szCs w:val="14"/>
                <w:color w:val="auto"/>
              </w:rPr>
              <w:t>Cancellation of ADSs (e.g., a cancellation of ADSs for delivery of deposited property or upon a change in the ADS(s)</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ordinary shares ratio)</w:t>
            </w:r>
          </w:p>
        </w:tc>
        <w:tc>
          <w:tcPr>
            <w:tcW w:w="2260" w:type="dxa"/>
            <w:vAlign w:val="bottom"/>
          </w:tcPr>
          <w:p>
            <w:pPr>
              <w:ind w:left="220"/>
              <w:spacing w:after="0"/>
              <w:rPr>
                <w:sz w:val="20"/>
                <w:szCs w:val="20"/>
                <w:color w:val="auto"/>
              </w:rPr>
            </w:pPr>
            <w:r>
              <w:rPr>
                <w:rFonts w:ascii="Arial" w:cs="Arial" w:eastAsia="Arial" w:hAnsi="Arial"/>
                <w:sz w:val="14"/>
                <w:szCs w:val="14"/>
                <w:color w:val="auto"/>
              </w:rPr>
              <w:t>Up to $0.05 per ADS cancelled</w:t>
            </w:r>
          </w:p>
        </w:tc>
      </w:tr>
      <w:tr>
        <w:trPr>
          <w:trHeight w:val="23"/>
        </w:trPr>
        <w:tc>
          <w:tcPr>
            <w:tcW w:w="9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 of cash dividends or other cash distributions (e.g., upon a sale of rights and other entitlements)</w:t>
            </w:r>
          </w:p>
        </w:tc>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Up to $0.05 per ADS held</w:t>
            </w:r>
          </w:p>
        </w:tc>
      </w:tr>
      <w:tr>
        <w:trPr>
          <w:trHeight w:val="193"/>
        </w:trPr>
        <w:tc>
          <w:tcPr>
            <w:tcW w:w="9200" w:type="dxa"/>
            <w:vAlign w:val="bottom"/>
          </w:tcPr>
          <w:p>
            <w:pPr>
              <w:ind w:left="20"/>
              <w:spacing w:after="0"/>
              <w:rPr>
                <w:sz w:val="20"/>
                <w:szCs w:val="20"/>
                <w:color w:val="auto"/>
              </w:rPr>
            </w:pPr>
            <w:r>
              <w:rPr>
                <w:rFonts w:ascii="Arial" w:cs="Arial" w:eastAsia="Arial" w:hAnsi="Arial"/>
                <w:sz w:val="14"/>
                <w:szCs w:val="14"/>
                <w:color w:val="auto"/>
              </w:rPr>
              <w:t>Distribution of ADSs pursuant to (i) stock dividends or other free stock distributions, or (ii) exercise of rights to purchase additional ADSs</w:t>
            </w:r>
          </w:p>
        </w:tc>
        <w:tc>
          <w:tcPr>
            <w:tcW w:w="2260" w:type="dxa"/>
            <w:vAlign w:val="bottom"/>
          </w:tcPr>
          <w:p>
            <w:pPr>
              <w:ind w:left="220"/>
              <w:spacing w:after="0"/>
              <w:rPr>
                <w:sz w:val="20"/>
                <w:szCs w:val="20"/>
                <w:color w:val="auto"/>
              </w:rPr>
            </w:pPr>
            <w:r>
              <w:rPr>
                <w:rFonts w:ascii="Arial" w:cs="Arial" w:eastAsia="Arial" w:hAnsi="Arial"/>
                <w:sz w:val="14"/>
                <w:szCs w:val="14"/>
                <w:color w:val="auto"/>
              </w:rPr>
              <w:t>Up to $0.05 per ADS held</w:t>
            </w:r>
          </w:p>
        </w:tc>
      </w:tr>
      <w:tr>
        <w:trPr>
          <w:trHeight w:val="23"/>
        </w:trPr>
        <w:tc>
          <w:tcPr>
            <w:tcW w:w="9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920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4"/>
                <w:szCs w:val="14"/>
                <w:color w:val="auto"/>
              </w:rPr>
              <w:t>Distribution of securities other than ADSs or rights to purchase additional ADSs (e.g., upon a spin</w:t>
            </w:r>
            <w:r>
              <w:rPr>
                <w:rFonts w:ascii="MS PGothic" w:cs="MS PGothic" w:eastAsia="MS PGothic" w:hAnsi="MS PGothic"/>
                <w:sz w:val="14"/>
                <w:szCs w:val="14"/>
                <w:color w:val="auto"/>
              </w:rPr>
              <w:t>‑</w:t>
            </w:r>
            <w:r>
              <w:rPr>
                <w:rFonts w:ascii="Arial" w:cs="Arial" w:eastAsia="Arial" w:hAnsi="Arial"/>
                <w:sz w:val="14"/>
                <w:szCs w:val="14"/>
                <w:color w:val="auto"/>
              </w:rPr>
              <w:t>off)</w:t>
            </w:r>
          </w:p>
        </w:tc>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Up to $0.05 per ADS held</w:t>
            </w:r>
          </w:p>
        </w:tc>
      </w:tr>
      <w:tr>
        <w:trPr>
          <w:trHeight w:val="183"/>
        </w:trPr>
        <w:tc>
          <w:tcPr>
            <w:tcW w:w="9200" w:type="dxa"/>
            <w:vAlign w:val="bottom"/>
          </w:tcPr>
          <w:p>
            <w:pPr>
              <w:spacing w:after="0"/>
              <w:rPr>
                <w:sz w:val="15"/>
                <w:szCs w:val="15"/>
                <w:color w:val="auto"/>
              </w:rPr>
            </w:pPr>
          </w:p>
        </w:tc>
        <w:tc>
          <w:tcPr>
            <w:tcW w:w="2260" w:type="dxa"/>
            <w:vAlign w:val="bottom"/>
          </w:tcPr>
          <w:p>
            <w:pPr>
              <w:ind w:left="220"/>
              <w:spacing w:after="0"/>
              <w:rPr>
                <w:sz w:val="20"/>
                <w:szCs w:val="20"/>
                <w:color w:val="auto"/>
              </w:rPr>
            </w:pPr>
            <w:r>
              <w:rPr>
                <w:rFonts w:ascii="Arial" w:cs="Arial" w:eastAsia="Arial" w:hAnsi="Arial"/>
                <w:sz w:val="14"/>
                <w:szCs w:val="14"/>
                <w:color w:val="auto"/>
              </w:rPr>
              <w:t>Up to $0.05 per ADS held on</w:t>
            </w:r>
          </w:p>
        </w:tc>
      </w:tr>
      <w:tr>
        <w:trPr>
          <w:trHeight w:val="162"/>
        </w:trPr>
        <w:tc>
          <w:tcPr>
            <w:tcW w:w="9200" w:type="dxa"/>
            <w:vAlign w:val="bottom"/>
          </w:tcPr>
          <w:p>
            <w:pPr>
              <w:ind w:left="20"/>
              <w:spacing w:after="0"/>
              <w:rPr>
                <w:sz w:val="20"/>
                <w:szCs w:val="20"/>
                <w:color w:val="auto"/>
              </w:rPr>
            </w:pPr>
            <w:r>
              <w:rPr>
                <w:rFonts w:ascii="Arial" w:cs="Arial" w:eastAsia="Arial" w:hAnsi="Arial"/>
                <w:sz w:val="14"/>
                <w:szCs w:val="14"/>
                <w:color w:val="auto"/>
              </w:rPr>
              <w:t>ADS Services</w:t>
            </w:r>
          </w:p>
        </w:tc>
        <w:tc>
          <w:tcPr>
            <w:tcW w:w="2260" w:type="dxa"/>
            <w:vAlign w:val="bottom"/>
          </w:tcPr>
          <w:p>
            <w:pPr>
              <w:ind w:left="220"/>
              <w:spacing w:after="0"/>
              <w:rPr>
                <w:sz w:val="20"/>
                <w:szCs w:val="20"/>
                <w:color w:val="auto"/>
              </w:rPr>
            </w:pPr>
            <w:r>
              <w:rPr>
                <w:rFonts w:ascii="Arial" w:cs="Arial" w:eastAsia="Arial" w:hAnsi="Arial"/>
                <w:sz w:val="14"/>
                <w:szCs w:val="14"/>
                <w:color w:val="auto"/>
              </w:rPr>
              <w:t>the applicable record date(s)</w:t>
            </w:r>
          </w:p>
        </w:tc>
      </w:tr>
      <w:tr>
        <w:trPr>
          <w:trHeight w:val="172"/>
        </w:trPr>
        <w:tc>
          <w:tcPr>
            <w:tcW w:w="9200" w:type="dxa"/>
            <w:vAlign w:val="bottom"/>
          </w:tcPr>
          <w:p>
            <w:pPr>
              <w:spacing w:after="0"/>
              <w:rPr>
                <w:sz w:val="14"/>
                <w:szCs w:val="14"/>
                <w:color w:val="auto"/>
              </w:rPr>
            </w:pPr>
          </w:p>
        </w:tc>
        <w:tc>
          <w:tcPr>
            <w:tcW w:w="2260" w:type="dxa"/>
            <w:vAlign w:val="bottom"/>
          </w:tcPr>
          <w:p>
            <w:pPr>
              <w:ind w:left="220"/>
              <w:spacing w:after="0"/>
              <w:rPr>
                <w:sz w:val="20"/>
                <w:szCs w:val="20"/>
                <w:color w:val="auto"/>
              </w:rPr>
            </w:pPr>
            <w:r>
              <w:rPr>
                <w:rFonts w:ascii="Arial" w:cs="Arial" w:eastAsia="Arial" w:hAnsi="Arial"/>
                <w:sz w:val="14"/>
                <w:szCs w:val="14"/>
                <w:color w:val="auto"/>
              </w:rPr>
              <w:t>established by the depositary</w:t>
            </w:r>
          </w:p>
        </w:tc>
      </w:tr>
      <w:tr>
        <w:trPr>
          <w:trHeight w:val="356"/>
        </w:trPr>
        <w:tc>
          <w:tcPr>
            <w:tcW w:w="9200" w:type="dxa"/>
            <w:vAlign w:val="bottom"/>
          </w:tcPr>
          <w:p>
            <w:pPr>
              <w:spacing w:after="0"/>
              <w:rPr>
                <w:sz w:val="20"/>
                <w:szCs w:val="20"/>
                <w:color w:val="auto"/>
              </w:rPr>
            </w:pPr>
            <w:r>
              <w:rPr>
                <w:rFonts w:ascii="Arial" w:cs="Arial" w:eastAsia="Arial" w:hAnsi="Arial"/>
                <w:sz w:val="14"/>
                <w:szCs w:val="14"/>
                <w:color w:val="auto"/>
              </w:rPr>
              <w:t>Holders of our ADSs are also responsible to pay certain charges such as:</w:t>
            </w:r>
          </w:p>
        </w:tc>
        <w:tc>
          <w:tcPr>
            <w:tcW w:w="2260" w:type="dxa"/>
            <w:vAlign w:val="bottom"/>
          </w:tcPr>
          <w:p>
            <w:pPr>
              <w:spacing w:after="0"/>
              <w:rPr>
                <w:sz w:val="24"/>
                <w:szCs w:val="24"/>
                <w:color w:val="auto"/>
              </w:rPr>
            </w:pPr>
          </w:p>
        </w:tc>
      </w:tr>
    </w:tbl>
    <w:p>
      <w:pPr>
        <w:spacing w:after="0" w:line="173" w:lineRule="exact"/>
        <w:rPr>
          <w:sz w:val="20"/>
          <w:szCs w:val="20"/>
          <w:color w:val="auto"/>
        </w:rPr>
      </w:pPr>
    </w:p>
    <w:p>
      <w:pPr>
        <w:ind w:left="780" w:hanging="25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taxes (including applicable interest and penalties) and other governmental charges;</w:t>
      </w:r>
    </w:p>
    <w:p>
      <w:pPr>
        <w:spacing w:after="0" w:line="183" w:lineRule="exact"/>
        <w:rPr>
          <w:rFonts w:ascii="Arial" w:cs="Arial" w:eastAsia="Arial" w:hAnsi="Arial"/>
          <w:sz w:val="14"/>
          <w:szCs w:val="14"/>
          <w:color w:val="auto"/>
        </w:rPr>
      </w:pPr>
    </w:p>
    <w:p>
      <w:pPr>
        <w:ind w:left="780" w:right="80" w:hanging="257"/>
        <w:spacing w:after="0" w:line="273" w:lineRule="auto"/>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151" w:lineRule="exact"/>
        <w:rPr>
          <w:rFonts w:ascii="Arial" w:cs="Arial" w:eastAsia="Arial" w:hAnsi="Arial"/>
          <w:sz w:val="14"/>
          <w:szCs w:val="14"/>
          <w:color w:val="auto"/>
        </w:rPr>
      </w:pPr>
    </w:p>
    <w:p>
      <w:pPr>
        <w:ind w:left="780" w:hanging="25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certain cable, telex and facsimile transmission and delivery expenses;</w:t>
      </w:r>
    </w:p>
    <w:p>
      <w:pPr>
        <w:spacing w:after="0" w:line="183" w:lineRule="exact"/>
        <w:rPr>
          <w:rFonts w:ascii="Arial" w:cs="Arial" w:eastAsia="Arial" w:hAnsi="Arial"/>
          <w:sz w:val="14"/>
          <w:szCs w:val="14"/>
          <w:color w:val="auto"/>
        </w:rPr>
      </w:pPr>
    </w:p>
    <w:p>
      <w:pPr>
        <w:ind w:left="780" w:hanging="25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expenses and charges incurred by the depositary in the conversion of foreign currency;</w:t>
      </w:r>
    </w:p>
    <w:p>
      <w:pPr>
        <w:spacing w:after="0" w:line="183" w:lineRule="exact"/>
        <w:rPr>
          <w:rFonts w:ascii="Arial" w:cs="Arial" w:eastAsia="Arial" w:hAnsi="Arial"/>
          <w:sz w:val="14"/>
          <w:szCs w:val="14"/>
          <w:color w:val="auto"/>
        </w:rPr>
      </w:pPr>
    </w:p>
    <w:p>
      <w:pPr>
        <w:ind w:left="780" w:right="360" w:hanging="257"/>
        <w:spacing w:after="0" w:line="273" w:lineRule="auto"/>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fees and expenses incurred by the depositary in connection with compliance with exchange control regulations and other regulatory requirements applicable to ordinary shares, ADSs and American Depositary Receipts; and</w:t>
      </w:r>
    </w:p>
    <w:p>
      <w:pPr>
        <w:spacing w:after="0" w:line="151" w:lineRule="exact"/>
        <w:rPr>
          <w:rFonts w:ascii="Arial" w:cs="Arial" w:eastAsia="Arial" w:hAnsi="Arial"/>
          <w:sz w:val="14"/>
          <w:szCs w:val="14"/>
          <w:color w:val="auto"/>
        </w:rPr>
      </w:pPr>
    </w:p>
    <w:p>
      <w:pPr>
        <w:ind w:left="780" w:hanging="25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fees and expenses incurred by the depositary, the custodian, or any nominee in connection with the servicing or delivery of deposited property.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460"/>
          </w:cols>
          <w:pgMar w:left="220" w:top="466" w:right="219" w:bottom="1440" w:gutter="0" w:footer="0" w:header="0"/>
          <w:type w:val="continuous"/>
        </w:sectPr>
      </w:pPr>
    </w:p>
    <w:bookmarkStart w:id="110" w:name="page111"/>
    <w:bookmarkEnd w:id="110"/>
    <w:p>
      <w:pPr>
        <w:spacing w:after="0" w:line="258" w:lineRule="auto"/>
        <w:rPr>
          <w:sz w:val="20"/>
          <w:szCs w:val="20"/>
          <w:color w:val="auto"/>
        </w:rPr>
      </w:pPr>
      <w:r>
        <w:rPr>
          <w:rFonts w:ascii="Arial" w:cs="Arial" w:eastAsia="Arial" w:hAnsi="Arial"/>
          <w:sz w:val="14"/>
          <w:szCs w:val="14"/>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the Depositary Trust Company, or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338"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holders of our ADSs may be required to pay may vary over time and may be changed by us and by the depositary. Holders of our ADSs will receive prior notice of such changes. The depositary may reimburse us for certain expenses incurred by us in respect of the ADS program, by making available a portion of the ADS fees charged in respect of the ADS program or otherwise, upon such terms and conditions as we and the depositary agree from time to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460"/>
          </w:cols>
          <w:pgMar w:left="220" w:top="311" w:right="2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DEFAULTS, DIVIDEND ARREARAGES AND DELINQUENCIES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MATERIAL MODIFICATIONS TO THE RIGHTS OF SECURITY HOLDERS AND USE OF PROCEEDS</w:t>
      </w:r>
    </w:p>
    <w:p>
      <w:pPr>
        <w:spacing w:after="0" w:line="116" w:lineRule="exact"/>
        <w:rPr>
          <w:sz w:val="20"/>
          <w:szCs w:val="20"/>
          <w:color w:val="auto"/>
        </w:rPr>
      </w:pPr>
    </w:p>
    <w:p>
      <w:pPr>
        <w:ind w:left="300" w:hanging="294"/>
        <w:spacing w:after="0"/>
        <w:tabs>
          <w:tab w:leader="none" w:pos="300"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None</w:t>
      </w:r>
    </w:p>
    <w:p>
      <w:pPr>
        <w:spacing w:after="0" w:line="97" w:lineRule="exact"/>
        <w:rPr>
          <w:rFonts w:ascii="Arial" w:cs="Arial" w:eastAsia="Arial" w:hAnsi="Arial"/>
          <w:sz w:val="14"/>
          <w:szCs w:val="14"/>
          <w:b w:val="1"/>
          <w:bCs w:val="1"/>
          <w:color w:val="auto"/>
        </w:rPr>
      </w:pPr>
    </w:p>
    <w:p>
      <w:pPr>
        <w:ind w:left="300" w:hanging="294"/>
        <w:spacing w:after="0"/>
        <w:tabs>
          <w:tab w:leader="none" w:pos="300"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None</w:t>
      </w:r>
    </w:p>
    <w:p>
      <w:pPr>
        <w:spacing w:after="0" w:line="97" w:lineRule="exact"/>
        <w:rPr>
          <w:rFonts w:ascii="Arial" w:cs="Arial" w:eastAsia="Arial" w:hAnsi="Arial"/>
          <w:sz w:val="14"/>
          <w:szCs w:val="14"/>
          <w:b w:val="1"/>
          <w:bCs w:val="1"/>
          <w:color w:val="auto"/>
        </w:rPr>
      </w:pPr>
    </w:p>
    <w:p>
      <w:pPr>
        <w:ind w:left="300" w:hanging="294"/>
        <w:spacing w:after="0"/>
        <w:tabs>
          <w:tab w:leader="none" w:pos="300"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None</w:t>
      </w:r>
    </w:p>
    <w:p>
      <w:pPr>
        <w:spacing w:after="0" w:line="97" w:lineRule="exact"/>
        <w:rPr>
          <w:rFonts w:ascii="Arial" w:cs="Arial" w:eastAsia="Arial" w:hAnsi="Arial"/>
          <w:sz w:val="14"/>
          <w:szCs w:val="14"/>
          <w:b w:val="1"/>
          <w:bCs w:val="1"/>
          <w:color w:val="auto"/>
        </w:rPr>
      </w:pPr>
    </w:p>
    <w:p>
      <w:pPr>
        <w:ind w:left="300" w:hanging="294"/>
        <w:spacing w:after="0"/>
        <w:tabs>
          <w:tab w:leader="none" w:pos="300"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None</w:t>
      </w:r>
    </w:p>
    <w:p>
      <w:pPr>
        <w:spacing w:after="0" w:line="97" w:lineRule="exact"/>
        <w:rPr>
          <w:rFonts w:ascii="Arial" w:cs="Arial" w:eastAsia="Arial" w:hAnsi="Arial"/>
          <w:sz w:val="14"/>
          <w:szCs w:val="14"/>
          <w:b w:val="1"/>
          <w:bCs w:val="1"/>
          <w:color w:val="auto"/>
        </w:rPr>
      </w:pPr>
    </w:p>
    <w:p>
      <w:pPr>
        <w:ind w:left="300" w:hanging="294"/>
        <w:spacing w:after="0"/>
        <w:tabs>
          <w:tab w:leader="none" w:pos="300" w:val="left"/>
        </w:tabs>
        <w:numPr>
          <w:ilvl w:val="0"/>
          <w:numId w:val="61"/>
        </w:numPr>
        <w:rPr>
          <w:rFonts w:ascii="Arial" w:cs="Arial" w:eastAsia="Arial" w:hAnsi="Arial"/>
          <w:sz w:val="14"/>
          <w:szCs w:val="14"/>
          <w:b w:val="1"/>
          <w:bCs w:val="1"/>
          <w:color w:val="auto"/>
        </w:rPr>
      </w:pPr>
      <w:r>
        <w:rPr>
          <w:rFonts w:ascii="Arial" w:cs="Arial" w:eastAsia="Arial" w:hAnsi="Arial"/>
          <w:sz w:val="14"/>
          <w:szCs w:val="14"/>
          <w:color w:val="auto"/>
        </w:rPr>
        <w:t>Use of Proceeds.</w:t>
      </w:r>
    </w:p>
    <w:p>
      <w:pPr>
        <w:spacing w:after="0" w:line="98"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In May 2017, we completed the initial public offering of our ADSs in the United States and a private placement of our ordinary shares in Europe, or the global offering. In the global offering we issued and sold 6,501,738 ADSs, including 733,738 ADSs issued and sold upon the partial exercises by the underwriters pursuant to their overallotment option to purchase additional ADSs, at a public offering price of $13.50 per ADS, and 1,225,001 ordinary shares at an offering price of £1.32 per share. We received aggregate gross proceeds from the global offering of approximately $89.9 million, and aggregate net proceeds of approximately $80.8 million after deducting underwriting discounts and commissions of approximately $6.3 million and offering expenses of approximately $3.2 million. No payments for such expenses were made directly or indirectly to (i) any of our officers, members of our board of directors, or their associates, (ii) any persons owning 10% or more of any class of our equity securities or (iii) any of our affiliates.</w:t>
      </w:r>
    </w:p>
    <w:p>
      <w:pPr>
        <w:spacing w:after="0" w:line="74"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The offer and sale of the ADSs and ordinary shares in the global offering were registered under the Securities Act pursuant to a registration statement on Form F-1 (File No. 333-217124) to register ordinary shares, which was declared effective by the SEC on April 26, 2017, a registration statement on Form F-1 to register additional ordinary shares (File No. 333-217487), which was immediately effective upon filing on April 26, 2017, and a registration statement on Form F-6 (File No. 333-217353) to register the ADSs, which was declared effective by the SEC on April 26, 2017, or, collectively, the Registration Statements. Under the Registration Statements, we registered an aggregate offering price of approximately $91.7 million of ordinary shares and 100,000,000 ADSs for a registered aggregate offering price of $5.0 million.</w:t>
      </w:r>
    </w:p>
    <w:p>
      <w:pPr>
        <w:spacing w:after="0" w:line="73"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There has been no material change in our planned use of the net proceeds from the global offering as described in our final prospectus filed pursuant to Rule 424(b)(4) under the Securities Act with the SEC on April 28, 2017.</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CONTROLS AND PROCEDURES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16"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16"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2019, our disclosure controls and procedures were effective.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management is responsible for establishing and maintaining adequate internal control over our financial reporting, as such term is defined in Rule 13a-15(f) under the Exchange Act.</w:t>
      </w:r>
    </w:p>
    <w:p>
      <w:pPr>
        <w:spacing w:after="0" w:line="259"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460"/>
          </w:cols>
          <w:pgMar w:left="220" w:top="293" w:right="219" w:bottom="1440" w:gutter="0" w:footer="0" w:header="0"/>
        </w:sectPr>
      </w:pPr>
    </w:p>
    <w:bookmarkStart w:id="112" w:name="page113"/>
    <w:bookmarkEnd w:id="112"/>
    <w:p>
      <w:pPr>
        <w:ind w:right="2280"/>
        <w:spacing w:after="0" w:line="441" w:lineRule="auto"/>
        <w:rPr>
          <w:sz w:val="20"/>
          <w:szCs w:val="20"/>
          <w:color w:val="auto"/>
        </w:rPr>
      </w:pPr>
      <w:r>
        <w:rPr>
          <w:rFonts w:ascii="Arial" w:cs="Arial" w:eastAsia="Arial" w:hAnsi="Arial"/>
          <w:sz w:val="14"/>
          <w:szCs w:val="14"/>
          <w:color w:val="auto"/>
        </w:rPr>
        <w:t xml:space="preserve">Based on this assessment, our management concluded that, as of December 31, 2019, our internal control over financial reporting was effective. </w:t>
      </w:r>
      <w:r>
        <w:rPr>
          <w:rFonts w:ascii="Arial" w:cs="Arial" w:eastAsia="Arial" w:hAnsi="Arial"/>
          <w:sz w:val="14"/>
          <w:szCs w:val="14"/>
          <w:b w:val="1"/>
          <w:bCs w:val="1"/>
          <w:color w:val="auto"/>
        </w:rPr>
        <w:t>Attestation Report of the Registered Public Accounting Firm</w:t>
      </w:r>
    </w:p>
    <w:p>
      <w:pPr>
        <w:spacing w:after="0" w:line="1" w:lineRule="exact"/>
        <w:rPr>
          <w:sz w:val="20"/>
          <w:szCs w:val="20"/>
          <w:color w:val="auto"/>
        </w:rPr>
      </w:pPr>
    </w:p>
    <w:p>
      <w:pPr>
        <w:ind w:right="740"/>
        <w:spacing w:after="0" w:line="273" w:lineRule="auto"/>
        <w:rPr>
          <w:sz w:val="20"/>
          <w:szCs w:val="20"/>
          <w:color w:val="auto"/>
        </w:rPr>
      </w:pPr>
      <w:r>
        <w:rPr>
          <w:rFonts w:ascii="Arial" w:cs="Arial" w:eastAsia="Arial" w:hAnsi="Arial"/>
          <w:sz w:val="14"/>
          <w:szCs w:val="14"/>
          <w:color w:val="auto"/>
        </w:rPr>
        <w:t>This Annual Report does not include an attestation report of our registered public accounting firm due to an exemption established by the JOBS Act for “emerging growth companies.”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16"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There were no changes in our internal control over financial reporting (as defined in Rule 13a-15(f) under the Exchange Act) during the period covered by this Annual Report that have materially affected, or are reasonably likely to materially affect, our internal control over financial reporting.</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16A: AUDIT COMMITTEE FINANCIAL EXPERT</w:t>
      </w:r>
    </w:p>
    <w:p>
      <w:pPr>
        <w:spacing w:after="0" w:line="11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board of directors has determined that Vikas Sinha, Dr. David Ebsworth and Dr. Andrew Sinclair each qualify as an audit committee financial expert as defined by the rules of the SEC and has the requisite financial sophistication under the applicable rules and regulations of Nasdaq. Mr. Sinha and Drs. Ebsworth and Sinclair are each independent as such term is defined in Rule 10A-3 under the Exchange Act and under the listing standards of Nasdaq.</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16B: CODE OF ETHICS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06" w:lineRule="exact"/>
        <w:rPr>
          <w:sz w:val="20"/>
          <w:szCs w:val="20"/>
          <w:color w:val="auto"/>
        </w:rPr>
      </w:pPr>
    </w:p>
    <w:p>
      <w:pPr>
        <w:ind w:right="220"/>
        <w:spacing w:after="0" w:line="272" w:lineRule="auto"/>
        <w:rPr>
          <w:sz w:val="20"/>
          <w:szCs w:val="20"/>
          <w:color w:val="auto"/>
        </w:rPr>
      </w:pPr>
      <w:r>
        <w:rPr>
          <w:rFonts w:ascii="Arial" w:cs="Arial" w:eastAsia="Arial" w:hAnsi="Arial"/>
          <w:sz w:val="14"/>
          <w:szCs w:val="14"/>
          <w:color w:val="auto"/>
        </w:rPr>
        <w:t>We have adopted a Code of Business Conduct and Ethics, or the Code of Conduct, that is applicable to all of our employees, executive officers, including our principal executive, principal financial and principal accounting officers, members of our board of directors, and consultants. The Code of Conduct is available on our website at www.veronapharma.com. We will provide a copy of our Code of Conduct to any person without charge upon written request sent to:</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Verona Pharma plc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 More London Riverside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London SE1 2RE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United Kingdom</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Attn: Secretary</w:t>
      </w:r>
    </w:p>
    <w:p>
      <w:pPr>
        <w:spacing w:after="0" w:line="98"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intend to satisfy the disclosure requirement under Item 16B(d) and (e) of Form 20-F regarding amendment to, or waiver from, a provision of our Code of Conduct, as well as Nasdaq’s requirement to disclose waivers with respect to directors and executive officers, by posting such information in the "Investors" section of our website at www.veronapharma.com. Our executive officers are responsible for administering the Code of Conduct. Amendment, alteration or termination of the Code of Conduct requires the approval of our board of directors.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460"/>
          </w:cols>
          <w:pgMar w:left="220" w:top="311" w:right="2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color w:val="auto"/>
        </w:rPr>
        <w:t>ITEM 16C: PRINCIPAL ACCOUNTANT FEES AND SERVICES</w:t>
      </w:r>
    </w:p>
    <w:p>
      <w:pPr>
        <w:spacing w:after="0" w:line="288"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following table summarizes the fees of PricewaterhouseCoopers LLP, our independent registered public accounting firm, billed to us for each of the last two fiscal years for audit and other services: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Fee Category</w:t>
            </w:r>
          </w:p>
        </w:tc>
        <w:tc>
          <w:tcPr>
            <w:tcW w:w="50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r>
      <w:tr>
        <w:trPr>
          <w:trHeight w:val="206"/>
        </w:trPr>
        <w:tc>
          <w:tcPr>
            <w:tcW w:w="5240" w:type="dxa"/>
            <w:vAlign w:val="bottom"/>
          </w:tcPr>
          <w:p>
            <w:pPr>
              <w:spacing w:after="0"/>
              <w:rPr>
                <w:sz w:val="17"/>
                <w:szCs w:val="17"/>
                <w:color w:val="auto"/>
              </w:rPr>
            </w:pPr>
          </w:p>
        </w:tc>
        <w:tc>
          <w:tcPr>
            <w:tcW w:w="5040" w:type="dxa"/>
            <w:vAlign w:val="bottom"/>
          </w:tcPr>
          <w:p>
            <w:pPr>
              <w:jc w:val="right"/>
              <w:ind w:right="568"/>
              <w:spacing w:after="0"/>
              <w:rPr>
                <w:sz w:val="20"/>
                <w:szCs w:val="20"/>
                <w:color w:val="auto"/>
              </w:rPr>
            </w:pPr>
            <w:r>
              <w:rPr>
                <w:rFonts w:ascii="Arial" w:cs="Arial" w:eastAsia="Arial" w:hAnsi="Arial"/>
                <w:sz w:val="14"/>
                <w:szCs w:val="14"/>
                <w:b w:val="1"/>
                <w:bCs w:val="1"/>
                <w:color w:val="auto"/>
              </w:rPr>
              <w:t>£'000s</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£'000s</w:t>
            </w:r>
          </w:p>
        </w:tc>
      </w:tr>
      <w:tr>
        <w:trPr>
          <w:trHeight w:val="221"/>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Audit Fees</w:t>
            </w:r>
          </w:p>
        </w:tc>
        <w:tc>
          <w:tcPr>
            <w:tcW w:w="50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148</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r>
      <w:tr>
        <w:trPr>
          <w:trHeight w:val="210"/>
        </w:trPr>
        <w:tc>
          <w:tcPr>
            <w:tcW w:w="5240" w:type="dxa"/>
            <w:vAlign w:val="bottom"/>
          </w:tcPr>
          <w:p>
            <w:pPr>
              <w:ind w:left="20"/>
              <w:spacing w:after="0"/>
              <w:rPr>
                <w:sz w:val="20"/>
                <w:szCs w:val="20"/>
                <w:color w:val="auto"/>
              </w:rPr>
            </w:pPr>
            <w:r>
              <w:rPr>
                <w:rFonts w:ascii="Arial" w:cs="Arial" w:eastAsia="Arial" w:hAnsi="Arial"/>
                <w:sz w:val="14"/>
                <w:szCs w:val="14"/>
                <w:color w:val="auto"/>
              </w:rPr>
              <w:t>Audit-Related Fees</w:t>
            </w:r>
          </w:p>
        </w:tc>
        <w:tc>
          <w:tcPr>
            <w:tcW w:w="5040" w:type="dxa"/>
            <w:vAlign w:val="bottom"/>
          </w:tcPr>
          <w:p>
            <w:pPr>
              <w:jc w:val="right"/>
              <w:ind w:right="568"/>
              <w:spacing w:after="0"/>
              <w:rPr>
                <w:sz w:val="20"/>
                <w:szCs w:val="20"/>
                <w:color w:val="auto"/>
              </w:rPr>
            </w:pPr>
            <w:r>
              <w:rPr>
                <w:rFonts w:ascii="Arial" w:cs="Arial" w:eastAsia="Arial" w:hAnsi="Arial"/>
                <w:sz w:val="14"/>
                <w:szCs w:val="14"/>
                <w:color w:val="auto"/>
              </w:rPr>
              <w:t>52</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68</w:t>
            </w:r>
          </w:p>
        </w:tc>
      </w:tr>
      <w:tr>
        <w:trPr>
          <w:trHeight w:val="21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Services</w:t>
            </w:r>
          </w:p>
        </w:tc>
        <w:tc>
          <w:tcPr>
            <w:tcW w:w="50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67</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r>
      <w:tr>
        <w:trPr>
          <w:trHeight w:val="20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Fees</w:t>
            </w:r>
          </w:p>
        </w:tc>
        <w:tc>
          <w:tcPr>
            <w:tcW w:w="50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267</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Audit-Related Fees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For the years ended December 31, 2019 and 2018, audit related services include fees for quarterly interim reviews.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Fees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We did not incur any tax fees for services from PricewaterhouseCoopers LLP in 2019 or 2018.</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Other Fees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2019 other fees related to advice relating to fund raising.</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For the year ended December 31, 2018, other fees related to a review of the Company’s F-3 shelf registration statement.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Pre-Approval Policy and Procedures</w:t>
      </w:r>
    </w:p>
    <w:p>
      <w:pPr>
        <w:spacing w:after="0" w:line="116"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Audit Committee has adopted a policy, or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or specific pre-approval, or (ii) entered into pursuant to the pre-approval policies and procedures described in the Pre-Approval Policy, or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The Audit Committee may also review and generally pre-approve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16D: EXEMPTIONS FORM THE LISTING STANDARDS FOR AUDIT COMMITTEES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16E: PURCHASES OF EQUITY SECURITIES BY THE ISSUER AND AFFILIATED PURCHASERS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460"/>
          </w:cols>
          <w:pgMar w:left="220" w:top="293" w:right="2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ITEMS 16F: CHANGE IN REGISTRANT'S CERTIFYING ACCOUNTANT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There has been no change in our independent accountant during our two most recent fiscal years.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16G: CORPORATE GOVERNANCE</w:t>
      </w:r>
    </w:p>
    <w:p>
      <w:pPr>
        <w:spacing w:after="0" w:line="180"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As a “foreign private issuer,” as defined by the SEC, we are permitted to follow home country corporate governance practices, instead of certain corporate governance practices required by Nasdaq for domestic issuers, with certain exceptions. While we voluntarily follow most Nasdaq corporate governance rules, we follow U.K. corporate governance practices in lieu of Nasdaq corporate governance rules as follows:</w:t>
      </w:r>
    </w:p>
    <w:p>
      <w:pPr>
        <w:spacing w:after="0" w:line="135" w:lineRule="exact"/>
        <w:rPr>
          <w:sz w:val="20"/>
          <w:szCs w:val="20"/>
          <w:color w:val="auto"/>
        </w:rPr>
      </w:pPr>
    </w:p>
    <w:p>
      <w:pPr>
        <w:jc w:val="both"/>
        <w:ind w:left="520" w:right="80" w:hanging="255"/>
        <w:spacing w:after="0" w:line="265"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do not follow Nasdaq Rule 5620(c) regarding quorum requirements applicable to meetings of shareholders. Such quorum requirements are not required under English law. In accordance with generally accepted business practice, our articles of association provide alternative quorum requirements that are generally applicable to meetings of shareholders.</w:t>
      </w:r>
    </w:p>
    <w:p>
      <w:pPr>
        <w:spacing w:after="0" w:line="134" w:lineRule="exact"/>
        <w:rPr>
          <w:rFonts w:ascii="Arial" w:cs="Arial" w:eastAsia="Arial" w:hAnsi="Arial"/>
          <w:sz w:val="14"/>
          <w:szCs w:val="14"/>
          <w:color w:val="auto"/>
        </w:rPr>
      </w:pPr>
    </w:p>
    <w:p>
      <w:pPr>
        <w:ind w:left="520" w:hanging="255"/>
        <w:spacing w:after="0" w:line="273"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do not follow Nasdaq Rule 5605(b)(2), which requires that independent directors regularly meet in executive session, where only independent directors are present. Our independent directors may choose to meet in executive session at their discretion.</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16H: MINE SAFETY DISCLOSURE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III</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We have elected to provide financial statements pursuant to Item 18.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420"/>
          </w:cols>
          <w:pgMar w:left="220" w:top="311" w:right="25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color w:val="auto"/>
        </w:rPr>
        <w:t>ITEM 18: FINANCIAL STATEMENTS</w:t>
      </w:r>
    </w:p>
    <w:p>
      <w:pPr>
        <w:spacing w:after="0" w:line="116"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The financial statements required under this Item 18 are filed as part of this Annual Report beginning on page F-1.The audit report of PricewaterhouseCoopers LLP, independent registered public accounting firm, is included herein preceding the financial statements.</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19: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420"/>
        <w:spacing w:after="0"/>
        <w:rPr>
          <w:sz w:val="20"/>
          <w:szCs w:val="20"/>
          <w:color w:val="auto"/>
        </w:rPr>
      </w:pPr>
      <w:r>
        <w:rPr>
          <w:rFonts w:ascii="Arial" w:cs="Arial" w:eastAsia="Arial" w:hAnsi="Arial"/>
          <w:sz w:val="14"/>
          <w:szCs w:val="14"/>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14605</wp:posOffset>
            </wp:positionV>
            <wp:extent cx="32505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0565" cy="6985"/>
                    </a:xfrm>
                    <a:prstGeom prst="rect">
                      <a:avLst/>
                    </a:prstGeom>
                    <a:noFill/>
                  </pic:spPr>
                </pic:pic>
              </a:graphicData>
            </a:graphic>
          </wp:anchor>
        </w:drawing>
      </w:r>
    </w:p>
    <w:p>
      <w:pPr>
        <w:spacing w:after="0" w:line="272" w:lineRule="exact"/>
        <w:rPr>
          <w:sz w:val="20"/>
          <w:szCs w:val="20"/>
          <w:color w:val="auto"/>
        </w:rPr>
      </w:pPr>
    </w:p>
    <w:p>
      <w:pPr>
        <w:ind w:left="40"/>
        <w:spacing w:after="0"/>
        <w:tabs>
          <w:tab w:leader="none" w:pos="1180" w:val="left"/>
          <w:tab w:leader="none" w:pos="5960" w:val="left"/>
          <w:tab w:leader="none" w:pos="7400" w:val="left"/>
          <w:tab w:leader="none" w:pos="8120" w:val="left"/>
          <w:tab w:leader="none" w:pos="9500" w:val="left"/>
          <w:tab w:leader="none" w:pos="10340" w:val="left"/>
        </w:tabs>
        <w:rPr>
          <w:sz w:val="20"/>
          <w:szCs w:val="20"/>
          <w:color w:val="auto"/>
        </w:rPr>
      </w:pPr>
      <w:r>
        <w:rPr>
          <w:rFonts w:ascii="Arial" w:cs="Arial" w:eastAsia="Arial" w:hAnsi="Arial"/>
          <w:sz w:val="14"/>
          <w:szCs w:val="14"/>
          <w:color w:val="auto"/>
        </w:rPr>
        <w:t>Exhibit Number</w:t>
        <w:tab/>
        <w:t>Exhibit Description</w:t>
      </w:r>
      <w:r>
        <w:rPr>
          <w:sz w:val="20"/>
          <w:szCs w:val="20"/>
          <w:color w:val="auto"/>
        </w:rPr>
        <w:tab/>
      </w:r>
      <w:r>
        <w:rPr>
          <w:rFonts w:ascii="Arial" w:cs="Arial" w:eastAsia="Arial" w:hAnsi="Arial"/>
          <w:sz w:val="14"/>
          <w:szCs w:val="14"/>
          <w:color w:val="auto"/>
        </w:rPr>
        <w:t>Form</w:t>
      </w:r>
      <w:r>
        <w:rPr>
          <w:sz w:val="20"/>
          <w:szCs w:val="20"/>
          <w:color w:val="auto"/>
        </w:rPr>
        <w:tab/>
      </w:r>
      <w:r>
        <w:rPr>
          <w:rFonts w:ascii="Arial" w:cs="Arial" w:eastAsia="Arial" w:hAnsi="Arial"/>
          <w:sz w:val="14"/>
          <w:szCs w:val="14"/>
          <w:color w:val="auto"/>
        </w:rPr>
        <w:t>File No.</w:t>
        <w:tab/>
        <w:t>Exhibit No.</w:t>
      </w:r>
      <w:r>
        <w:rPr>
          <w:sz w:val="20"/>
          <w:szCs w:val="20"/>
          <w:color w:val="auto"/>
        </w:rPr>
        <w:tab/>
      </w:r>
      <w:r>
        <w:rPr>
          <w:rFonts w:ascii="Arial" w:cs="Arial" w:eastAsia="Arial" w:hAnsi="Arial"/>
          <w:sz w:val="14"/>
          <w:szCs w:val="14"/>
          <w:color w:val="auto"/>
        </w:rPr>
        <w:t>Filing date</w:t>
        <w:tab/>
        <w:t>Filed / Furnished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 w:type="dxa"/>
            <w:vAlign w:val="bottom"/>
          </w:tcPr>
          <w:p>
            <w:pPr>
              <w:spacing w:after="0"/>
              <w:rPr>
                <w:rFonts w:ascii="Arial" w:cs="Arial" w:eastAsia="Arial" w:hAnsi="Arial"/>
                <w:sz w:val="14"/>
                <w:szCs w:val="14"/>
                <w:color w:val="0000FF"/>
                <w:w w:val="92"/>
              </w:rPr>
            </w:pPr>
            <w:hyperlink r:id="rId25">
              <w:r>
                <w:rPr>
                  <w:rFonts w:ascii="Arial" w:cs="Arial" w:eastAsia="Arial" w:hAnsi="Arial"/>
                  <w:sz w:val="14"/>
                  <w:szCs w:val="14"/>
                  <w:color w:val="0000FF"/>
                  <w:w w:val="92"/>
                </w:rPr>
                <w:t>1.</w:t>
              </w:r>
              <w:r>
                <w:rPr>
                  <w:rFonts w:ascii="Arial" w:cs="Arial" w:eastAsia="Arial" w:hAnsi="Arial"/>
                  <w:sz w:val="14"/>
                  <w:szCs w:val="14"/>
                  <w:u w:val="single" w:color="auto"/>
                  <w:color w:val="0000FF"/>
                  <w:w w:val="92"/>
                </w:rPr>
                <w:t>1</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80" w:type="dxa"/>
            <w:vAlign w:val="bottom"/>
            <w:gridSpan w:val="17"/>
          </w:tcPr>
          <w:p>
            <w:pPr>
              <w:spacing w:after="0"/>
              <w:rPr>
                <w:rFonts w:ascii="Arial" w:cs="Arial" w:eastAsia="Arial" w:hAnsi="Arial"/>
                <w:sz w:val="14"/>
                <w:szCs w:val="14"/>
                <w:color w:val="0000FF"/>
              </w:rPr>
            </w:pPr>
            <w:hyperlink r:id="rId25">
              <w:r>
                <w:rPr>
                  <w:rFonts w:ascii="Arial" w:cs="Arial" w:eastAsia="Arial" w:hAnsi="Arial"/>
                  <w:sz w:val="14"/>
                  <w:szCs w:val="14"/>
                  <w:color w:val="0000FF"/>
                </w:rPr>
                <w:t>Articles of Association, as amended and as currently in effect</w:t>
              </w:r>
            </w:hyperlink>
          </w:p>
        </w:tc>
        <w:tc>
          <w:tcPr>
            <w:tcW w:w="1260" w:type="dxa"/>
            <w:vAlign w:val="bottom"/>
          </w:tcPr>
          <w:p>
            <w:pPr>
              <w:jc w:val="right"/>
              <w:ind w:right="348"/>
              <w:spacing w:after="0"/>
              <w:rPr>
                <w:sz w:val="20"/>
                <w:szCs w:val="20"/>
                <w:color w:val="auto"/>
              </w:rPr>
            </w:pPr>
            <w:r>
              <w:rPr>
                <w:rFonts w:ascii="Arial" w:cs="Arial" w:eastAsia="Arial" w:hAnsi="Arial"/>
                <w:sz w:val="14"/>
                <w:szCs w:val="14"/>
                <w:color w:val="auto"/>
              </w:rPr>
              <w:t>F-1</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333-217124</w:t>
            </w: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3.1</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93"/>
        </w:trPr>
        <w:tc>
          <w:tcPr>
            <w:tcW w:w="200" w:type="dxa"/>
            <w:vAlign w:val="bottom"/>
            <w:tcBorders>
              <w:top w:val="single" w:sz="8" w:color="0000FF"/>
            </w:tcBorders>
          </w:tcPr>
          <w:p>
            <w:pPr>
              <w:spacing w:after="0"/>
              <w:rPr>
                <w:rFonts w:ascii="Arial" w:cs="Arial" w:eastAsia="Arial" w:hAnsi="Arial"/>
                <w:sz w:val="14"/>
                <w:szCs w:val="14"/>
                <w:color w:val="0000FF"/>
                <w:w w:val="92"/>
              </w:rPr>
            </w:pPr>
            <w:hyperlink r:id="rId26">
              <w:r>
                <w:rPr>
                  <w:rFonts w:ascii="Arial" w:cs="Arial" w:eastAsia="Arial" w:hAnsi="Arial"/>
                  <w:sz w:val="14"/>
                  <w:szCs w:val="14"/>
                  <w:color w:val="0000FF"/>
                  <w:w w:val="92"/>
                </w:rPr>
                <w:t>2.</w:t>
              </w:r>
              <w:r>
                <w:rPr>
                  <w:rFonts w:ascii="Arial" w:cs="Arial" w:eastAsia="Arial" w:hAnsi="Arial"/>
                  <w:sz w:val="14"/>
                  <w:szCs w:val="14"/>
                  <w:u w:val="single" w:color="auto"/>
                  <w:color w:val="0000FF"/>
                  <w:w w:val="92"/>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60" w:type="dxa"/>
            <w:vAlign w:val="bottom"/>
            <w:tcBorders>
              <w:top w:val="single" w:sz="8" w:color="0000FF"/>
            </w:tcBorders>
            <w:gridSpan w:val="9"/>
          </w:tcPr>
          <w:p>
            <w:pPr>
              <w:spacing w:after="0"/>
              <w:rPr>
                <w:rFonts w:ascii="Arial" w:cs="Arial" w:eastAsia="Arial" w:hAnsi="Arial"/>
                <w:sz w:val="14"/>
                <w:szCs w:val="14"/>
                <w:color w:val="0000FF"/>
              </w:rPr>
            </w:pPr>
            <w:hyperlink r:id="rId26">
              <w:r>
                <w:rPr>
                  <w:rFonts w:ascii="Arial" w:cs="Arial" w:eastAsia="Arial" w:hAnsi="Arial"/>
                  <w:sz w:val="14"/>
                  <w:szCs w:val="14"/>
                  <w:color w:val="0000FF"/>
                </w:rPr>
                <w:t>Deposit Agreement</w:t>
              </w:r>
            </w:hyperlink>
          </w:p>
        </w:tc>
        <w:tc>
          <w:tcPr>
            <w:tcW w:w="420" w:type="dxa"/>
            <w:vAlign w:val="bottom"/>
            <w:gridSpan w:val="8"/>
          </w:tcPr>
          <w:p>
            <w:pPr>
              <w:spacing w:after="0"/>
              <w:rPr>
                <w:sz w:val="24"/>
                <w:szCs w:val="24"/>
                <w:color w:val="auto"/>
              </w:rPr>
            </w:pPr>
          </w:p>
        </w:tc>
        <w:tc>
          <w:tcPr>
            <w:tcW w:w="1260" w:type="dxa"/>
            <w:vAlign w:val="bottom"/>
          </w:tcPr>
          <w:p>
            <w:pPr>
              <w:jc w:val="right"/>
              <w:ind w:right="348"/>
              <w:spacing w:after="0"/>
              <w:rPr>
                <w:sz w:val="20"/>
                <w:szCs w:val="20"/>
                <w:color w:val="auto"/>
              </w:rPr>
            </w:pPr>
            <w:r>
              <w:rPr>
                <w:rFonts w:ascii="Arial" w:cs="Arial" w:eastAsia="Arial" w:hAnsi="Arial"/>
                <w:sz w:val="14"/>
                <w:szCs w:val="14"/>
                <w:color w:val="auto"/>
              </w:rPr>
              <w:t>20-F</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001-38067</w:t>
            </w: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2.1</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2/27/2018</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00" w:type="dxa"/>
            <w:vAlign w:val="bottom"/>
            <w:tcBorders>
              <w:bottom w:val="single" w:sz="8" w:color="0000FF"/>
            </w:tcBorders>
          </w:tcPr>
          <w:p>
            <w:pPr>
              <w:spacing w:after="0"/>
              <w:rPr>
                <w:rFonts w:ascii="Arial" w:cs="Arial" w:eastAsia="Arial" w:hAnsi="Arial"/>
                <w:sz w:val="14"/>
                <w:szCs w:val="14"/>
                <w:color w:val="0000FF"/>
                <w:w w:val="92"/>
              </w:rPr>
            </w:pPr>
            <w:hyperlink r:id="rId26">
              <w:r>
                <w:rPr>
                  <w:rFonts w:ascii="Arial" w:cs="Arial" w:eastAsia="Arial" w:hAnsi="Arial"/>
                  <w:sz w:val="14"/>
                  <w:szCs w:val="14"/>
                  <w:color w:val="0000FF"/>
                  <w:w w:val="92"/>
                </w:rPr>
                <w:t>2.</w:t>
              </w:r>
              <w:r>
                <w:rPr>
                  <w:rFonts w:ascii="Arial" w:cs="Arial" w:eastAsia="Arial" w:hAnsi="Arial"/>
                  <w:sz w:val="14"/>
                  <w:szCs w:val="14"/>
                  <w:u w:val="single" w:color="auto"/>
                  <w:color w:val="0000FF"/>
                  <w:w w:val="92"/>
                </w:rPr>
                <w:t>2</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20" w:type="dxa"/>
            <w:vAlign w:val="bottom"/>
            <w:tcBorders>
              <w:bottom w:val="single" w:sz="8" w:color="0000FF"/>
            </w:tcBorders>
            <w:gridSpan w:val="11"/>
          </w:tcPr>
          <w:p>
            <w:pPr>
              <w:spacing w:after="0"/>
              <w:rPr>
                <w:rFonts w:ascii="Arial" w:cs="Arial" w:eastAsia="Arial" w:hAnsi="Arial"/>
                <w:sz w:val="14"/>
                <w:szCs w:val="14"/>
                <w:color w:val="0000FF"/>
              </w:rPr>
            </w:pPr>
            <w:hyperlink r:id="rId26">
              <w:r>
                <w:rPr>
                  <w:rFonts w:ascii="Arial" w:cs="Arial" w:eastAsia="Arial" w:hAnsi="Arial"/>
                  <w:sz w:val="14"/>
                  <w:szCs w:val="14"/>
                  <w:color w:val="0000FF"/>
                </w:rPr>
                <w:t>Form of American Depositary Receipt (included in Exhibit 2.1)</w:t>
              </w:r>
            </w:hyperlink>
          </w:p>
        </w:tc>
        <w:tc>
          <w:tcPr>
            <w:tcW w:w="360" w:type="dxa"/>
            <w:vAlign w:val="bottom"/>
            <w:gridSpan w:val="6"/>
          </w:tcPr>
          <w:p>
            <w:pPr>
              <w:spacing w:after="0"/>
              <w:rPr>
                <w:sz w:val="24"/>
                <w:szCs w:val="24"/>
                <w:color w:val="auto"/>
              </w:rPr>
            </w:pPr>
          </w:p>
        </w:tc>
        <w:tc>
          <w:tcPr>
            <w:tcW w:w="1260" w:type="dxa"/>
            <w:vAlign w:val="bottom"/>
          </w:tcPr>
          <w:p>
            <w:pPr>
              <w:jc w:val="right"/>
              <w:ind w:right="348"/>
              <w:spacing w:after="0"/>
              <w:rPr>
                <w:sz w:val="20"/>
                <w:szCs w:val="20"/>
                <w:color w:val="auto"/>
              </w:rPr>
            </w:pPr>
            <w:r>
              <w:rPr>
                <w:rFonts w:ascii="Arial" w:cs="Arial" w:eastAsia="Arial" w:hAnsi="Arial"/>
                <w:sz w:val="14"/>
                <w:szCs w:val="14"/>
                <w:color w:val="auto"/>
              </w:rPr>
              <w:t>20-F</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001-38067</w:t>
            </w: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2.2</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2/27/2018</w:t>
            </w: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80" w:type="dxa"/>
            <w:vAlign w:val="bottom"/>
            <w:tcBorders>
              <w:bottom w:val="single" w:sz="8" w:color="0000FF"/>
            </w:tcBorders>
            <w:gridSpan w:val="17"/>
          </w:tcPr>
          <w:p>
            <w:pPr>
              <w:spacing w:after="0"/>
              <w:rPr>
                <w:rFonts w:ascii="Arial" w:cs="Arial" w:eastAsia="Arial" w:hAnsi="Arial"/>
                <w:sz w:val="14"/>
                <w:szCs w:val="14"/>
                <w:color w:val="0000FF"/>
              </w:rPr>
            </w:pPr>
            <w:hyperlink r:id="rId27">
              <w:r>
                <w:rPr>
                  <w:rFonts w:ascii="Arial" w:cs="Arial" w:eastAsia="Arial" w:hAnsi="Arial"/>
                  <w:sz w:val="14"/>
                  <w:szCs w:val="14"/>
                  <w:color w:val="0000FF"/>
                </w:rPr>
                <w:t>Form of Warrant issued to each of the investors named in Schedule</w:t>
              </w:r>
            </w:hyperlink>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Borders>
              <w:bottom w:val="single" w:sz="8" w:color="0000FF"/>
            </w:tcBorders>
          </w:tcPr>
          <w:p>
            <w:pPr>
              <w:spacing w:after="0" w:line="142" w:lineRule="exact"/>
              <w:rPr>
                <w:rFonts w:ascii="Arial" w:cs="Arial" w:eastAsia="Arial" w:hAnsi="Arial"/>
                <w:sz w:val="14"/>
                <w:szCs w:val="14"/>
                <w:color w:val="0000FF"/>
                <w:w w:val="92"/>
              </w:rPr>
            </w:pPr>
            <w:hyperlink r:id="rId27">
              <w:r>
                <w:rPr>
                  <w:rFonts w:ascii="Arial" w:cs="Arial" w:eastAsia="Arial" w:hAnsi="Arial"/>
                  <w:sz w:val="14"/>
                  <w:szCs w:val="14"/>
                  <w:color w:val="0000FF"/>
                  <w:w w:val="92"/>
                </w:rPr>
                <w:t>2.</w:t>
              </w:r>
              <w:r>
                <w:rPr>
                  <w:rFonts w:ascii="Arial" w:cs="Arial" w:eastAsia="Arial" w:hAnsi="Arial"/>
                  <w:sz w:val="14"/>
                  <w:szCs w:val="14"/>
                  <w:u w:val="single" w:color="auto"/>
                  <w:color w:val="0000FF"/>
                  <w:w w:val="92"/>
                </w:rPr>
                <w:t>3</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Borders>
              <w:bottom w:val="single" w:sz="8" w:color="0000FF"/>
            </w:tcBorders>
            <w:gridSpan w:val="2"/>
          </w:tcPr>
          <w:p>
            <w:pPr>
              <w:spacing w:after="0" w:line="142" w:lineRule="exact"/>
              <w:rPr>
                <w:rFonts w:ascii="Arial" w:cs="Arial" w:eastAsia="Arial" w:hAnsi="Arial"/>
                <w:sz w:val="14"/>
                <w:szCs w:val="14"/>
                <w:color w:val="0000FF"/>
                <w:w w:val="98"/>
              </w:rPr>
            </w:pPr>
            <w:hyperlink r:id="rId27">
              <w:r>
                <w:rPr>
                  <w:rFonts w:ascii="Arial" w:cs="Arial" w:eastAsia="Arial" w:hAnsi="Arial"/>
                  <w:sz w:val="14"/>
                  <w:szCs w:val="14"/>
                  <w:color w:val="0000FF"/>
                  <w:w w:val="98"/>
                </w:rPr>
                <w:t>A thereto</w:t>
              </w:r>
            </w:hyperlink>
          </w:p>
        </w:tc>
        <w:tc>
          <w:tcPr>
            <w:tcW w:w="3700" w:type="dxa"/>
            <w:vAlign w:val="bottom"/>
            <w:gridSpan w:val="15"/>
          </w:tcPr>
          <w:p>
            <w:pPr>
              <w:spacing w:after="0"/>
              <w:rPr>
                <w:sz w:val="12"/>
                <w:szCs w:val="12"/>
                <w:color w:val="auto"/>
              </w:rPr>
            </w:pPr>
          </w:p>
        </w:tc>
        <w:tc>
          <w:tcPr>
            <w:tcW w:w="126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F-1</w:t>
            </w:r>
          </w:p>
        </w:tc>
        <w:tc>
          <w:tcPr>
            <w:tcW w:w="148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333-217124</w:t>
            </w:r>
          </w:p>
        </w:tc>
        <w:tc>
          <w:tcPr>
            <w:tcW w:w="98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4.3</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93"/>
        </w:trPr>
        <w:tc>
          <w:tcPr>
            <w:tcW w:w="200" w:type="dxa"/>
            <w:vAlign w:val="bottom"/>
          </w:tcPr>
          <w:p>
            <w:pPr>
              <w:spacing w:after="0"/>
              <w:rPr>
                <w:rFonts w:ascii="Arial" w:cs="Arial" w:eastAsia="Arial" w:hAnsi="Arial"/>
                <w:sz w:val="14"/>
                <w:szCs w:val="14"/>
                <w:color w:val="0000FF"/>
                <w:w w:val="92"/>
              </w:rPr>
            </w:pPr>
            <w:hyperlink r:id="rId28">
              <w:r>
                <w:rPr>
                  <w:rFonts w:ascii="Arial" w:cs="Arial" w:eastAsia="Arial" w:hAnsi="Arial"/>
                  <w:sz w:val="14"/>
                  <w:szCs w:val="14"/>
                  <w:color w:val="0000FF"/>
                  <w:w w:val="92"/>
                </w:rPr>
                <w:t>2.</w:t>
              </w:r>
              <w:r>
                <w:rPr>
                  <w:rFonts w:ascii="Arial" w:cs="Arial" w:eastAsia="Arial" w:hAnsi="Arial"/>
                  <w:sz w:val="14"/>
                  <w:szCs w:val="14"/>
                  <w:u w:val="single" w:color="auto"/>
                  <w:color w:val="0000FF"/>
                  <w:w w:val="92"/>
                </w:rPr>
                <w:t>4</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80" w:type="dxa"/>
            <w:vAlign w:val="bottom"/>
            <w:gridSpan w:val="17"/>
          </w:tcPr>
          <w:p>
            <w:pPr>
              <w:spacing w:after="0"/>
              <w:rPr>
                <w:rFonts w:ascii="Arial" w:cs="Arial" w:eastAsia="Arial" w:hAnsi="Arial"/>
                <w:sz w:val="14"/>
                <w:szCs w:val="14"/>
                <w:color w:val="0000FF"/>
              </w:rPr>
            </w:pPr>
            <w:hyperlink r:id="rId28">
              <w:r>
                <w:rPr>
                  <w:rFonts w:ascii="Arial" w:cs="Arial" w:eastAsia="Arial" w:hAnsi="Arial"/>
                  <w:sz w:val="14"/>
                  <w:szCs w:val="14"/>
                  <w:color w:val="0000FF"/>
                </w:rPr>
                <w:t>Warrant Instrument issued to NPlus1 Singer LLP</w:t>
              </w:r>
            </w:hyperlink>
          </w:p>
        </w:tc>
        <w:tc>
          <w:tcPr>
            <w:tcW w:w="1260" w:type="dxa"/>
            <w:vAlign w:val="bottom"/>
          </w:tcPr>
          <w:p>
            <w:pPr>
              <w:jc w:val="right"/>
              <w:ind w:right="348"/>
              <w:spacing w:after="0"/>
              <w:rPr>
                <w:sz w:val="20"/>
                <w:szCs w:val="20"/>
                <w:color w:val="auto"/>
              </w:rPr>
            </w:pPr>
            <w:r>
              <w:rPr>
                <w:rFonts w:ascii="Arial" w:cs="Arial" w:eastAsia="Arial" w:hAnsi="Arial"/>
                <w:sz w:val="14"/>
                <w:szCs w:val="14"/>
                <w:color w:val="auto"/>
              </w:rPr>
              <w:t>F-1</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333-217124</w:t>
            </w: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4.4</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93"/>
        </w:trPr>
        <w:tc>
          <w:tcPr>
            <w:tcW w:w="200" w:type="dxa"/>
            <w:vAlign w:val="bottom"/>
            <w:tcBorders>
              <w:top w:val="single" w:sz="8" w:color="0000FF"/>
            </w:tcBorders>
          </w:tcPr>
          <w:p>
            <w:pPr>
              <w:spacing w:after="0"/>
              <w:rPr>
                <w:rFonts w:ascii="Arial" w:cs="Arial" w:eastAsia="Arial" w:hAnsi="Arial"/>
                <w:sz w:val="14"/>
                <w:szCs w:val="14"/>
                <w:color w:val="0000FF"/>
                <w:w w:val="92"/>
              </w:rPr>
            </w:pPr>
            <w:hyperlink w:anchor="page157">
              <w:r>
                <w:rPr>
                  <w:rFonts w:ascii="Arial" w:cs="Arial" w:eastAsia="Arial" w:hAnsi="Arial"/>
                  <w:sz w:val="14"/>
                  <w:szCs w:val="14"/>
                  <w:color w:val="0000FF"/>
                  <w:w w:val="92"/>
                </w:rPr>
                <w:t>2.</w:t>
              </w:r>
              <w:r>
                <w:rPr>
                  <w:rFonts w:ascii="Arial" w:cs="Arial" w:eastAsia="Arial" w:hAnsi="Arial"/>
                  <w:sz w:val="14"/>
                  <w:szCs w:val="14"/>
                  <w:u w:val="single" w:color="auto"/>
                  <w:color w:val="0000FF"/>
                  <w:w w:val="92"/>
                </w:rPr>
                <w:t>5</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80" w:type="dxa"/>
            <w:vAlign w:val="bottom"/>
            <w:tcBorders>
              <w:top w:val="single" w:sz="8" w:color="0000FF"/>
            </w:tcBorders>
            <w:gridSpan w:val="5"/>
          </w:tcPr>
          <w:p>
            <w:pPr>
              <w:spacing w:after="0"/>
              <w:rPr>
                <w:rFonts w:ascii="Arial" w:cs="Arial" w:eastAsia="Arial" w:hAnsi="Arial"/>
                <w:sz w:val="14"/>
                <w:szCs w:val="14"/>
                <w:color w:val="0000FF"/>
              </w:rPr>
            </w:pPr>
            <w:hyperlink w:anchor="page157">
              <w:r>
                <w:rPr>
                  <w:rFonts w:ascii="Arial" w:cs="Arial" w:eastAsia="Arial" w:hAnsi="Arial"/>
                  <w:sz w:val="14"/>
                  <w:szCs w:val="14"/>
                  <w:color w:val="0000FF"/>
                </w:rPr>
                <w:t>Description of Securities</w:t>
              </w:r>
            </w:hyperlink>
          </w:p>
        </w:tc>
        <w:tc>
          <w:tcPr>
            <w:tcW w:w="1200" w:type="dxa"/>
            <w:vAlign w:val="bottom"/>
            <w:gridSpan w:val="12"/>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80" w:type="dxa"/>
            <w:vAlign w:val="bottom"/>
            <w:tcBorders>
              <w:bottom w:val="single" w:sz="8" w:color="0000FF"/>
            </w:tcBorders>
            <w:gridSpan w:val="17"/>
          </w:tcPr>
          <w:p>
            <w:pPr>
              <w:spacing w:after="0"/>
              <w:rPr>
                <w:rFonts w:ascii="Arial" w:cs="Arial" w:eastAsia="Arial" w:hAnsi="Arial"/>
                <w:sz w:val="14"/>
                <w:szCs w:val="14"/>
                <w:color w:val="0000FF"/>
              </w:rPr>
            </w:pPr>
            <w:hyperlink r:id="rId29">
              <w:r>
                <w:rPr>
                  <w:rFonts w:ascii="Arial" w:cs="Arial" w:eastAsia="Arial" w:hAnsi="Arial"/>
                  <w:sz w:val="14"/>
                  <w:szCs w:val="14"/>
                  <w:color w:val="0000FF"/>
                </w:rPr>
                <w:t>Registration Rights Agreement, dated July 29, 2016, by and among</w:t>
              </w:r>
            </w:hyperlink>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line="142" w:lineRule="exact"/>
              <w:rPr>
                <w:rFonts w:ascii="Arial" w:cs="Arial" w:eastAsia="Arial" w:hAnsi="Arial"/>
                <w:sz w:val="14"/>
                <w:szCs w:val="14"/>
                <w:color w:val="0000FF"/>
                <w:w w:val="92"/>
              </w:rPr>
            </w:pPr>
            <w:hyperlink r:id="rId29">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80" w:type="dxa"/>
            <w:vAlign w:val="bottom"/>
            <w:gridSpan w:val="17"/>
          </w:tcPr>
          <w:p>
            <w:pPr>
              <w:spacing w:after="0" w:line="142" w:lineRule="exact"/>
              <w:rPr>
                <w:rFonts w:ascii="Arial" w:cs="Arial" w:eastAsia="Arial" w:hAnsi="Arial"/>
                <w:sz w:val="14"/>
                <w:szCs w:val="14"/>
                <w:color w:val="0000FF"/>
              </w:rPr>
            </w:pPr>
            <w:hyperlink r:id="rId29">
              <w:r>
                <w:rPr>
                  <w:rFonts w:ascii="Arial" w:cs="Arial" w:eastAsia="Arial" w:hAnsi="Arial"/>
                  <w:sz w:val="14"/>
                  <w:szCs w:val="14"/>
                  <w:color w:val="0000FF"/>
                </w:rPr>
                <w:t>Verona Pharma plc and the investors set forth therein</w:t>
              </w:r>
            </w:hyperlink>
          </w:p>
        </w:tc>
        <w:tc>
          <w:tcPr>
            <w:tcW w:w="126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F-1</w:t>
            </w:r>
          </w:p>
        </w:tc>
        <w:tc>
          <w:tcPr>
            <w:tcW w:w="148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333-217124</w:t>
            </w:r>
          </w:p>
        </w:tc>
        <w:tc>
          <w:tcPr>
            <w:tcW w:w="98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10.1</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0" w:type="dxa"/>
            <w:vAlign w:val="bottom"/>
            <w:tcBorders>
              <w:bottom w:val="single" w:sz="8" w:color="0000FF"/>
            </w:tcBorders>
            <w:gridSpan w:val="14"/>
          </w:tcPr>
          <w:p>
            <w:pPr>
              <w:spacing w:after="0"/>
              <w:rPr>
                <w:rFonts w:ascii="Arial" w:cs="Arial" w:eastAsia="Arial" w:hAnsi="Arial"/>
                <w:sz w:val="14"/>
                <w:szCs w:val="14"/>
                <w:color w:val="0000FF"/>
              </w:rPr>
            </w:pPr>
            <w:hyperlink r:id="rId30">
              <w:r>
                <w:rPr>
                  <w:rFonts w:ascii="Arial" w:cs="Arial" w:eastAsia="Arial" w:hAnsi="Arial"/>
                  <w:sz w:val="14"/>
                  <w:szCs w:val="14"/>
                  <w:color w:val="0000FF"/>
                </w:rPr>
                <w:t>Intellectual Property Assignment and Licence Agreement between</w:t>
              </w:r>
            </w:hyperlink>
          </w:p>
        </w:tc>
        <w:tc>
          <w:tcPr>
            <w:tcW w:w="8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80" w:type="dxa"/>
            <w:vAlign w:val="bottom"/>
            <w:gridSpan w:val="17"/>
          </w:tcPr>
          <w:p>
            <w:pPr>
              <w:spacing w:after="0" w:line="142" w:lineRule="exact"/>
              <w:rPr>
                <w:rFonts w:ascii="Arial" w:cs="Arial" w:eastAsia="Arial" w:hAnsi="Arial"/>
                <w:sz w:val="14"/>
                <w:szCs w:val="14"/>
                <w:color w:val="0000FF"/>
              </w:rPr>
            </w:pPr>
            <w:hyperlink r:id="rId30">
              <w:r>
                <w:rPr>
                  <w:rFonts w:ascii="Arial" w:cs="Arial" w:eastAsia="Arial" w:hAnsi="Arial"/>
                  <w:sz w:val="14"/>
                  <w:szCs w:val="14"/>
                  <w:color w:val="0000FF"/>
                </w:rPr>
                <w:t>Vernalis Development Limited and Rhinopharma Limited, as</w:t>
              </w:r>
            </w:hyperlink>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Borders>
              <w:bottom w:val="single" w:sz="8" w:color="0000FF"/>
            </w:tcBorders>
            <w:gridSpan w:val="2"/>
          </w:tcPr>
          <w:p>
            <w:pPr>
              <w:spacing w:after="0" w:line="142" w:lineRule="exact"/>
              <w:rPr>
                <w:rFonts w:ascii="Arial" w:cs="Arial" w:eastAsia="Arial" w:hAnsi="Arial"/>
                <w:sz w:val="14"/>
                <w:szCs w:val="14"/>
                <w:color w:val="0000FF"/>
                <w:w w:val="95"/>
              </w:rPr>
            </w:pPr>
            <w:hyperlink r:id="rId30">
              <w:r>
                <w:rPr>
                  <w:rFonts w:ascii="Arial" w:cs="Arial" w:eastAsia="Arial" w:hAnsi="Arial"/>
                  <w:sz w:val="14"/>
                  <w:szCs w:val="14"/>
                  <w:color w:val="0000FF"/>
                  <w:w w:val="95"/>
                </w:rPr>
                <w:t>4.</w:t>
              </w:r>
              <w:r>
                <w:rPr>
                  <w:rFonts w:ascii="Arial" w:cs="Arial" w:eastAsia="Arial" w:hAnsi="Arial"/>
                  <w:sz w:val="14"/>
                  <w:szCs w:val="14"/>
                  <w:u w:val="single" w:color="auto"/>
                  <w:color w:val="0000FF"/>
                  <w:w w:val="95"/>
                </w:rPr>
                <w:t>2†</w:t>
              </w:r>
            </w:hyperlink>
          </w:p>
        </w:tc>
        <w:tc>
          <w:tcPr>
            <w:tcW w:w="880" w:type="dxa"/>
            <w:vAlign w:val="bottom"/>
            <w:gridSpan w:val="2"/>
          </w:tcPr>
          <w:p>
            <w:pPr>
              <w:spacing w:after="0"/>
              <w:rPr>
                <w:sz w:val="12"/>
                <w:szCs w:val="12"/>
                <w:color w:val="auto"/>
              </w:rPr>
            </w:pPr>
          </w:p>
        </w:tc>
        <w:tc>
          <w:tcPr>
            <w:tcW w:w="378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rPr>
            </w:pPr>
            <w:hyperlink r:id="rId30">
              <w:r>
                <w:rPr>
                  <w:rFonts w:ascii="Arial" w:cs="Arial" w:eastAsia="Arial" w:hAnsi="Arial"/>
                  <w:sz w:val="14"/>
                  <w:szCs w:val="14"/>
                  <w:color w:val="0000FF"/>
                </w:rPr>
                <w:t>predecessor to Verona Pharma plc, dated February 7, 2005</w:t>
              </w:r>
            </w:hyperlink>
          </w:p>
        </w:tc>
        <w:tc>
          <w:tcPr>
            <w:tcW w:w="20" w:type="dxa"/>
            <w:vAlign w:val="bottom"/>
            <w:tcBorders>
              <w:top w:val="single" w:sz="8" w:color="0000FF"/>
            </w:tcBorders>
          </w:tcPr>
          <w:p>
            <w:pPr>
              <w:spacing w:after="0"/>
              <w:rPr>
                <w:sz w:val="12"/>
                <w:szCs w:val="12"/>
                <w:color w:val="auto"/>
              </w:rPr>
            </w:pPr>
          </w:p>
        </w:tc>
        <w:tc>
          <w:tcPr>
            <w:tcW w:w="480" w:type="dxa"/>
            <w:vAlign w:val="bottom"/>
            <w:gridSpan w:val="9"/>
          </w:tcPr>
          <w:p>
            <w:pPr>
              <w:spacing w:after="0"/>
              <w:rPr>
                <w:sz w:val="12"/>
                <w:szCs w:val="12"/>
                <w:color w:val="auto"/>
              </w:rPr>
            </w:pPr>
          </w:p>
        </w:tc>
        <w:tc>
          <w:tcPr>
            <w:tcW w:w="126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F-1</w:t>
            </w:r>
          </w:p>
        </w:tc>
        <w:tc>
          <w:tcPr>
            <w:tcW w:w="148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333-217124</w:t>
            </w:r>
          </w:p>
        </w:tc>
        <w:tc>
          <w:tcPr>
            <w:tcW w:w="98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10.2</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20" w:type="dxa"/>
            <w:vAlign w:val="bottom"/>
            <w:tcBorders>
              <w:bottom w:val="single" w:sz="8" w:color="0000FF"/>
            </w:tcBorders>
            <w:gridSpan w:val="15"/>
          </w:tcPr>
          <w:p>
            <w:pPr>
              <w:spacing w:after="0"/>
              <w:rPr>
                <w:rFonts w:ascii="Arial" w:cs="Arial" w:eastAsia="Arial" w:hAnsi="Arial"/>
                <w:sz w:val="14"/>
                <w:szCs w:val="14"/>
                <w:color w:val="0000FF"/>
              </w:rPr>
            </w:pPr>
            <w:hyperlink r:id="rId31">
              <w:r>
                <w:rPr>
                  <w:rFonts w:ascii="Arial" w:cs="Arial" w:eastAsia="Arial" w:hAnsi="Arial"/>
                  <w:sz w:val="14"/>
                  <w:szCs w:val="14"/>
                  <w:color w:val="0000FF"/>
                </w:rPr>
                <w:t>Renewal Agreement to Lease by and between the Verona Pharma</w:t>
              </w:r>
            </w:hyperlink>
          </w:p>
        </w:tc>
        <w:tc>
          <w:tcPr>
            <w:tcW w:w="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vMerge w:val="restart"/>
          </w:tcPr>
          <w:p>
            <w:pPr>
              <w:spacing w:after="0"/>
              <w:rPr>
                <w:rFonts w:ascii="Arial" w:cs="Arial" w:eastAsia="Arial" w:hAnsi="Arial"/>
                <w:sz w:val="14"/>
                <w:szCs w:val="14"/>
                <w:color w:val="0000FF"/>
                <w:w w:val="92"/>
              </w:rPr>
            </w:pPr>
            <w:hyperlink r:id="rId31">
              <w:r>
                <w:rPr>
                  <w:rFonts w:ascii="Arial" w:cs="Arial" w:eastAsia="Arial" w:hAnsi="Arial"/>
                  <w:sz w:val="14"/>
                  <w:szCs w:val="14"/>
                  <w:color w:val="0000FF"/>
                  <w:w w:val="92"/>
                </w:rPr>
                <w:t>4.</w:t>
              </w:r>
              <w:r>
                <w:rPr>
                  <w:rFonts w:ascii="Arial" w:cs="Arial" w:eastAsia="Arial" w:hAnsi="Arial"/>
                  <w:sz w:val="14"/>
                  <w:szCs w:val="14"/>
                  <w:u w:val="single" w:color="auto"/>
                  <w:color w:val="0000FF"/>
                  <w:w w:val="92"/>
                </w:rPr>
                <w:t>3</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80" w:type="dxa"/>
            <w:vAlign w:val="bottom"/>
            <w:gridSpan w:val="17"/>
          </w:tcPr>
          <w:p>
            <w:pPr>
              <w:spacing w:after="0" w:line="142" w:lineRule="exact"/>
              <w:rPr>
                <w:rFonts w:ascii="Arial" w:cs="Arial" w:eastAsia="Arial" w:hAnsi="Arial"/>
                <w:sz w:val="14"/>
                <w:szCs w:val="14"/>
                <w:color w:val="0000FF"/>
              </w:rPr>
            </w:pPr>
            <w:hyperlink r:id="rId31">
              <w:r>
                <w:rPr>
                  <w:rFonts w:ascii="Arial" w:cs="Arial" w:eastAsia="Arial" w:hAnsi="Arial"/>
                  <w:sz w:val="14"/>
                  <w:szCs w:val="14"/>
                  <w:color w:val="0000FF"/>
                </w:rPr>
                <w:t>plc and Regus Management (UK) Limited dated October 19, 2017</w:t>
              </w:r>
            </w:hyperlink>
          </w:p>
        </w:tc>
        <w:tc>
          <w:tcPr>
            <w:tcW w:w="1260" w:type="dxa"/>
            <w:vAlign w:val="bottom"/>
            <w:vMerge w:val="restart"/>
          </w:tcPr>
          <w:p>
            <w:pPr>
              <w:jc w:val="right"/>
              <w:ind w:right="348"/>
              <w:spacing w:after="0"/>
              <w:rPr>
                <w:sz w:val="20"/>
                <w:szCs w:val="20"/>
                <w:color w:val="auto"/>
              </w:rPr>
            </w:pPr>
            <w:r>
              <w:rPr>
                <w:rFonts w:ascii="Arial" w:cs="Arial" w:eastAsia="Arial" w:hAnsi="Arial"/>
                <w:sz w:val="14"/>
                <w:szCs w:val="14"/>
                <w:color w:val="auto"/>
              </w:rPr>
              <w:t>20-F</w:t>
            </w:r>
          </w:p>
        </w:tc>
        <w:tc>
          <w:tcPr>
            <w:tcW w:w="1480" w:type="dxa"/>
            <w:vAlign w:val="bottom"/>
            <w:vMerge w:val="restart"/>
          </w:tcPr>
          <w:p>
            <w:pPr>
              <w:jc w:val="right"/>
              <w:ind w:right="228"/>
              <w:spacing w:after="0"/>
              <w:rPr>
                <w:sz w:val="20"/>
                <w:szCs w:val="20"/>
                <w:color w:val="auto"/>
              </w:rPr>
            </w:pPr>
            <w:r>
              <w:rPr>
                <w:rFonts w:ascii="Arial" w:cs="Arial" w:eastAsia="Arial" w:hAnsi="Arial"/>
                <w:sz w:val="14"/>
                <w:szCs w:val="14"/>
                <w:color w:val="auto"/>
              </w:rPr>
              <w:t>001-38067</w:t>
            </w: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4.3</w:t>
            </w:r>
          </w:p>
        </w:tc>
        <w:tc>
          <w:tcPr>
            <w:tcW w:w="2220" w:type="dxa"/>
            <w:vAlign w:val="bottom"/>
            <w:vMerge w:val="restart"/>
          </w:tcPr>
          <w:p>
            <w:pPr>
              <w:jc w:val="right"/>
              <w:ind w:right="1168"/>
              <w:spacing w:after="0"/>
              <w:rPr>
                <w:sz w:val="20"/>
                <w:szCs w:val="20"/>
                <w:color w:val="auto"/>
              </w:rPr>
            </w:pPr>
            <w:r>
              <w:rPr>
                <w:rFonts w:ascii="Arial" w:cs="Arial" w:eastAsia="Arial" w:hAnsi="Arial"/>
                <w:sz w:val="14"/>
                <w:szCs w:val="14"/>
                <w:color w:val="auto"/>
              </w:rPr>
              <w:t>3/19/2019</w:t>
            </w:r>
          </w:p>
        </w:tc>
        <w:tc>
          <w:tcPr>
            <w:tcW w:w="0" w:type="dxa"/>
            <w:vAlign w:val="bottom"/>
          </w:tcPr>
          <w:p>
            <w:pPr>
              <w:spacing w:after="0"/>
              <w:rPr>
                <w:sz w:val="1"/>
                <w:szCs w:val="1"/>
                <w:color w:val="auto"/>
              </w:rPr>
            </w:pPr>
          </w:p>
        </w:tc>
      </w:tr>
      <w:tr>
        <w:trPr>
          <w:trHeight w:val="147"/>
        </w:trPr>
        <w:tc>
          <w:tcPr>
            <w:tcW w:w="200" w:type="dxa"/>
            <w:vAlign w:val="bottom"/>
            <w:tcBorders>
              <w:bottom w:val="single" w:sz="8" w:color="0000FF"/>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40" w:type="dxa"/>
            <w:vAlign w:val="bottom"/>
            <w:tcBorders>
              <w:bottom w:val="single" w:sz="8" w:color="0000FF"/>
            </w:tcBorders>
            <w:gridSpan w:val="16"/>
          </w:tcPr>
          <w:p>
            <w:pPr>
              <w:spacing w:after="0"/>
              <w:rPr>
                <w:rFonts w:ascii="Arial" w:cs="Arial" w:eastAsia="Arial" w:hAnsi="Arial"/>
                <w:sz w:val="14"/>
                <w:szCs w:val="14"/>
                <w:color w:val="0000FF"/>
              </w:rPr>
            </w:pPr>
            <w:hyperlink r:id="rId32">
              <w:r>
                <w:rPr>
                  <w:rFonts w:ascii="Arial" w:cs="Arial" w:eastAsia="Arial" w:hAnsi="Arial"/>
                  <w:sz w:val="14"/>
                  <w:szCs w:val="14"/>
                  <w:color w:val="0000FF"/>
                </w:rPr>
                <w:t>Renewal Agreement to Lease by and between the Verona Pharma</w:t>
              </w:r>
            </w:hyperlink>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 w:type="dxa"/>
            <w:vAlign w:val="bottom"/>
            <w:gridSpan w:val="3"/>
          </w:tcPr>
          <w:p>
            <w:pPr>
              <w:spacing w:after="0" w:line="142" w:lineRule="exact"/>
              <w:rPr>
                <w:rFonts w:ascii="Arial" w:cs="Arial" w:eastAsia="Arial" w:hAnsi="Arial"/>
                <w:sz w:val="14"/>
                <w:szCs w:val="14"/>
                <w:color w:val="0000FF"/>
                <w:w w:val="96"/>
              </w:rPr>
            </w:pPr>
            <w:hyperlink r:id="rId32">
              <w:r>
                <w:rPr>
                  <w:rFonts w:ascii="Arial" w:cs="Arial" w:eastAsia="Arial" w:hAnsi="Arial"/>
                  <w:sz w:val="14"/>
                  <w:szCs w:val="14"/>
                  <w:color w:val="0000FF"/>
                  <w:w w:val="96"/>
                </w:rPr>
                <w:t>4.</w:t>
              </w:r>
              <w:r>
                <w:rPr>
                  <w:rFonts w:ascii="Arial" w:cs="Arial" w:eastAsia="Arial" w:hAnsi="Arial"/>
                  <w:sz w:val="14"/>
                  <w:szCs w:val="14"/>
                  <w:u w:val="single" w:color="auto"/>
                  <w:color w:val="0000FF"/>
                  <w:w w:val="96"/>
                </w:rPr>
                <w:t>3.1</w:t>
              </w:r>
            </w:hyperlink>
          </w:p>
        </w:tc>
        <w:tc>
          <w:tcPr>
            <w:tcW w:w="840" w:type="dxa"/>
            <w:vAlign w:val="bottom"/>
          </w:tcPr>
          <w:p>
            <w:pPr>
              <w:spacing w:after="0"/>
              <w:rPr>
                <w:sz w:val="12"/>
                <w:szCs w:val="12"/>
                <w:color w:val="auto"/>
              </w:rPr>
            </w:pPr>
          </w:p>
        </w:tc>
        <w:tc>
          <w:tcPr>
            <w:tcW w:w="4280" w:type="dxa"/>
            <w:vAlign w:val="bottom"/>
            <w:gridSpan w:val="17"/>
          </w:tcPr>
          <w:p>
            <w:pPr>
              <w:spacing w:after="0" w:line="142" w:lineRule="exact"/>
              <w:rPr>
                <w:rFonts w:ascii="Arial" w:cs="Arial" w:eastAsia="Arial" w:hAnsi="Arial"/>
                <w:sz w:val="14"/>
                <w:szCs w:val="14"/>
                <w:color w:val="0000FF"/>
              </w:rPr>
            </w:pPr>
            <w:hyperlink r:id="rId32">
              <w:r>
                <w:rPr>
                  <w:rFonts w:ascii="Arial" w:cs="Arial" w:eastAsia="Arial" w:hAnsi="Arial"/>
                  <w:sz w:val="14"/>
                  <w:szCs w:val="14"/>
                  <w:color w:val="0000FF"/>
                </w:rPr>
                <w:t>plc and Regus Management (UK) Limited dated November 8, 2017</w:t>
              </w:r>
            </w:hyperlink>
          </w:p>
        </w:tc>
        <w:tc>
          <w:tcPr>
            <w:tcW w:w="126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20-F</w:t>
            </w:r>
          </w:p>
        </w:tc>
        <w:tc>
          <w:tcPr>
            <w:tcW w:w="148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001-38067</w:t>
            </w:r>
          </w:p>
        </w:tc>
        <w:tc>
          <w:tcPr>
            <w:tcW w:w="98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4.3.1</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3/19/2019</w:t>
            </w:r>
          </w:p>
        </w:tc>
        <w:tc>
          <w:tcPr>
            <w:tcW w:w="0" w:type="dxa"/>
            <w:vAlign w:val="bottom"/>
          </w:tcPr>
          <w:p>
            <w:pPr>
              <w:spacing w:after="0"/>
              <w:rPr>
                <w:sz w:val="1"/>
                <w:szCs w:val="1"/>
                <w:color w:val="auto"/>
              </w:rPr>
            </w:pPr>
          </w:p>
        </w:tc>
      </w:tr>
      <w:tr>
        <w:trPr>
          <w:trHeight w:val="282"/>
        </w:trPr>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4220" w:type="dxa"/>
            <w:vAlign w:val="bottom"/>
            <w:tcBorders>
              <w:top w:val="single" w:sz="8" w:color="0000FF"/>
              <w:bottom w:val="single" w:sz="8" w:color="0000FF"/>
            </w:tcBorders>
            <w:gridSpan w:val="15"/>
          </w:tcPr>
          <w:p>
            <w:pPr>
              <w:spacing w:after="0"/>
              <w:rPr>
                <w:rFonts w:ascii="Arial" w:cs="Arial" w:eastAsia="Arial" w:hAnsi="Arial"/>
                <w:sz w:val="14"/>
                <w:szCs w:val="14"/>
                <w:color w:val="0000FF"/>
              </w:rPr>
            </w:pPr>
            <w:hyperlink r:id="rId33">
              <w:r>
                <w:rPr>
                  <w:rFonts w:ascii="Arial" w:cs="Arial" w:eastAsia="Arial" w:hAnsi="Arial"/>
                  <w:sz w:val="14"/>
                  <w:szCs w:val="14"/>
                  <w:color w:val="0000FF"/>
                </w:rPr>
                <w:t>Renewal Agreement to Lease by and between the Verona Pharma</w:t>
              </w:r>
            </w:hyperlink>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 w:type="dxa"/>
            <w:vAlign w:val="bottom"/>
            <w:tcBorders>
              <w:bottom w:val="single" w:sz="8" w:color="0000FF"/>
            </w:tcBorders>
            <w:gridSpan w:val="3"/>
          </w:tcPr>
          <w:p>
            <w:pPr>
              <w:spacing w:after="0" w:line="142" w:lineRule="exact"/>
              <w:rPr>
                <w:rFonts w:ascii="Arial" w:cs="Arial" w:eastAsia="Arial" w:hAnsi="Arial"/>
                <w:sz w:val="14"/>
                <w:szCs w:val="14"/>
                <w:color w:val="0000FF"/>
                <w:w w:val="96"/>
              </w:rPr>
            </w:pPr>
            <w:hyperlink r:id="rId33">
              <w:r>
                <w:rPr>
                  <w:rFonts w:ascii="Arial" w:cs="Arial" w:eastAsia="Arial" w:hAnsi="Arial"/>
                  <w:sz w:val="14"/>
                  <w:szCs w:val="14"/>
                  <w:color w:val="0000FF"/>
                  <w:w w:val="96"/>
                </w:rPr>
                <w:t>4.</w:t>
              </w:r>
              <w:r>
                <w:rPr>
                  <w:rFonts w:ascii="Arial" w:cs="Arial" w:eastAsia="Arial" w:hAnsi="Arial"/>
                  <w:sz w:val="14"/>
                  <w:szCs w:val="14"/>
                  <w:u w:val="single" w:color="auto"/>
                  <w:color w:val="0000FF"/>
                  <w:w w:val="96"/>
                </w:rPr>
                <w:t>3.2</w:t>
              </w:r>
            </w:hyperlink>
          </w:p>
        </w:tc>
        <w:tc>
          <w:tcPr>
            <w:tcW w:w="840" w:type="dxa"/>
            <w:vAlign w:val="bottom"/>
          </w:tcPr>
          <w:p>
            <w:pPr>
              <w:spacing w:after="0"/>
              <w:rPr>
                <w:sz w:val="12"/>
                <w:szCs w:val="12"/>
                <w:color w:val="auto"/>
              </w:rPr>
            </w:pPr>
          </w:p>
        </w:tc>
        <w:tc>
          <w:tcPr>
            <w:tcW w:w="3880" w:type="dxa"/>
            <w:vAlign w:val="bottom"/>
            <w:tcBorders>
              <w:bottom w:val="single" w:sz="8" w:color="0000FF"/>
            </w:tcBorders>
            <w:gridSpan w:val="10"/>
          </w:tcPr>
          <w:p>
            <w:pPr>
              <w:spacing w:after="0" w:line="142" w:lineRule="exact"/>
              <w:rPr>
                <w:rFonts w:ascii="Arial" w:cs="Arial" w:eastAsia="Arial" w:hAnsi="Arial"/>
                <w:sz w:val="14"/>
                <w:szCs w:val="14"/>
                <w:color w:val="0000FF"/>
              </w:rPr>
            </w:pPr>
            <w:hyperlink r:id="rId33">
              <w:r>
                <w:rPr>
                  <w:rFonts w:ascii="Arial" w:cs="Arial" w:eastAsia="Arial" w:hAnsi="Arial"/>
                  <w:sz w:val="14"/>
                  <w:szCs w:val="14"/>
                  <w:color w:val="0000FF"/>
                </w:rPr>
                <w:t>plc and Regus Management (UK) Limited dated April 3, 2018</w:t>
              </w:r>
            </w:hyperlink>
          </w:p>
        </w:tc>
        <w:tc>
          <w:tcPr>
            <w:tcW w:w="400" w:type="dxa"/>
            <w:vAlign w:val="bottom"/>
            <w:gridSpan w:val="7"/>
          </w:tcPr>
          <w:p>
            <w:pPr>
              <w:spacing w:after="0"/>
              <w:rPr>
                <w:sz w:val="12"/>
                <w:szCs w:val="12"/>
                <w:color w:val="auto"/>
              </w:rPr>
            </w:pPr>
          </w:p>
        </w:tc>
        <w:tc>
          <w:tcPr>
            <w:tcW w:w="126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20-F</w:t>
            </w:r>
          </w:p>
        </w:tc>
        <w:tc>
          <w:tcPr>
            <w:tcW w:w="148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001-38067</w:t>
            </w:r>
          </w:p>
        </w:tc>
        <w:tc>
          <w:tcPr>
            <w:tcW w:w="98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4.3.2</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3/19/2019</w:t>
            </w: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20" w:type="dxa"/>
            <w:vAlign w:val="bottom"/>
            <w:tcBorders>
              <w:bottom w:val="single" w:sz="8" w:color="0000FF"/>
            </w:tcBorders>
            <w:gridSpan w:val="15"/>
          </w:tcPr>
          <w:p>
            <w:pPr>
              <w:spacing w:after="0"/>
              <w:rPr>
                <w:rFonts w:ascii="Arial" w:cs="Arial" w:eastAsia="Arial" w:hAnsi="Arial"/>
                <w:sz w:val="14"/>
                <w:szCs w:val="14"/>
                <w:color w:val="0000FF"/>
              </w:rPr>
            </w:pPr>
            <w:hyperlink w:anchor="page218">
              <w:r>
                <w:rPr>
                  <w:rFonts w:ascii="Arial" w:cs="Arial" w:eastAsia="Arial" w:hAnsi="Arial"/>
                  <w:sz w:val="14"/>
                  <w:szCs w:val="14"/>
                  <w:color w:val="0000FF"/>
                </w:rPr>
                <w:t>Renewal Agreement to Lease by and between the Verona Pharma</w:t>
              </w:r>
            </w:hyperlink>
          </w:p>
        </w:tc>
        <w:tc>
          <w:tcPr>
            <w:tcW w:w="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80" w:type="dxa"/>
            <w:vAlign w:val="bottom"/>
            <w:gridSpan w:val="17"/>
          </w:tcPr>
          <w:p>
            <w:pPr>
              <w:spacing w:after="0" w:line="142" w:lineRule="exact"/>
              <w:rPr>
                <w:rFonts w:ascii="Arial" w:cs="Arial" w:eastAsia="Arial" w:hAnsi="Arial"/>
                <w:sz w:val="14"/>
                <w:szCs w:val="14"/>
                <w:color w:val="0000FF"/>
              </w:rPr>
            </w:pPr>
            <w:hyperlink w:anchor="page218">
              <w:r>
                <w:rPr>
                  <w:rFonts w:ascii="Arial" w:cs="Arial" w:eastAsia="Arial" w:hAnsi="Arial"/>
                  <w:sz w:val="14"/>
                  <w:szCs w:val="14"/>
                  <w:color w:val="0000FF"/>
                </w:rPr>
                <w:t>plc and Regus Management (UK) Limited dated September 16,</w:t>
              </w:r>
            </w:hyperlink>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Borders>
              <w:bottom w:val="single" w:sz="8" w:color="0000FF"/>
            </w:tcBorders>
            <w:gridSpan w:val="3"/>
          </w:tcPr>
          <w:p>
            <w:pPr>
              <w:spacing w:after="0" w:line="142" w:lineRule="exact"/>
              <w:rPr>
                <w:rFonts w:ascii="Arial" w:cs="Arial" w:eastAsia="Arial" w:hAnsi="Arial"/>
                <w:sz w:val="14"/>
                <w:szCs w:val="14"/>
                <w:color w:val="0000FF"/>
                <w:w w:val="96"/>
              </w:rPr>
            </w:pPr>
            <w:hyperlink w:anchor="page218">
              <w:r>
                <w:rPr>
                  <w:rFonts w:ascii="Arial" w:cs="Arial" w:eastAsia="Arial" w:hAnsi="Arial"/>
                  <w:sz w:val="14"/>
                  <w:szCs w:val="14"/>
                  <w:color w:val="0000FF"/>
                  <w:w w:val="96"/>
                </w:rPr>
                <w:t>4.</w:t>
              </w:r>
              <w:r>
                <w:rPr>
                  <w:rFonts w:ascii="Arial" w:cs="Arial" w:eastAsia="Arial" w:hAnsi="Arial"/>
                  <w:sz w:val="14"/>
                  <w:szCs w:val="14"/>
                  <w:u w:val="single" w:color="auto"/>
                  <w:color w:val="0000FF"/>
                  <w:w w:val="96"/>
                </w:rPr>
                <w:t>3.3</w:t>
              </w:r>
            </w:hyperlink>
          </w:p>
        </w:tc>
        <w:tc>
          <w:tcPr>
            <w:tcW w:w="840" w:type="dxa"/>
            <w:vAlign w:val="bottom"/>
          </w:tcPr>
          <w:p>
            <w:pPr>
              <w:spacing w:after="0"/>
              <w:rPr>
                <w:sz w:val="12"/>
                <w:szCs w:val="12"/>
                <w:color w:val="auto"/>
              </w:rPr>
            </w:pPr>
          </w:p>
        </w:tc>
        <w:tc>
          <w:tcPr>
            <w:tcW w:w="48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8"/>
              </w:rPr>
            </w:pPr>
            <w:hyperlink w:anchor="page218">
              <w:r>
                <w:rPr>
                  <w:rFonts w:ascii="Arial" w:cs="Arial" w:eastAsia="Arial" w:hAnsi="Arial"/>
                  <w:sz w:val="14"/>
                  <w:szCs w:val="14"/>
                  <w:color w:val="0000FF"/>
                  <w:w w:val="98"/>
                </w:rPr>
                <w:t>2017#1</w:t>
              </w:r>
            </w:hyperlink>
          </w:p>
        </w:tc>
        <w:tc>
          <w:tcPr>
            <w:tcW w:w="1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3"/>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20" w:type="dxa"/>
            <w:vAlign w:val="bottom"/>
            <w:tcBorders>
              <w:bottom w:val="single" w:sz="8" w:color="0000FF"/>
            </w:tcBorders>
            <w:gridSpan w:val="15"/>
          </w:tcPr>
          <w:p>
            <w:pPr>
              <w:spacing w:after="0"/>
              <w:rPr>
                <w:rFonts w:ascii="Arial" w:cs="Arial" w:eastAsia="Arial" w:hAnsi="Arial"/>
                <w:sz w:val="14"/>
                <w:szCs w:val="14"/>
                <w:color w:val="0000FF"/>
              </w:rPr>
            </w:pPr>
            <w:hyperlink w:anchor="page224">
              <w:r>
                <w:rPr>
                  <w:rFonts w:ascii="Arial" w:cs="Arial" w:eastAsia="Arial" w:hAnsi="Arial"/>
                  <w:sz w:val="14"/>
                  <w:szCs w:val="14"/>
                  <w:color w:val="0000FF"/>
                </w:rPr>
                <w:t>Renewal Agreement to Lease by and between the Verona Pharma</w:t>
              </w:r>
            </w:hyperlink>
          </w:p>
        </w:tc>
        <w:tc>
          <w:tcPr>
            <w:tcW w:w="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80" w:type="dxa"/>
            <w:vAlign w:val="bottom"/>
            <w:gridSpan w:val="17"/>
          </w:tcPr>
          <w:p>
            <w:pPr>
              <w:spacing w:after="0" w:line="142" w:lineRule="exact"/>
              <w:rPr>
                <w:rFonts w:ascii="Arial" w:cs="Arial" w:eastAsia="Arial" w:hAnsi="Arial"/>
                <w:sz w:val="14"/>
                <w:szCs w:val="14"/>
                <w:color w:val="0000FF"/>
              </w:rPr>
            </w:pPr>
            <w:hyperlink w:anchor="page224">
              <w:r>
                <w:rPr>
                  <w:rFonts w:ascii="Arial" w:cs="Arial" w:eastAsia="Arial" w:hAnsi="Arial"/>
                  <w:sz w:val="14"/>
                  <w:szCs w:val="14"/>
                  <w:color w:val="0000FF"/>
                </w:rPr>
                <w:t>plc and Regus Management (UK) Limited dated September 16,</w:t>
              </w:r>
            </w:hyperlink>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gridSpan w:val="4"/>
          </w:tcPr>
          <w:p>
            <w:pPr>
              <w:spacing w:after="0" w:line="142" w:lineRule="exact"/>
              <w:rPr>
                <w:rFonts w:ascii="Arial" w:cs="Arial" w:eastAsia="Arial" w:hAnsi="Arial"/>
                <w:sz w:val="14"/>
                <w:szCs w:val="14"/>
                <w:color w:val="0000FF"/>
              </w:rPr>
            </w:pPr>
            <w:hyperlink w:anchor="page224">
              <w:r>
                <w:rPr>
                  <w:rFonts w:ascii="Arial" w:cs="Arial" w:eastAsia="Arial" w:hAnsi="Arial"/>
                  <w:sz w:val="14"/>
                  <w:szCs w:val="14"/>
                  <w:color w:val="0000FF"/>
                </w:rPr>
                <w:t>4.</w:t>
              </w:r>
              <w:r>
                <w:rPr>
                  <w:rFonts w:ascii="Arial" w:cs="Arial" w:eastAsia="Arial" w:hAnsi="Arial"/>
                  <w:sz w:val="14"/>
                  <w:szCs w:val="14"/>
                  <w:u w:val="single" w:color="auto"/>
                  <w:color w:val="0000FF"/>
                </w:rPr>
                <w:t>3.4</w:t>
              </w:r>
            </w:hyperlink>
          </w:p>
        </w:tc>
        <w:tc>
          <w:tcPr>
            <w:tcW w:w="580" w:type="dxa"/>
            <w:vAlign w:val="bottom"/>
            <w:tcBorders>
              <w:top w:val="single" w:sz="8" w:color="0000FF"/>
            </w:tcBorders>
            <w:gridSpan w:val="2"/>
          </w:tcPr>
          <w:p>
            <w:pPr>
              <w:spacing w:after="0" w:line="142" w:lineRule="exact"/>
              <w:rPr>
                <w:rFonts w:ascii="Arial" w:cs="Arial" w:eastAsia="Arial" w:hAnsi="Arial"/>
                <w:sz w:val="14"/>
                <w:szCs w:val="14"/>
                <w:color w:val="0000FF"/>
              </w:rPr>
            </w:pPr>
            <w:hyperlink w:anchor="page224">
              <w:r>
                <w:rPr>
                  <w:rFonts w:ascii="Arial" w:cs="Arial" w:eastAsia="Arial" w:hAnsi="Arial"/>
                  <w:sz w:val="14"/>
                  <w:szCs w:val="14"/>
                  <w:color w:val="0000FF"/>
                </w:rPr>
                <w:t>2017#2</w:t>
              </w:r>
            </w:hyperlink>
          </w:p>
        </w:tc>
        <w:tc>
          <w:tcPr>
            <w:tcW w:w="6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64"/>
        </w:trPr>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jc w:val="right"/>
              <w:ind w:right="808"/>
              <w:spacing w:after="0"/>
              <w:rPr>
                <w:sz w:val="20"/>
                <w:szCs w:val="20"/>
                <w:color w:val="auto"/>
              </w:rPr>
            </w:pPr>
            <w:r>
              <w:rPr>
                <w:rFonts w:ascii="Arial" w:cs="Arial" w:eastAsia="Arial" w:hAnsi="Arial"/>
                <w:sz w:val="14"/>
                <w:szCs w:val="14"/>
                <w:color w:val="auto"/>
              </w:rPr>
              <w:t>115</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466" w:right="25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20" w:type="dxa"/>
            <w:vAlign w:val="bottom"/>
            <w:tcBorders>
              <w:bottom w:val="single" w:sz="8" w:color="0000FF"/>
            </w:tcBorders>
            <w:gridSpan w:val="27"/>
          </w:tcPr>
          <w:p>
            <w:pPr>
              <w:spacing w:after="0"/>
              <w:rPr>
                <w:rFonts w:ascii="Arial" w:cs="Arial" w:eastAsia="Arial" w:hAnsi="Arial"/>
                <w:sz w:val="14"/>
                <w:szCs w:val="14"/>
                <w:color w:val="0000FF"/>
              </w:rPr>
            </w:pPr>
            <w:hyperlink w:anchor="page230">
              <w:r>
                <w:rPr>
                  <w:rFonts w:ascii="Arial" w:cs="Arial" w:eastAsia="Arial" w:hAnsi="Arial"/>
                  <w:sz w:val="14"/>
                  <w:szCs w:val="14"/>
                  <w:color w:val="0000FF"/>
                </w:rPr>
                <w:t>Renewal Agreement to Lease by and between the Verona Pharma</w:t>
              </w:r>
            </w:hyperlink>
          </w:p>
        </w:tc>
        <w:tc>
          <w:tcPr>
            <w:tcW w:w="140" w:type="dxa"/>
            <w:vAlign w:val="bottom"/>
            <w:gridSpan w:val="4"/>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60" w:type="dxa"/>
            <w:vAlign w:val="bottom"/>
            <w:gridSpan w:val="31"/>
          </w:tcPr>
          <w:p>
            <w:pPr>
              <w:spacing w:after="0" w:line="142" w:lineRule="exact"/>
              <w:rPr>
                <w:rFonts w:ascii="Arial" w:cs="Arial" w:eastAsia="Arial" w:hAnsi="Arial"/>
                <w:sz w:val="14"/>
                <w:szCs w:val="14"/>
                <w:color w:val="0000FF"/>
              </w:rPr>
            </w:pPr>
            <w:hyperlink w:anchor="page230">
              <w:r>
                <w:rPr>
                  <w:rFonts w:ascii="Arial" w:cs="Arial" w:eastAsia="Arial" w:hAnsi="Arial"/>
                  <w:sz w:val="14"/>
                  <w:szCs w:val="14"/>
                  <w:color w:val="0000FF"/>
                </w:rPr>
                <w:t>plc and Regus Management (UK) Limited dated September 16,</w:t>
              </w:r>
            </w:hyperlink>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20" w:type="dxa"/>
            <w:vAlign w:val="bottom"/>
            <w:tcBorders>
              <w:bottom w:val="single" w:sz="8" w:color="0000FF"/>
            </w:tcBorders>
            <w:gridSpan w:val="3"/>
          </w:tcPr>
          <w:p>
            <w:pPr>
              <w:spacing w:after="0" w:line="142" w:lineRule="exact"/>
              <w:rPr>
                <w:rFonts w:ascii="Arial" w:cs="Arial" w:eastAsia="Arial" w:hAnsi="Arial"/>
                <w:sz w:val="14"/>
                <w:szCs w:val="14"/>
                <w:color w:val="0000FF"/>
                <w:w w:val="96"/>
              </w:rPr>
            </w:pPr>
            <w:hyperlink w:anchor="page230">
              <w:r>
                <w:rPr>
                  <w:rFonts w:ascii="Arial" w:cs="Arial" w:eastAsia="Arial" w:hAnsi="Arial"/>
                  <w:sz w:val="14"/>
                  <w:szCs w:val="14"/>
                  <w:color w:val="0000FF"/>
                  <w:w w:val="96"/>
                </w:rPr>
                <w:t>4.</w:t>
              </w:r>
              <w:r>
                <w:rPr>
                  <w:rFonts w:ascii="Arial" w:cs="Arial" w:eastAsia="Arial" w:hAnsi="Arial"/>
                  <w:sz w:val="14"/>
                  <w:szCs w:val="14"/>
                  <w:u w:val="single" w:color="auto"/>
                  <w:color w:val="0000FF"/>
                  <w:w w:val="96"/>
                </w:rPr>
                <w:t>3.5</w:t>
              </w:r>
            </w:hyperlink>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8"/>
              </w:rPr>
            </w:pPr>
            <w:hyperlink w:anchor="page230">
              <w:r>
                <w:rPr>
                  <w:rFonts w:ascii="Arial" w:cs="Arial" w:eastAsia="Arial" w:hAnsi="Arial"/>
                  <w:sz w:val="14"/>
                  <w:szCs w:val="14"/>
                  <w:color w:val="0000FF"/>
                  <w:w w:val="98"/>
                </w:rPr>
                <w:t>2017#3</w:t>
              </w:r>
            </w:hyperlink>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20" w:type="dxa"/>
            <w:vAlign w:val="bottom"/>
            <w:tcBorders>
              <w:bottom w:val="single" w:sz="8" w:color="0000FF"/>
            </w:tcBorders>
            <w:gridSpan w:val="27"/>
          </w:tcPr>
          <w:p>
            <w:pPr>
              <w:spacing w:after="0"/>
              <w:rPr>
                <w:rFonts w:ascii="Arial" w:cs="Arial" w:eastAsia="Arial" w:hAnsi="Arial"/>
                <w:sz w:val="14"/>
                <w:szCs w:val="14"/>
                <w:color w:val="0000FF"/>
              </w:rPr>
            </w:pPr>
            <w:hyperlink w:anchor="page236">
              <w:r>
                <w:rPr>
                  <w:rFonts w:ascii="Arial" w:cs="Arial" w:eastAsia="Arial" w:hAnsi="Arial"/>
                  <w:sz w:val="14"/>
                  <w:szCs w:val="14"/>
                  <w:color w:val="0000FF"/>
                </w:rPr>
                <w:t>Renewal Agreement to Lease by and between the Verona Pharma</w:t>
              </w:r>
            </w:hyperlink>
          </w:p>
        </w:tc>
        <w:tc>
          <w:tcPr>
            <w:tcW w:w="140" w:type="dxa"/>
            <w:vAlign w:val="bottom"/>
            <w:gridSpan w:val="4"/>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20" w:type="dxa"/>
            <w:vAlign w:val="bottom"/>
            <w:tcBorders>
              <w:bottom w:val="single" w:sz="8" w:color="0000FF"/>
            </w:tcBorders>
            <w:gridSpan w:val="3"/>
          </w:tcPr>
          <w:p>
            <w:pPr>
              <w:spacing w:after="0" w:line="142" w:lineRule="exact"/>
              <w:rPr>
                <w:rFonts w:ascii="Arial" w:cs="Arial" w:eastAsia="Arial" w:hAnsi="Arial"/>
                <w:sz w:val="14"/>
                <w:szCs w:val="14"/>
                <w:color w:val="0000FF"/>
                <w:w w:val="96"/>
              </w:rPr>
            </w:pPr>
            <w:hyperlink w:anchor="page236">
              <w:r>
                <w:rPr>
                  <w:rFonts w:ascii="Arial" w:cs="Arial" w:eastAsia="Arial" w:hAnsi="Arial"/>
                  <w:sz w:val="14"/>
                  <w:szCs w:val="14"/>
                  <w:color w:val="0000FF"/>
                  <w:w w:val="96"/>
                </w:rPr>
                <w:t>4.</w:t>
              </w:r>
              <w:r>
                <w:rPr>
                  <w:rFonts w:ascii="Arial" w:cs="Arial" w:eastAsia="Arial" w:hAnsi="Arial"/>
                  <w:sz w:val="14"/>
                  <w:szCs w:val="14"/>
                  <w:u w:val="single" w:color="auto"/>
                  <w:color w:val="0000FF"/>
                  <w:w w:val="96"/>
                </w:rPr>
                <w:t>3.6</w:t>
              </w:r>
            </w:hyperlink>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80" w:type="dxa"/>
            <w:vAlign w:val="bottom"/>
            <w:tcBorders>
              <w:bottom w:val="single" w:sz="8" w:color="0000FF"/>
            </w:tcBorders>
            <w:gridSpan w:val="18"/>
          </w:tcPr>
          <w:p>
            <w:pPr>
              <w:spacing w:after="0" w:line="142" w:lineRule="exact"/>
              <w:rPr>
                <w:rFonts w:ascii="Arial" w:cs="Arial" w:eastAsia="Arial" w:hAnsi="Arial"/>
                <w:sz w:val="14"/>
                <w:szCs w:val="14"/>
                <w:color w:val="0000FF"/>
              </w:rPr>
            </w:pPr>
            <w:hyperlink w:anchor="page236">
              <w:r>
                <w:rPr>
                  <w:rFonts w:ascii="Arial" w:cs="Arial" w:eastAsia="Arial" w:hAnsi="Arial"/>
                  <w:sz w:val="14"/>
                  <w:szCs w:val="14"/>
                  <w:color w:val="0000FF"/>
                </w:rPr>
                <w:t>Inc. and Regus Management Group LLC dated July 16, 2019</w:t>
              </w:r>
            </w:hyperlink>
          </w:p>
        </w:tc>
        <w:tc>
          <w:tcPr>
            <w:tcW w:w="480" w:type="dxa"/>
            <w:vAlign w:val="bottom"/>
            <w:gridSpan w:val="13"/>
          </w:tcPr>
          <w:p>
            <w:pPr>
              <w:spacing w:after="0"/>
              <w:rPr>
                <w:sz w:val="12"/>
                <w:szCs w:val="12"/>
                <w:color w:val="auto"/>
              </w:rPr>
            </w:pPr>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80" w:type="dxa"/>
            <w:vAlign w:val="bottom"/>
            <w:tcBorders>
              <w:bottom w:val="single" w:sz="8" w:color="0000FF"/>
            </w:tcBorders>
            <w:gridSpan w:val="2"/>
          </w:tcPr>
          <w:p>
            <w:pPr>
              <w:spacing w:after="0"/>
              <w:rPr>
                <w:rFonts w:ascii="Arial" w:cs="Arial" w:eastAsia="Arial" w:hAnsi="Arial"/>
                <w:sz w:val="14"/>
                <w:szCs w:val="14"/>
                <w:color w:val="0000FF"/>
                <w:w w:val="95"/>
              </w:rPr>
            </w:pPr>
            <w:hyperlink r:id="rId34">
              <w:r>
                <w:rPr>
                  <w:rFonts w:ascii="Arial" w:cs="Arial" w:eastAsia="Arial" w:hAnsi="Arial"/>
                  <w:sz w:val="14"/>
                  <w:szCs w:val="14"/>
                  <w:color w:val="0000FF"/>
                  <w:w w:val="95"/>
                </w:rPr>
                <w:t>4.</w:t>
              </w:r>
              <w:r>
                <w:rPr>
                  <w:rFonts w:ascii="Arial" w:cs="Arial" w:eastAsia="Arial" w:hAnsi="Arial"/>
                  <w:sz w:val="14"/>
                  <w:szCs w:val="14"/>
                  <w:u w:val="single" w:color="auto"/>
                  <w:color w:val="0000FF"/>
                  <w:w w:val="95"/>
                </w:rPr>
                <w:t>4#</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Borders>
              <w:bottom w:val="single" w:sz="8" w:color="0000FF"/>
            </w:tcBorders>
            <w:gridSpan w:val="4"/>
          </w:tcPr>
          <w:p>
            <w:pPr>
              <w:spacing w:after="0"/>
              <w:rPr>
                <w:rFonts w:ascii="Arial" w:cs="Arial" w:eastAsia="Arial" w:hAnsi="Arial"/>
                <w:sz w:val="14"/>
                <w:szCs w:val="14"/>
                <w:color w:val="0000FF"/>
              </w:rPr>
            </w:pPr>
            <w:hyperlink r:id="rId34">
              <w:r>
                <w:rPr>
                  <w:rFonts w:ascii="Arial" w:cs="Arial" w:eastAsia="Arial" w:hAnsi="Arial"/>
                  <w:sz w:val="14"/>
                  <w:szCs w:val="14"/>
                  <w:color w:val="0000FF"/>
                </w:rPr>
                <w:t>EMI Option Scheme</w:t>
              </w:r>
            </w:hyperlink>
          </w:p>
        </w:tc>
        <w:tc>
          <w:tcPr>
            <w:tcW w:w="3080" w:type="dxa"/>
            <w:vAlign w:val="bottom"/>
            <w:gridSpan w:val="27"/>
          </w:tcPr>
          <w:p>
            <w:pPr>
              <w:spacing w:after="0"/>
              <w:rPr>
                <w:sz w:val="24"/>
                <w:szCs w:val="24"/>
                <w:color w:val="auto"/>
              </w:rPr>
            </w:pPr>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F-1</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10.4</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93"/>
        </w:trPr>
        <w:tc>
          <w:tcPr>
            <w:tcW w:w="280" w:type="dxa"/>
            <w:vAlign w:val="bottom"/>
            <w:tcBorders>
              <w:bottom w:val="single" w:sz="8" w:color="0000FF"/>
            </w:tcBorders>
            <w:gridSpan w:val="2"/>
          </w:tcPr>
          <w:p>
            <w:pPr>
              <w:spacing w:after="0"/>
              <w:rPr>
                <w:rFonts w:ascii="Arial" w:cs="Arial" w:eastAsia="Arial" w:hAnsi="Arial"/>
                <w:sz w:val="14"/>
                <w:szCs w:val="14"/>
                <w:color w:val="0000FF"/>
                <w:w w:val="95"/>
              </w:rPr>
            </w:pPr>
            <w:hyperlink r:id="rId35">
              <w:r>
                <w:rPr>
                  <w:rFonts w:ascii="Arial" w:cs="Arial" w:eastAsia="Arial" w:hAnsi="Arial"/>
                  <w:sz w:val="14"/>
                  <w:szCs w:val="14"/>
                  <w:color w:val="0000FF"/>
                  <w:w w:val="95"/>
                </w:rPr>
                <w:t>4.</w:t>
              </w:r>
              <w:r>
                <w:rPr>
                  <w:rFonts w:ascii="Arial" w:cs="Arial" w:eastAsia="Arial" w:hAnsi="Arial"/>
                  <w:sz w:val="14"/>
                  <w:szCs w:val="14"/>
                  <w:u w:val="single" w:color="auto"/>
                  <w:color w:val="0000FF"/>
                  <w:w w:val="95"/>
                </w:rPr>
                <w:t>5#</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00" w:type="dxa"/>
            <w:vAlign w:val="bottom"/>
            <w:tcBorders>
              <w:bottom w:val="single" w:sz="8" w:color="0000FF"/>
            </w:tcBorders>
            <w:gridSpan w:val="11"/>
          </w:tcPr>
          <w:p>
            <w:pPr>
              <w:spacing w:after="0"/>
              <w:rPr>
                <w:rFonts w:ascii="Arial" w:cs="Arial" w:eastAsia="Arial" w:hAnsi="Arial"/>
                <w:sz w:val="14"/>
                <w:szCs w:val="14"/>
                <w:color w:val="0000FF"/>
              </w:rPr>
            </w:pPr>
            <w:hyperlink r:id="rId35">
              <w:r>
                <w:rPr>
                  <w:rFonts w:ascii="Arial" w:cs="Arial" w:eastAsia="Arial" w:hAnsi="Arial"/>
                  <w:sz w:val="14"/>
                  <w:szCs w:val="14"/>
                  <w:color w:val="0000FF"/>
                </w:rPr>
                <w:t>Unapproved Share Option Scheme, as amended</w:t>
              </w:r>
            </w:hyperlink>
          </w:p>
        </w:tc>
        <w:tc>
          <w:tcPr>
            <w:tcW w:w="1260" w:type="dxa"/>
            <w:vAlign w:val="bottom"/>
            <w:gridSpan w:val="20"/>
          </w:tcPr>
          <w:p>
            <w:pPr>
              <w:spacing w:after="0"/>
              <w:rPr>
                <w:sz w:val="24"/>
                <w:szCs w:val="24"/>
                <w:color w:val="auto"/>
              </w:rPr>
            </w:pPr>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F-1</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10.5</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60" w:type="dxa"/>
            <w:vAlign w:val="bottom"/>
            <w:gridSpan w:val="31"/>
          </w:tcPr>
          <w:p>
            <w:pPr>
              <w:spacing w:after="0"/>
              <w:rPr>
                <w:rFonts w:ascii="Arial" w:cs="Arial" w:eastAsia="Arial" w:hAnsi="Arial"/>
                <w:sz w:val="14"/>
                <w:szCs w:val="14"/>
                <w:color w:val="0000FF"/>
              </w:rPr>
            </w:pPr>
            <w:hyperlink r:id="rId36">
              <w:r>
                <w:rPr>
                  <w:rFonts w:ascii="Arial" w:cs="Arial" w:eastAsia="Arial" w:hAnsi="Arial"/>
                  <w:sz w:val="14"/>
                  <w:szCs w:val="14"/>
                  <w:color w:val="0000FF"/>
                </w:rPr>
                <w:t>2017 Incentive Award Plan and forms of award agreements</w:t>
              </w:r>
            </w:hyperlink>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line="142" w:lineRule="exact"/>
              <w:rPr>
                <w:rFonts w:ascii="Arial" w:cs="Arial" w:eastAsia="Arial" w:hAnsi="Arial"/>
                <w:sz w:val="14"/>
                <w:szCs w:val="14"/>
                <w:color w:val="0000FF"/>
                <w:w w:val="95"/>
              </w:rPr>
            </w:pPr>
            <w:hyperlink r:id="rId36">
              <w:r>
                <w:rPr>
                  <w:rFonts w:ascii="Arial" w:cs="Arial" w:eastAsia="Arial" w:hAnsi="Arial"/>
                  <w:sz w:val="14"/>
                  <w:szCs w:val="14"/>
                  <w:color w:val="0000FF"/>
                  <w:w w:val="95"/>
                </w:rPr>
                <w:t>4.</w:t>
              </w:r>
              <w:r>
                <w:rPr>
                  <w:rFonts w:ascii="Arial" w:cs="Arial" w:eastAsia="Arial" w:hAnsi="Arial"/>
                  <w:sz w:val="14"/>
                  <w:szCs w:val="14"/>
                  <w:u w:val="single" w:color="auto"/>
                  <w:color w:val="0000FF"/>
                  <w:w w:val="95"/>
                </w:rPr>
                <w:t>6#</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60" w:type="dxa"/>
            <w:vAlign w:val="bottom"/>
            <w:tcBorders>
              <w:top w:val="single" w:sz="8" w:color="0000FF"/>
            </w:tcBorders>
            <w:gridSpan w:val="16"/>
          </w:tcPr>
          <w:p>
            <w:pPr>
              <w:spacing w:after="0" w:line="142" w:lineRule="exact"/>
              <w:rPr>
                <w:rFonts w:ascii="Arial" w:cs="Arial" w:eastAsia="Arial" w:hAnsi="Arial"/>
                <w:sz w:val="14"/>
                <w:szCs w:val="14"/>
                <w:color w:val="0000FF"/>
              </w:rPr>
            </w:pPr>
            <w:hyperlink r:id="rId36">
              <w:r>
                <w:rPr>
                  <w:rFonts w:ascii="Arial" w:cs="Arial" w:eastAsia="Arial" w:hAnsi="Arial"/>
                  <w:sz w:val="14"/>
                  <w:szCs w:val="14"/>
                  <w:color w:val="0000FF"/>
                </w:rPr>
                <w:t>thereunder</w:t>
              </w:r>
            </w:hyperlink>
          </w:p>
        </w:tc>
        <w:tc>
          <w:tcPr>
            <w:tcW w:w="600" w:type="dxa"/>
            <w:vAlign w:val="bottom"/>
            <w:gridSpan w:val="15"/>
          </w:tcPr>
          <w:p>
            <w:pPr>
              <w:spacing w:after="0"/>
              <w:rPr>
                <w:sz w:val="12"/>
                <w:szCs w:val="12"/>
                <w:color w:val="auto"/>
              </w:rPr>
            </w:pPr>
          </w:p>
        </w:tc>
        <w:tc>
          <w:tcPr>
            <w:tcW w:w="11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20-F</w:t>
            </w:r>
          </w:p>
        </w:tc>
        <w:tc>
          <w:tcPr>
            <w:tcW w:w="14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001-38067</w:t>
            </w:r>
          </w:p>
        </w:tc>
        <w:tc>
          <w:tcPr>
            <w:tcW w:w="106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4.6</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2/27/2018</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Borders>
              <w:bottom w:val="single" w:sz="8" w:color="0000FF"/>
            </w:tcBorders>
            <w:gridSpan w:val="28"/>
          </w:tcPr>
          <w:p>
            <w:pPr>
              <w:spacing w:after="0"/>
              <w:rPr>
                <w:rFonts w:ascii="Arial" w:cs="Arial" w:eastAsia="Arial" w:hAnsi="Arial"/>
                <w:sz w:val="14"/>
                <w:szCs w:val="14"/>
                <w:color w:val="0000FF"/>
              </w:rPr>
            </w:pPr>
            <w:hyperlink w:anchor="page189">
              <w:r>
                <w:rPr>
                  <w:rFonts w:ascii="Arial" w:cs="Arial" w:eastAsia="Arial" w:hAnsi="Arial"/>
                  <w:sz w:val="14"/>
                  <w:szCs w:val="14"/>
                  <w:color w:val="0000FF"/>
                </w:rPr>
                <w:t>Employment Agreement, dated January 28, 2020, between Verona</w:t>
              </w:r>
            </w:hyperlink>
          </w:p>
        </w:tc>
        <w:tc>
          <w:tcPr>
            <w:tcW w:w="12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gridSpan w:val="2"/>
            <w:vMerge w:val="restart"/>
          </w:tcPr>
          <w:p>
            <w:pPr>
              <w:spacing w:after="0"/>
              <w:rPr>
                <w:rFonts w:ascii="Arial" w:cs="Arial" w:eastAsia="Arial" w:hAnsi="Arial"/>
                <w:sz w:val="14"/>
                <w:szCs w:val="14"/>
                <w:color w:val="0000FF"/>
                <w:w w:val="95"/>
              </w:rPr>
            </w:pPr>
            <w:hyperlink w:anchor="page189">
              <w:r>
                <w:rPr>
                  <w:rFonts w:ascii="Arial" w:cs="Arial" w:eastAsia="Arial" w:hAnsi="Arial"/>
                  <w:sz w:val="14"/>
                  <w:szCs w:val="14"/>
                  <w:color w:val="0000FF"/>
                  <w:w w:val="95"/>
                </w:rPr>
                <w:t>4.</w:t>
              </w:r>
              <w:r>
                <w:rPr>
                  <w:rFonts w:ascii="Arial" w:cs="Arial" w:eastAsia="Arial" w:hAnsi="Arial"/>
                  <w:sz w:val="14"/>
                  <w:szCs w:val="14"/>
                  <w:u w:val="single" w:color="auto"/>
                  <w:color w:val="0000FF"/>
                  <w:w w:val="95"/>
                </w:rPr>
                <w:t>7#</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60" w:type="dxa"/>
            <w:vAlign w:val="bottom"/>
            <w:gridSpan w:val="31"/>
          </w:tcPr>
          <w:p>
            <w:pPr>
              <w:spacing w:after="0" w:line="142" w:lineRule="exact"/>
              <w:rPr>
                <w:rFonts w:ascii="Arial" w:cs="Arial" w:eastAsia="Arial" w:hAnsi="Arial"/>
                <w:sz w:val="14"/>
                <w:szCs w:val="14"/>
                <w:color w:val="0000FF"/>
              </w:rPr>
            </w:pPr>
            <w:hyperlink w:anchor="page189">
              <w:r>
                <w:rPr>
                  <w:rFonts w:ascii="Arial" w:cs="Arial" w:eastAsia="Arial" w:hAnsi="Arial"/>
                  <w:sz w:val="14"/>
                  <w:szCs w:val="14"/>
                  <w:color w:val="0000FF"/>
                </w:rPr>
                <w:t>Pharma Inc. and David Zaccardelli, Pharm. D.</w:t>
              </w:r>
            </w:hyperlink>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tcBorders>
              <w:bottom w:val="single" w:sz="8" w:color="0000FF"/>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00" w:type="dxa"/>
            <w:vAlign w:val="bottom"/>
            <w:tcBorders>
              <w:bottom w:val="single" w:sz="8" w:color="0000FF"/>
            </w:tcBorders>
            <w:gridSpan w:val="19"/>
          </w:tcPr>
          <w:p>
            <w:pPr>
              <w:spacing w:after="0"/>
              <w:rPr>
                <w:rFonts w:ascii="Arial" w:cs="Arial" w:eastAsia="Arial" w:hAnsi="Arial"/>
                <w:sz w:val="14"/>
                <w:szCs w:val="14"/>
                <w:color w:val="0000FF"/>
              </w:rPr>
            </w:pPr>
            <w:hyperlink r:id="rId37">
              <w:r>
                <w:rPr>
                  <w:rFonts w:ascii="Arial" w:cs="Arial" w:eastAsia="Arial" w:hAnsi="Arial"/>
                  <w:sz w:val="14"/>
                  <w:szCs w:val="14"/>
                  <w:color w:val="0000FF"/>
                </w:rPr>
                <w:t>Employment Agreement, dated December 21, 2019, between</w:t>
              </w:r>
            </w:hyperlink>
          </w:p>
        </w:tc>
        <w:tc>
          <w:tcPr>
            <w:tcW w:w="460" w:type="dxa"/>
            <w:vAlign w:val="bottom"/>
            <w:gridSpan w:val="12"/>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line="142" w:lineRule="exact"/>
              <w:rPr>
                <w:rFonts w:ascii="Arial" w:cs="Arial" w:eastAsia="Arial" w:hAnsi="Arial"/>
                <w:sz w:val="14"/>
                <w:szCs w:val="14"/>
                <w:color w:val="0000FF"/>
                <w:w w:val="95"/>
              </w:rPr>
            </w:pPr>
            <w:hyperlink r:id="rId37">
              <w:r>
                <w:rPr>
                  <w:rFonts w:ascii="Arial" w:cs="Arial" w:eastAsia="Arial" w:hAnsi="Arial"/>
                  <w:sz w:val="14"/>
                  <w:szCs w:val="14"/>
                  <w:color w:val="0000FF"/>
                  <w:w w:val="95"/>
                </w:rPr>
                <w:t>4.</w:t>
              </w:r>
              <w:r>
                <w:rPr>
                  <w:rFonts w:ascii="Arial" w:cs="Arial" w:eastAsia="Arial" w:hAnsi="Arial"/>
                  <w:sz w:val="14"/>
                  <w:szCs w:val="14"/>
                  <w:u w:val="single" w:color="auto"/>
                  <w:color w:val="0000FF"/>
                  <w:w w:val="95"/>
                </w:rPr>
                <w:t>8#</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60" w:type="dxa"/>
            <w:vAlign w:val="bottom"/>
            <w:gridSpan w:val="31"/>
          </w:tcPr>
          <w:p>
            <w:pPr>
              <w:spacing w:after="0" w:line="142" w:lineRule="exact"/>
              <w:rPr>
                <w:rFonts w:ascii="Arial" w:cs="Arial" w:eastAsia="Arial" w:hAnsi="Arial"/>
                <w:sz w:val="14"/>
                <w:szCs w:val="14"/>
                <w:color w:val="0000FF"/>
              </w:rPr>
            </w:pPr>
            <w:hyperlink r:id="rId37">
              <w:r>
                <w:rPr>
                  <w:rFonts w:ascii="Arial" w:cs="Arial" w:eastAsia="Arial" w:hAnsi="Arial"/>
                  <w:sz w:val="14"/>
                  <w:szCs w:val="14"/>
                  <w:color w:val="0000FF"/>
                </w:rPr>
                <w:t>Verona Pharma plc and Kathleen Rickard</w:t>
              </w:r>
            </w:hyperlink>
          </w:p>
        </w:tc>
        <w:tc>
          <w:tcPr>
            <w:tcW w:w="11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20-F</w:t>
            </w:r>
          </w:p>
        </w:tc>
        <w:tc>
          <w:tcPr>
            <w:tcW w:w="14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001-38067</w:t>
            </w:r>
          </w:p>
        </w:tc>
        <w:tc>
          <w:tcPr>
            <w:tcW w:w="106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4.3.2</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3/19/2019</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40" w:type="dxa"/>
            <w:vAlign w:val="bottom"/>
            <w:tcBorders>
              <w:bottom w:val="single" w:sz="8" w:color="0000FF"/>
            </w:tcBorders>
            <w:gridSpan w:val="20"/>
          </w:tcPr>
          <w:p>
            <w:pPr>
              <w:spacing w:after="0"/>
              <w:rPr>
                <w:rFonts w:ascii="Arial" w:cs="Arial" w:eastAsia="Arial" w:hAnsi="Arial"/>
                <w:sz w:val="14"/>
                <w:szCs w:val="14"/>
                <w:color w:val="0000FF"/>
              </w:rPr>
            </w:pPr>
            <w:hyperlink r:id="rId38">
              <w:r>
                <w:rPr>
                  <w:rFonts w:ascii="Arial" w:cs="Arial" w:eastAsia="Arial" w:hAnsi="Arial"/>
                  <w:sz w:val="14"/>
                  <w:szCs w:val="14"/>
                  <w:color w:val="0000FF"/>
                </w:rPr>
                <w:t>Employment Agreement, dated September 24, 2016, between</w:t>
              </w:r>
            </w:hyperlink>
          </w:p>
        </w:tc>
        <w:tc>
          <w:tcPr>
            <w:tcW w:w="420" w:type="dxa"/>
            <w:vAlign w:val="bottom"/>
            <w:gridSpan w:val="11"/>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Borders>
              <w:bottom w:val="single" w:sz="8" w:color="0000FF"/>
            </w:tcBorders>
            <w:gridSpan w:val="2"/>
          </w:tcPr>
          <w:p>
            <w:pPr>
              <w:spacing w:after="0" w:line="142" w:lineRule="exact"/>
              <w:rPr>
                <w:rFonts w:ascii="Arial" w:cs="Arial" w:eastAsia="Arial" w:hAnsi="Arial"/>
                <w:sz w:val="14"/>
                <w:szCs w:val="14"/>
                <w:color w:val="0000FF"/>
                <w:w w:val="95"/>
              </w:rPr>
            </w:pPr>
            <w:hyperlink r:id="rId38">
              <w:r>
                <w:rPr>
                  <w:rFonts w:ascii="Arial" w:cs="Arial" w:eastAsia="Arial" w:hAnsi="Arial"/>
                  <w:sz w:val="14"/>
                  <w:szCs w:val="14"/>
                  <w:color w:val="0000FF"/>
                  <w:w w:val="95"/>
                </w:rPr>
                <w:t>4.</w:t>
              </w:r>
              <w:r>
                <w:rPr>
                  <w:rFonts w:ascii="Arial" w:cs="Arial" w:eastAsia="Arial" w:hAnsi="Arial"/>
                  <w:sz w:val="14"/>
                  <w:szCs w:val="14"/>
                  <w:u w:val="single" w:color="auto"/>
                  <w:color w:val="0000FF"/>
                  <w:w w:val="95"/>
                </w:rPr>
                <w:t>9#</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40" w:type="dxa"/>
            <w:vAlign w:val="bottom"/>
            <w:tcBorders>
              <w:bottom w:val="single" w:sz="8" w:color="0000FF"/>
            </w:tcBorders>
            <w:gridSpan w:val="9"/>
          </w:tcPr>
          <w:p>
            <w:pPr>
              <w:spacing w:after="0" w:line="142" w:lineRule="exact"/>
              <w:rPr>
                <w:rFonts w:ascii="Arial" w:cs="Arial" w:eastAsia="Arial" w:hAnsi="Arial"/>
                <w:sz w:val="14"/>
                <w:szCs w:val="14"/>
                <w:color w:val="0000FF"/>
              </w:rPr>
            </w:pPr>
            <w:hyperlink r:id="rId38">
              <w:r>
                <w:rPr>
                  <w:rFonts w:ascii="Arial" w:cs="Arial" w:eastAsia="Arial" w:hAnsi="Arial"/>
                  <w:sz w:val="14"/>
                  <w:szCs w:val="14"/>
                  <w:color w:val="0000FF"/>
                </w:rPr>
                <w:t>Verona Pharma plc and Piers John Morgan</w:t>
              </w:r>
            </w:hyperlink>
          </w:p>
        </w:tc>
        <w:tc>
          <w:tcPr>
            <w:tcW w:w="1620" w:type="dxa"/>
            <w:vAlign w:val="bottom"/>
            <w:gridSpan w:val="22"/>
          </w:tcPr>
          <w:p>
            <w:pPr>
              <w:spacing w:after="0"/>
              <w:rPr>
                <w:sz w:val="12"/>
                <w:szCs w:val="12"/>
                <w:color w:val="auto"/>
              </w:rPr>
            </w:pPr>
          </w:p>
        </w:tc>
        <w:tc>
          <w:tcPr>
            <w:tcW w:w="11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F-1</w:t>
            </w:r>
          </w:p>
        </w:tc>
        <w:tc>
          <w:tcPr>
            <w:tcW w:w="14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10.8</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tcBorders>
              <w:bottom w:val="single" w:sz="8" w:color="0000FF"/>
            </w:tcBorders>
            <w:gridSpan w:val="26"/>
          </w:tcPr>
          <w:p>
            <w:pPr>
              <w:spacing w:after="0"/>
              <w:rPr>
                <w:rFonts w:ascii="Arial" w:cs="Arial" w:eastAsia="Arial" w:hAnsi="Arial"/>
                <w:sz w:val="14"/>
                <w:szCs w:val="14"/>
                <w:color w:val="0000FF"/>
              </w:rPr>
            </w:pPr>
            <w:hyperlink r:id="rId39">
              <w:r>
                <w:rPr>
                  <w:rFonts w:ascii="Arial" w:cs="Arial" w:eastAsia="Arial" w:hAnsi="Arial"/>
                  <w:sz w:val="14"/>
                  <w:szCs w:val="14"/>
                  <w:color w:val="0000FF"/>
                </w:rPr>
                <w:t>Employment Agreement, dated October 1, 2016, between Verona</w:t>
              </w:r>
            </w:hyperlink>
          </w:p>
        </w:tc>
        <w:tc>
          <w:tcPr>
            <w:tcW w:w="200" w:type="dxa"/>
            <w:vAlign w:val="bottom"/>
            <w:gridSpan w:val="5"/>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0000FF"/>
            </w:tcBorders>
            <w:gridSpan w:val="4"/>
          </w:tcPr>
          <w:p>
            <w:pPr>
              <w:spacing w:after="0" w:line="142" w:lineRule="exact"/>
              <w:rPr>
                <w:rFonts w:ascii="Arial" w:cs="Arial" w:eastAsia="Arial" w:hAnsi="Arial"/>
                <w:sz w:val="14"/>
                <w:szCs w:val="14"/>
                <w:color w:val="0000FF"/>
                <w:w w:val="96"/>
              </w:rPr>
            </w:pPr>
            <w:hyperlink r:id="rId39">
              <w:r>
                <w:rPr>
                  <w:rFonts w:ascii="Arial" w:cs="Arial" w:eastAsia="Arial" w:hAnsi="Arial"/>
                  <w:sz w:val="14"/>
                  <w:szCs w:val="14"/>
                  <w:color w:val="0000FF"/>
                  <w:w w:val="96"/>
                </w:rPr>
                <w:t>4.</w:t>
              </w:r>
              <w:r>
                <w:rPr>
                  <w:rFonts w:ascii="Arial" w:cs="Arial" w:eastAsia="Arial" w:hAnsi="Arial"/>
                  <w:sz w:val="14"/>
                  <w:szCs w:val="14"/>
                  <w:u w:val="single" w:color="auto"/>
                  <w:color w:val="0000FF"/>
                  <w:w w:val="96"/>
                </w:rPr>
                <w:t>10#</w:t>
              </w:r>
            </w:hyperlink>
          </w:p>
        </w:tc>
        <w:tc>
          <w:tcPr>
            <w:tcW w:w="800" w:type="dxa"/>
            <w:vAlign w:val="bottom"/>
          </w:tcPr>
          <w:p>
            <w:pPr>
              <w:spacing w:after="0"/>
              <w:rPr>
                <w:sz w:val="12"/>
                <w:szCs w:val="12"/>
                <w:color w:val="auto"/>
              </w:rPr>
            </w:pPr>
          </w:p>
        </w:tc>
        <w:tc>
          <w:tcPr>
            <w:tcW w:w="1700" w:type="dxa"/>
            <w:vAlign w:val="bottom"/>
            <w:tcBorders>
              <w:bottom w:val="single" w:sz="8" w:color="0000FF"/>
            </w:tcBorders>
            <w:gridSpan w:val="6"/>
          </w:tcPr>
          <w:p>
            <w:pPr>
              <w:spacing w:after="0" w:line="142" w:lineRule="exact"/>
              <w:rPr>
                <w:rFonts w:ascii="Arial" w:cs="Arial" w:eastAsia="Arial" w:hAnsi="Arial"/>
                <w:sz w:val="14"/>
                <w:szCs w:val="14"/>
                <w:color w:val="0000FF"/>
              </w:rPr>
            </w:pPr>
            <w:hyperlink r:id="rId39">
              <w:r>
                <w:rPr>
                  <w:rFonts w:ascii="Arial" w:cs="Arial" w:eastAsia="Arial" w:hAnsi="Arial"/>
                  <w:sz w:val="14"/>
                  <w:szCs w:val="14"/>
                  <w:color w:val="0000FF"/>
                </w:rPr>
                <w:t>Pharma plc and Claire Poll</w:t>
              </w:r>
            </w:hyperlink>
          </w:p>
        </w:tc>
        <w:tc>
          <w:tcPr>
            <w:tcW w:w="2660" w:type="dxa"/>
            <w:vAlign w:val="bottom"/>
            <w:gridSpan w:val="25"/>
          </w:tcPr>
          <w:p>
            <w:pPr>
              <w:spacing w:after="0"/>
              <w:rPr>
                <w:sz w:val="12"/>
                <w:szCs w:val="12"/>
                <w:color w:val="auto"/>
              </w:rPr>
            </w:pPr>
          </w:p>
        </w:tc>
        <w:tc>
          <w:tcPr>
            <w:tcW w:w="11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F-1</w:t>
            </w:r>
          </w:p>
        </w:tc>
        <w:tc>
          <w:tcPr>
            <w:tcW w:w="14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10.9</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93"/>
        </w:trPr>
        <w:tc>
          <w:tcPr>
            <w:tcW w:w="280" w:type="dxa"/>
            <w:vAlign w:val="bottom"/>
            <w:gridSpan w:val="2"/>
          </w:tcPr>
          <w:p>
            <w:pPr>
              <w:spacing w:after="0"/>
              <w:rPr>
                <w:rFonts w:ascii="Arial" w:cs="Arial" w:eastAsia="Arial" w:hAnsi="Arial"/>
                <w:sz w:val="14"/>
                <w:szCs w:val="14"/>
                <w:color w:val="0000FF"/>
                <w:w w:val="95"/>
              </w:rPr>
            </w:pPr>
            <w:hyperlink r:id="rId40">
              <w:r>
                <w:rPr>
                  <w:rFonts w:ascii="Arial" w:cs="Arial" w:eastAsia="Arial" w:hAnsi="Arial"/>
                  <w:sz w:val="14"/>
                  <w:szCs w:val="14"/>
                  <w:color w:val="0000FF"/>
                  <w:w w:val="95"/>
                </w:rPr>
                <w:t>4.</w:t>
              </w:r>
              <w:r>
                <w:rPr>
                  <w:rFonts w:ascii="Arial" w:cs="Arial" w:eastAsia="Arial" w:hAnsi="Arial"/>
                  <w:sz w:val="14"/>
                  <w:szCs w:val="14"/>
                  <w:u w:val="single" w:color="auto"/>
                  <w:color w:val="0000FF"/>
                  <w:w w:val="95"/>
                </w:rPr>
                <w:t>11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60" w:type="dxa"/>
            <w:vAlign w:val="bottom"/>
            <w:gridSpan w:val="31"/>
          </w:tcPr>
          <w:p>
            <w:pPr>
              <w:spacing w:after="0"/>
              <w:rPr>
                <w:rFonts w:ascii="Arial" w:cs="Arial" w:eastAsia="Arial" w:hAnsi="Arial"/>
                <w:sz w:val="14"/>
                <w:szCs w:val="14"/>
                <w:color w:val="0000FF"/>
              </w:rPr>
            </w:pPr>
            <w:hyperlink r:id="rId40">
              <w:r>
                <w:rPr>
                  <w:rFonts w:ascii="Arial" w:cs="Arial" w:eastAsia="Arial" w:hAnsi="Arial"/>
                  <w:sz w:val="14"/>
                  <w:szCs w:val="14"/>
                  <w:color w:val="0000FF"/>
                </w:rPr>
                <w:t>Form of Indemnification Agreement for board members</w:t>
              </w:r>
            </w:hyperlink>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F-1/A</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10.11.1</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4/18/2017</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280" w:type="dxa"/>
            <w:vAlign w:val="bottom"/>
            <w:gridSpan w:val="2"/>
          </w:tcPr>
          <w:p>
            <w:pPr>
              <w:spacing w:after="0"/>
              <w:rPr>
                <w:rFonts w:ascii="Arial" w:cs="Arial" w:eastAsia="Arial" w:hAnsi="Arial"/>
                <w:sz w:val="14"/>
                <w:szCs w:val="14"/>
                <w:color w:val="0000FF"/>
                <w:w w:val="95"/>
              </w:rPr>
            </w:pPr>
            <w:hyperlink r:id="rId41">
              <w:r>
                <w:rPr>
                  <w:rFonts w:ascii="Arial" w:cs="Arial" w:eastAsia="Arial" w:hAnsi="Arial"/>
                  <w:sz w:val="14"/>
                  <w:szCs w:val="14"/>
                  <w:color w:val="0000FF"/>
                  <w:w w:val="95"/>
                </w:rPr>
                <w:t>4.</w:t>
              </w:r>
              <w:r>
                <w:rPr>
                  <w:rFonts w:ascii="Arial" w:cs="Arial" w:eastAsia="Arial" w:hAnsi="Arial"/>
                  <w:sz w:val="14"/>
                  <w:szCs w:val="14"/>
                  <w:u w:val="single" w:color="auto"/>
                  <w:color w:val="0000FF"/>
                  <w:w w:val="95"/>
                </w:rPr>
                <w:t>12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60" w:type="dxa"/>
            <w:vAlign w:val="bottom"/>
            <w:gridSpan w:val="31"/>
          </w:tcPr>
          <w:p>
            <w:pPr>
              <w:spacing w:after="0"/>
              <w:rPr>
                <w:rFonts w:ascii="Arial" w:cs="Arial" w:eastAsia="Arial" w:hAnsi="Arial"/>
                <w:sz w:val="14"/>
                <w:szCs w:val="14"/>
                <w:color w:val="0000FF"/>
              </w:rPr>
            </w:pPr>
            <w:hyperlink r:id="rId41">
              <w:r>
                <w:rPr>
                  <w:rFonts w:ascii="Arial" w:cs="Arial" w:eastAsia="Arial" w:hAnsi="Arial"/>
                  <w:sz w:val="14"/>
                  <w:szCs w:val="14"/>
                  <w:color w:val="0000FF"/>
                </w:rPr>
                <w:t>Form of Indemnification Agreement for executive officers</w:t>
              </w:r>
            </w:hyperlink>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F-1/A</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10.11.2</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4/18/2017</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00" w:type="dxa"/>
            <w:vAlign w:val="bottom"/>
            <w:tcBorders>
              <w:bottom w:val="single" w:sz="8" w:color="0000FF"/>
            </w:tcBorders>
            <w:gridSpan w:val="19"/>
          </w:tcPr>
          <w:p>
            <w:pPr>
              <w:spacing w:after="0"/>
              <w:rPr>
                <w:rFonts w:ascii="Arial" w:cs="Arial" w:eastAsia="Arial" w:hAnsi="Arial"/>
                <w:sz w:val="14"/>
                <w:szCs w:val="14"/>
                <w:color w:val="0000FF"/>
              </w:rPr>
            </w:pPr>
            <w:hyperlink r:id="rId42">
              <w:r>
                <w:rPr>
                  <w:rFonts w:ascii="Arial" w:cs="Arial" w:eastAsia="Arial" w:hAnsi="Arial"/>
                  <w:sz w:val="14"/>
                  <w:szCs w:val="14"/>
                  <w:color w:val="0000FF"/>
                </w:rPr>
                <w:t>Relationship Agreement relating to Verona Pharma plc, dated</w:t>
              </w:r>
            </w:hyperlink>
          </w:p>
        </w:tc>
        <w:tc>
          <w:tcPr>
            <w:tcW w:w="460" w:type="dxa"/>
            <w:vAlign w:val="bottom"/>
            <w:gridSpan w:val="12"/>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60" w:type="dxa"/>
            <w:vAlign w:val="bottom"/>
            <w:gridSpan w:val="31"/>
          </w:tcPr>
          <w:p>
            <w:pPr>
              <w:spacing w:after="0" w:line="142" w:lineRule="exact"/>
              <w:rPr>
                <w:rFonts w:ascii="Arial" w:cs="Arial" w:eastAsia="Arial" w:hAnsi="Arial"/>
                <w:sz w:val="14"/>
                <w:szCs w:val="14"/>
                <w:color w:val="0000FF"/>
              </w:rPr>
            </w:pPr>
            <w:hyperlink r:id="rId42">
              <w:r>
                <w:rPr>
                  <w:rFonts w:ascii="Arial" w:cs="Arial" w:eastAsia="Arial" w:hAnsi="Arial"/>
                  <w:sz w:val="14"/>
                  <w:szCs w:val="14"/>
                  <w:color w:val="0000FF"/>
                </w:rPr>
                <w:t>July 29, 2016, by and among the Verona Pharma plc, OrbiMed</w:t>
              </w:r>
            </w:hyperlink>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line="142" w:lineRule="exact"/>
              <w:rPr>
                <w:rFonts w:ascii="Arial" w:cs="Arial" w:eastAsia="Arial" w:hAnsi="Arial"/>
                <w:sz w:val="14"/>
                <w:szCs w:val="14"/>
                <w:color w:val="0000FF"/>
                <w:w w:val="95"/>
              </w:rPr>
            </w:pPr>
            <w:hyperlink r:id="rId42">
              <w:r>
                <w:rPr>
                  <w:rFonts w:ascii="Arial" w:cs="Arial" w:eastAsia="Arial" w:hAnsi="Arial"/>
                  <w:sz w:val="14"/>
                  <w:szCs w:val="14"/>
                  <w:color w:val="0000FF"/>
                  <w:w w:val="95"/>
                </w:rPr>
                <w:t>4.</w:t>
              </w:r>
              <w:r>
                <w:rPr>
                  <w:rFonts w:ascii="Arial" w:cs="Arial" w:eastAsia="Arial" w:hAnsi="Arial"/>
                  <w:sz w:val="14"/>
                  <w:szCs w:val="14"/>
                  <w:u w:val="single" w:color="auto"/>
                  <w:color w:val="0000FF"/>
                  <w:w w:val="95"/>
                </w:rPr>
                <w:t>13</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960" w:type="dxa"/>
            <w:vAlign w:val="bottom"/>
            <w:tcBorders>
              <w:top w:val="single" w:sz="8" w:color="0000FF"/>
            </w:tcBorders>
            <w:gridSpan w:val="21"/>
          </w:tcPr>
          <w:p>
            <w:pPr>
              <w:spacing w:after="0" w:line="142" w:lineRule="exact"/>
              <w:rPr>
                <w:rFonts w:ascii="Arial" w:cs="Arial" w:eastAsia="Arial" w:hAnsi="Arial"/>
                <w:sz w:val="14"/>
                <w:szCs w:val="14"/>
                <w:color w:val="0000FF"/>
              </w:rPr>
            </w:pPr>
            <w:hyperlink r:id="rId42">
              <w:r>
                <w:rPr>
                  <w:rFonts w:ascii="Arial" w:cs="Arial" w:eastAsia="Arial" w:hAnsi="Arial"/>
                  <w:sz w:val="14"/>
                  <w:szCs w:val="14"/>
                  <w:color w:val="0000FF"/>
                </w:rPr>
                <w:t>Private Investments VI, LP and NPlus1 Singer Advisory LLP</w:t>
              </w:r>
            </w:hyperlink>
          </w:p>
        </w:tc>
        <w:tc>
          <w:tcPr>
            <w:tcW w:w="400" w:type="dxa"/>
            <w:vAlign w:val="bottom"/>
            <w:gridSpan w:val="10"/>
          </w:tcPr>
          <w:p>
            <w:pPr>
              <w:spacing w:after="0"/>
              <w:rPr>
                <w:sz w:val="12"/>
                <w:szCs w:val="12"/>
                <w:color w:val="auto"/>
              </w:rPr>
            </w:pPr>
          </w:p>
        </w:tc>
        <w:tc>
          <w:tcPr>
            <w:tcW w:w="11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F-1</w:t>
            </w:r>
          </w:p>
        </w:tc>
        <w:tc>
          <w:tcPr>
            <w:tcW w:w="14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10.12</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00" w:type="dxa"/>
            <w:vAlign w:val="bottom"/>
            <w:tcBorders>
              <w:bottom w:val="single" w:sz="8" w:color="0000FF"/>
            </w:tcBorders>
            <w:gridSpan w:val="19"/>
          </w:tcPr>
          <w:p>
            <w:pPr>
              <w:spacing w:after="0"/>
              <w:rPr>
                <w:rFonts w:ascii="Arial" w:cs="Arial" w:eastAsia="Arial" w:hAnsi="Arial"/>
                <w:sz w:val="14"/>
                <w:szCs w:val="14"/>
                <w:color w:val="0000FF"/>
              </w:rPr>
            </w:pPr>
            <w:hyperlink r:id="rId43">
              <w:r>
                <w:rPr>
                  <w:rFonts w:ascii="Arial" w:cs="Arial" w:eastAsia="Arial" w:hAnsi="Arial"/>
                  <w:sz w:val="14"/>
                  <w:szCs w:val="14"/>
                  <w:color w:val="0000FF"/>
                </w:rPr>
                <w:t>Relationship Agreement relating to Verona Pharma plc, dated</w:t>
              </w:r>
            </w:hyperlink>
          </w:p>
        </w:tc>
        <w:tc>
          <w:tcPr>
            <w:tcW w:w="460" w:type="dxa"/>
            <w:vAlign w:val="bottom"/>
            <w:gridSpan w:val="12"/>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140" w:type="dxa"/>
            <w:vAlign w:val="bottom"/>
            <w:tcBorders>
              <w:bottom w:val="single" w:sz="8" w:color="0000FF"/>
            </w:tcBorders>
            <w:gridSpan w:val="25"/>
          </w:tcPr>
          <w:p>
            <w:pPr>
              <w:spacing w:after="0" w:line="142" w:lineRule="exact"/>
              <w:rPr>
                <w:rFonts w:ascii="Arial" w:cs="Arial" w:eastAsia="Arial" w:hAnsi="Arial"/>
                <w:sz w:val="14"/>
                <w:szCs w:val="14"/>
                <w:color w:val="0000FF"/>
              </w:rPr>
            </w:pPr>
            <w:hyperlink r:id="rId43">
              <w:r>
                <w:rPr>
                  <w:rFonts w:ascii="Arial" w:cs="Arial" w:eastAsia="Arial" w:hAnsi="Arial"/>
                  <w:sz w:val="14"/>
                  <w:szCs w:val="14"/>
                  <w:color w:val="0000FF"/>
                </w:rPr>
                <w:t>July 29, 2016, by and among the Verona Pharma plc, Abingworth</w:t>
              </w:r>
            </w:hyperlink>
          </w:p>
        </w:tc>
        <w:tc>
          <w:tcPr>
            <w:tcW w:w="220" w:type="dxa"/>
            <w:vAlign w:val="bottom"/>
            <w:gridSpan w:val="6"/>
          </w:tcPr>
          <w:p>
            <w:pPr>
              <w:spacing w:after="0"/>
              <w:rPr>
                <w:sz w:val="12"/>
                <w:szCs w:val="12"/>
                <w:color w:val="auto"/>
              </w:rPr>
            </w:pPr>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gridSpan w:val="2"/>
          </w:tcPr>
          <w:p>
            <w:pPr>
              <w:spacing w:after="0" w:line="142" w:lineRule="exact"/>
              <w:rPr>
                <w:rFonts w:ascii="Arial" w:cs="Arial" w:eastAsia="Arial" w:hAnsi="Arial"/>
                <w:sz w:val="14"/>
                <w:szCs w:val="14"/>
                <w:color w:val="0000FF"/>
                <w:w w:val="95"/>
              </w:rPr>
            </w:pPr>
            <w:hyperlink r:id="rId43">
              <w:r>
                <w:rPr>
                  <w:rFonts w:ascii="Arial" w:cs="Arial" w:eastAsia="Arial" w:hAnsi="Arial"/>
                  <w:sz w:val="14"/>
                  <w:szCs w:val="14"/>
                  <w:color w:val="0000FF"/>
                  <w:w w:val="95"/>
                </w:rPr>
                <w:t>4.</w:t>
              </w:r>
              <w:r>
                <w:rPr>
                  <w:rFonts w:ascii="Arial" w:cs="Arial" w:eastAsia="Arial" w:hAnsi="Arial"/>
                  <w:sz w:val="14"/>
                  <w:szCs w:val="14"/>
                  <w:u w:val="single" w:color="auto"/>
                  <w:color w:val="0000FF"/>
                  <w:w w:val="95"/>
                </w:rPr>
                <w:t>14</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60" w:type="dxa"/>
            <w:vAlign w:val="bottom"/>
            <w:gridSpan w:val="31"/>
          </w:tcPr>
          <w:p>
            <w:pPr>
              <w:spacing w:after="0" w:line="142" w:lineRule="exact"/>
              <w:rPr>
                <w:rFonts w:ascii="Arial" w:cs="Arial" w:eastAsia="Arial" w:hAnsi="Arial"/>
                <w:sz w:val="14"/>
                <w:szCs w:val="14"/>
                <w:color w:val="0000FF"/>
              </w:rPr>
            </w:pPr>
            <w:hyperlink r:id="rId43">
              <w:r>
                <w:rPr>
                  <w:rFonts w:ascii="Arial" w:cs="Arial" w:eastAsia="Arial" w:hAnsi="Arial"/>
                  <w:sz w:val="14"/>
                  <w:szCs w:val="14"/>
                  <w:color w:val="0000FF"/>
                </w:rPr>
                <w:t>Bioventures VI LP and NPlus1 Singer Advisory LLP</w:t>
              </w:r>
            </w:hyperlink>
          </w:p>
        </w:tc>
        <w:tc>
          <w:tcPr>
            <w:tcW w:w="11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F-1</w:t>
            </w:r>
          </w:p>
        </w:tc>
        <w:tc>
          <w:tcPr>
            <w:tcW w:w="14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10.13</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00" w:type="dxa"/>
            <w:vAlign w:val="bottom"/>
            <w:tcBorders>
              <w:bottom w:val="single" w:sz="8" w:color="0000FF"/>
            </w:tcBorders>
            <w:gridSpan w:val="19"/>
          </w:tcPr>
          <w:p>
            <w:pPr>
              <w:spacing w:after="0"/>
              <w:rPr>
                <w:rFonts w:ascii="Arial" w:cs="Arial" w:eastAsia="Arial" w:hAnsi="Arial"/>
                <w:sz w:val="14"/>
                <w:szCs w:val="14"/>
                <w:color w:val="0000FF"/>
              </w:rPr>
            </w:pPr>
            <w:hyperlink r:id="rId44">
              <w:r>
                <w:rPr>
                  <w:rFonts w:ascii="Arial" w:cs="Arial" w:eastAsia="Arial" w:hAnsi="Arial"/>
                  <w:sz w:val="14"/>
                  <w:szCs w:val="14"/>
                  <w:color w:val="0000FF"/>
                </w:rPr>
                <w:t>Relationship Agreement relating to Verona Pharma plc, dated</w:t>
              </w:r>
            </w:hyperlink>
          </w:p>
        </w:tc>
        <w:tc>
          <w:tcPr>
            <w:tcW w:w="460" w:type="dxa"/>
            <w:vAlign w:val="bottom"/>
            <w:gridSpan w:val="12"/>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360" w:type="dxa"/>
            <w:vAlign w:val="bottom"/>
            <w:gridSpan w:val="31"/>
          </w:tcPr>
          <w:p>
            <w:pPr>
              <w:spacing w:after="0" w:line="142" w:lineRule="exact"/>
              <w:rPr>
                <w:rFonts w:ascii="Arial" w:cs="Arial" w:eastAsia="Arial" w:hAnsi="Arial"/>
                <w:sz w:val="14"/>
                <w:szCs w:val="14"/>
                <w:color w:val="0000FF"/>
              </w:rPr>
            </w:pPr>
            <w:hyperlink r:id="rId44">
              <w:r>
                <w:rPr>
                  <w:rFonts w:ascii="Arial" w:cs="Arial" w:eastAsia="Arial" w:hAnsi="Arial"/>
                  <w:sz w:val="14"/>
                  <w:szCs w:val="14"/>
                  <w:color w:val="0000FF"/>
                </w:rPr>
                <w:t>July 29, 2016, by and among the Verona Pharma plc, Vivo Ventures</w:t>
              </w:r>
            </w:hyperlink>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29"/>
          </w:tcPr>
          <w:p>
            <w:pPr>
              <w:spacing w:after="0" w:line="142" w:lineRule="exact"/>
              <w:rPr>
                <w:rFonts w:ascii="Arial" w:cs="Arial" w:eastAsia="Arial" w:hAnsi="Arial"/>
                <w:sz w:val="14"/>
                <w:szCs w:val="14"/>
                <w:color w:val="0000FF"/>
              </w:rPr>
            </w:pPr>
            <w:hyperlink r:id="rId44">
              <w:r>
                <w:rPr>
                  <w:rFonts w:ascii="Arial" w:cs="Arial" w:eastAsia="Arial" w:hAnsi="Arial"/>
                  <w:sz w:val="14"/>
                  <w:szCs w:val="14"/>
                  <w:color w:val="0000FF"/>
                </w:rPr>
                <w:t>Fund VII, L.P., Vivo Ventures VII Affiliates Fund, L.P., Vivo Ventures</w:t>
              </w:r>
            </w:hyperlink>
          </w:p>
        </w:tc>
        <w:tc>
          <w:tcPr>
            <w:tcW w:w="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0" w:type="dxa"/>
            <w:vAlign w:val="bottom"/>
            <w:tcBorders>
              <w:bottom w:val="single" w:sz="8" w:color="0000FF"/>
            </w:tcBorders>
            <w:gridSpan w:val="22"/>
          </w:tcPr>
          <w:p>
            <w:pPr>
              <w:spacing w:after="0" w:line="142" w:lineRule="exact"/>
              <w:rPr>
                <w:rFonts w:ascii="Arial" w:cs="Arial" w:eastAsia="Arial" w:hAnsi="Arial"/>
                <w:sz w:val="14"/>
                <w:szCs w:val="14"/>
                <w:color w:val="0000FF"/>
              </w:rPr>
            </w:pPr>
            <w:hyperlink r:id="rId44">
              <w:r>
                <w:rPr>
                  <w:rFonts w:ascii="Arial" w:cs="Arial" w:eastAsia="Arial" w:hAnsi="Arial"/>
                  <w:sz w:val="14"/>
                  <w:szCs w:val="14"/>
                  <w:color w:val="0000FF"/>
                </w:rPr>
                <w:t>Fund VI, L.P., Vivo Ventures VI Affiliates Fund, L.P. and NPlus1</w:t>
              </w:r>
            </w:hyperlink>
          </w:p>
        </w:tc>
        <w:tc>
          <w:tcPr>
            <w:tcW w:w="360" w:type="dxa"/>
            <w:vAlign w:val="bottom"/>
            <w:gridSpan w:val="9"/>
          </w:tcPr>
          <w:p>
            <w:pPr>
              <w:spacing w:after="0"/>
              <w:rPr>
                <w:sz w:val="12"/>
                <w:szCs w:val="12"/>
                <w:color w:val="auto"/>
              </w:rPr>
            </w:pPr>
          </w:p>
        </w:tc>
        <w:tc>
          <w:tcPr>
            <w:tcW w:w="1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Borders>
              <w:bottom w:val="single" w:sz="8" w:color="0000FF"/>
            </w:tcBorders>
            <w:gridSpan w:val="2"/>
          </w:tcPr>
          <w:p>
            <w:pPr>
              <w:spacing w:after="0" w:line="142" w:lineRule="exact"/>
              <w:rPr>
                <w:rFonts w:ascii="Arial" w:cs="Arial" w:eastAsia="Arial" w:hAnsi="Arial"/>
                <w:sz w:val="14"/>
                <w:szCs w:val="14"/>
                <w:color w:val="0000FF"/>
                <w:w w:val="95"/>
              </w:rPr>
            </w:pPr>
            <w:hyperlink r:id="rId44">
              <w:r>
                <w:rPr>
                  <w:rFonts w:ascii="Arial" w:cs="Arial" w:eastAsia="Arial" w:hAnsi="Arial"/>
                  <w:sz w:val="14"/>
                  <w:szCs w:val="14"/>
                  <w:color w:val="0000FF"/>
                  <w:w w:val="95"/>
                </w:rPr>
                <w:t>4.</w:t>
              </w:r>
              <w:r>
                <w:rPr>
                  <w:rFonts w:ascii="Arial" w:cs="Arial" w:eastAsia="Arial" w:hAnsi="Arial"/>
                  <w:sz w:val="14"/>
                  <w:szCs w:val="14"/>
                  <w:u w:val="single" w:color="auto"/>
                  <w:color w:val="0000FF"/>
                  <w:w w:val="95"/>
                </w:rPr>
                <w:t>15</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Borders>
              <w:bottom w:val="single" w:sz="8" w:color="0000FF"/>
            </w:tcBorders>
            <w:gridSpan w:val="5"/>
          </w:tcPr>
          <w:p>
            <w:pPr>
              <w:spacing w:after="0" w:line="142" w:lineRule="exact"/>
              <w:rPr>
                <w:rFonts w:ascii="Arial" w:cs="Arial" w:eastAsia="Arial" w:hAnsi="Arial"/>
                <w:sz w:val="14"/>
                <w:szCs w:val="14"/>
                <w:color w:val="0000FF"/>
              </w:rPr>
            </w:pPr>
            <w:hyperlink r:id="rId44">
              <w:r>
                <w:rPr>
                  <w:rFonts w:ascii="Arial" w:cs="Arial" w:eastAsia="Arial" w:hAnsi="Arial"/>
                  <w:sz w:val="14"/>
                  <w:szCs w:val="14"/>
                  <w:color w:val="0000FF"/>
                </w:rPr>
                <w:t>Singer Advisory LLP</w:t>
              </w:r>
            </w:hyperlink>
          </w:p>
        </w:tc>
        <w:tc>
          <w:tcPr>
            <w:tcW w:w="3060" w:type="dxa"/>
            <w:vAlign w:val="bottom"/>
            <w:gridSpan w:val="26"/>
          </w:tcPr>
          <w:p>
            <w:pPr>
              <w:spacing w:after="0"/>
              <w:rPr>
                <w:sz w:val="12"/>
                <w:szCs w:val="12"/>
                <w:color w:val="auto"/>
              </w:rPr>
            </w:pPr>
          </w:p>
        </w:tc>
        <w:tc>
          <w:tcPr>
            <w:tcW w:w="11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F-1</w:t>
            </w:r>
          </w:p>
        </w:tc>
        <w:tc>
          <w:tcPr>
            <w:tcW w:w="140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10.14</w:t>
            </w:r>
          </w:p>
        </w:tc>
        <w:tc>
          <w:tcPr>
            <w:tcW w:w="2220" w:type="dxa"/>
            <w:vAlign w:val="bottom"/>
          </w:tcPr>
          <w:p>
            <w:pPr>
              <w:jc w:val="right"/>
              <w:ind w:right="1168"/>
              <w:spacing w:after="0" w:line="142" w:lineRule="exact"/>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93"/>
        </w:trPr>
        <w:tc>
          <w:tcPr>
            <w:tcW w:w="200" w:type="dxa"/>
            <w:vAlign w:val="bottom"/>
            <w:tcBorders>
              <w:bottom w:val="single" w:sz="8" w:color="0000FF"/>
            </w:tcBorders>
          </w:tcPr>
          <w:p>
            <w:pPr>
              <w:spacing w:after="0"/>
              <w:rPr>
                <w:rFonts w:ascii="Arial" w:cs="Arial" w:eastAsia="Arial" w:hAnsi="Arial"/>
                <w:sz w:val="14"/>
                <w:szCs w:val="14"/>
                <w:color w:val="0000FF"/>
                <w:w w:val="92"/>
              </w:rPr>
            </w:pPr>
            <w:hyperlink r:id="rId45">
              <w:r>
                <w:rPr>
                  <w:rFonts w:ascii="Arial" w:cs="Arial" w:eastAsia="Arial" w:hAnsi="Arial"/>
                  <w:sz w:val="14"/>
                  <w:szCs w:val="14"/>
                  <w:color w:val="0000FF"/>
                  <w:w w:val="92"/>
                </w:rPr>
                <w:t>8.</w:t>
              </w:r>
              <w:r>
                <w:rPr>
                  <w:rFonts w:ascii="Arial" w:cs="Arial" w:eastAsia="Arial" w:hAnsi="Arial"/>
                  <w:sz w:val="14"/>
                  <w:szCs w:val="14"/>
                  <w:u w:val="single" w:color="auto"/>
                  <w:color w:val="0000FF"/>
                  <w:w w:val="92"/>
                </w:rPr>
                <w:t>1</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Borders>
              <w:bottom w:val="single" w:sz="8" w:color="0000FF"/>
            </w:tcBorders>
            <w:gridSpan w:val="3"/>
          </w:tcPr>
          <w:p>
            <w:pPr>
              <w:spacing w:after="0"/>
              <w:rPr>
                <w:rFonts w:ascii="Arial" w:cs="Arial" w:eastAsia="Arial" w:hAnsi="Arial"/>
                <w:sz w:val="14"/>
                <w:szCs w:val="14"/>
                <w:color w:val="0000FF"/>
              </w:rPr>
            </w:pPr>
            <w:hyperlink r:id="rId45">
              <w:r>
                <w:rPr>
                  <w:rFonts w:ascii="Arial" w:cs="Arial" w:eastAsia="Arial" w:hAnsi="Arial"/>
                  <w:sz w:val="14"/>
                  <w:szCs w:val="14"/>
                  <w:color w:val="0000FF"/>
                </w:rPr>
                <w:t>List of Subsidiaries</w:t>
              </w:r>
            </w:hyperlink>
          </w:p>
        </w:tc>
        <w:tc>
          <w:tcPr>
            <w:tcW w:w="3160" w:type="dxa"/>
            <w:vAlign w:val="bottom"/>
            <w:gridSpan w:val="28"/>
          </w:tcPr>
          <w:p>
            <w:pPr>
              <w:spacing w:after="0"/>
              <w:rPr>
                <w:sz w:val="24"/>
                <w:szCs w:val="24"/>
                <w:color w:val="auto"/>
              </w:rPr>
            </w:pPr>
          </w:p>
        </w:tc>
        <w:tc>
          <w:tcPr>
            <w:tcW w:w="1180" w:type="dxa"/>
            <w:vAlign w:val="bottom"/>
          </w:tcPr>
          <w:p>
            <w:pPr>
              <w:jc w:val="right"/>
              <w:ind w:right="348"/>
              <w:spacing w:after="0"/>
              <w:rPr>
                <w:sz w:val="20"/>
                <w:szCs w:val="20"/>
                <w:color w:val="auto"/>
              </w:rPr>
            </w:pPr>
            <w:r>
              <w:rPr>
                <w:rFonts w:ascii="Arial" w:cs="Arial" w:eastAsia="Arial" w:hAnsi="Arial"/>
                <w:sz w:val="14"/>
                <w:szCs w:val="14"/>
                <w:color w:val="auto"/>
              </w:rPr>
              <w:t>F-1</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333-217124</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21.1</w:t>
            </w:r>
          </w:p>
        </w:tc>
        <w:tc>
          <w:tcPr>
            <w:tcW w:w="2220" w:type="dxa"/>
            <w:vAlign w:val="bottom"/>
          </w:tcPr>
          <w:p>
            <w:pPr>
              <w:jc w:val="right"/>
              <w:ind w:right="1168"/>
              <w:spacing w:after="0"/>
              <w:rPr>
                <w:sz w:val="20"/>
                <w:szCs w:val="20"/>
                <w:color w:val="auto"/>
              </w:rPr>
            </w:pPr>
            <w:r>
              <w:rPr>
                <w:rFonts w:ascii="Arial" w:cs="Arial" w:eastAsia="Arial" w:hAnsi="Arial"/>
                <w:sz w:val="14"/>
                <w:szCs w:val="14"/>
                <w:color w:val="auto"/>
              </w:rPr>
              <w:t>4/3/2017</w:t>
            </w:r>
          </w:p>
        </w:tc>
        <w:tc>
          <w:tcPr>
            <w:tcW w:w="0" w:type="dxa"/>
            <w:vAlign w:val="bottom"/>
          </w:tcPr>
          <w:p>
            <w:pPr>
              <w:spacing w:after="0"/>
              <w:rPr>
                <w:sz w:val="1"/>
                <w:szCs w:val="1"/>
                <w:color w:val="auto"/>
              </w:rPr>
            </w:pPr>
          </w:p>
        </w:tc>
      </w:tr>
      <w:tr>
        <w:trPr>
          <w:trHeight w:val="293"/>
        </w:trPr>
        <w:tc>
          <w:tcPr>
            <w:tcW w:w="280" w:type="dxa"/>
            <w:vAlign w:val="bottom"/>
            <w:gridSpan w:val="2"/>
          </w:tcPr>
          <w:p>
            <w:pPr>
              <w:spacing w:after="0"/>
              <w:rPr>
                <w:rFonts w:ascii="Arial" w:cs="Arial" w:eastAsia="Arial" w:hAnsi="Arial"/>
                <w:sz w:val="14"/>
                <w:szCs w:val="14"/>
                <w:color w:val="0000FF"/>
                <w:w w:val="95"/>
              </w:rPr>
            </w:pPr>
            <w:hyperlink w:anchor="page242">
              <w:r>
                <w:rPr>
                  <w:rFonts w:ascii="Arial" w:cs="Arial" w:eastAsia="Arial" w:hAnsi="Arial"/>
                  <w:sz w:val="14"/>
                  <w:szCs w:val="14"/>
                  <w:color w:val="0000FF"/>
                  <w:w w:val="95"/>
                </w:rPr>
                <w:t>12.</w:t>
              </w:r>
              <w:r>
                <w:rPr>
                  <w:rFonts w:ascii="Arial" w:cs="Arial" w:eastAsia="Arial" w:hAnsi="Arial"/>
                  <w:sz w:val="14"/>
                  <w:szCs w:val="14"/>
                  <w:u w:val="single" w:color="auto"/>
                  <w:color w:val="0000FF"/>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60" w:type="dxa"/>
            <w:vAlign w:val="bottom"/>
            <w:gridSpan w:val="31"/>
          </w:tcPr>
          <w:p>
            <w:pPr>
              <w:spacing w:after="0"/>
              <w:rPr>
                <w:rFonts w:ascii="Arial" w:cs="Arial" w:eastAsia="Arial" w:hAnsi="Arial"/>
                <w:sz w:val="14"/>
                <w:szCs w:val="14"/>
                <w:color w:val="0000FF"/>
              </w:rPr>
            </w:pPr>
            <w:hyperlink w:anchor="page242">
              <w:r>
                <w:rPr>
                  <w:rFonts w:ascii="Arial" w:cs="Arial" w:eastAsia="Arial" w:hAnsi="Arial"/>
                  <w:sz w:val="14"/>
                  <w:szCs w:val="14"/>
                  <w:color w:val="0000FF"/>
                </w:rPr>
                <w:t>Rule 13a-14(a)/15d-14(a) Certification of Chief Executive Officer</w:t>
              </w:r>
            </w:hyperlink>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3"/>
        </w:trPr>
        <w:tc>
          <w:tcPr>
            <w:tcW w:w="280" w:type="dxa"/>
            <w:vAlign w:val="bottom"/>
            <w:tcBorders>
              <w:top w:val="single" w:sz="8" w:color="0000FF"/>
            </w:tcBorders>
            <w:gridSpan w:val="2"/>
          </w:tcPr>
          <w:p>
            <w:pPr>
              <w:spacing w:after="0"/>
              <w:rPr>
                <w:rFonts w:ascii="Arial" w:cs="Arial" w:eastAsia="Arial" w:hAnsi="Arial"/>
                <w:sz w:val="14"/>
                <w:szCs w:val="14"/>
                <w:color w:val="0000FF"/>
                <w:w w:val="95"/>
              </w:rPr>
            </w:pPr>
            <w:hyperlink w:anchor="page245">
              <w:r>
                <w:rPr>
                  <w:rFonts w:ascii="Arial" w:cs="Arial" w:eastAsia="Arial" w:hAnsi="Arial"/>
                  <w:sz w:val="14"/>
                  <w:szCs w:val="14"/>
                  <w:color w:val="0000FF"/>
                  <w:w w:val="95"/>
                </w:rPr>
                <w:t>12.</w:t>
              </w:r>
              <w:r>
                <w:rPr>
                  <w:rFonts w:ascii="Arial" w:cs="Arial" w:eastAsia="Arial" w:hAnsi="Arial"/>
                  <w:sz w:val="14"/>
                  <w:szCs w:val="14"/>
                  <w:u w:val="single" w:color="auto"/>
                  <w:color w:val="0000FF"/>
                  <w:w w:val="95"/>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60" w:type="dxa"/>
            <w:vAlign w:val="bottom"/>
            <w:tcBorders>
              <w:top w:val="single" w:sz="8" w:color="0000FF"/>
            </w:tcBorders>
            <w:gridSpan w:val="24"/>
          </w:tcPr>
          <w:p>
            <w:pPr>
              <w:spacing w:after="0"/>
              <w:rPr>
                <w:rFonts w:ascii="Arial" w:cs="Arial" w:eastAsia="Arial" w:hAnsi="Arial"/>
                <w:sz w:val="14"/>
                <w:szCs w:val="14"/>
                <w:color w:val="0000FF"/>
              </w:rPr>
            </w:pPr>
            <w:hyperlink w:anchor="page245">
              <w:r>
                <w:rPr>
                  <w:rFonts w:ascii="Arial" w:cs="Arial" w:eastAsia="Arial" w:hAnsi="Arial"/>
                  <w:sz w:val="14"/>
                  <w:szCs w:val="14"/>
                  <w:color w:val="0000FF"/>
                </w:rPr>
                <w:t>Rule 13a-14(a)/15d-14(a) Certification of Chief Financial Officer</w:t>
              </w:r>
            </w:hyperlink>
          </w:p>
        </w:tc>
        <w:tc>
          <w:tcPr>
            <w:tcW w:w="300" w:type="dxa"/>
            <w:vAlign w:val="bottom"/>
            <w:gridSpan w:val="7"/>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3"/>
        </w:trPr>
        <w:tc>
          <w:tcPr>
            <w:tcW w:w="280" w:type="dxa"/>
            <w:vAlign w:val="bottom"/>
            <w:tcBorders>
              <w:top w:val="single" w:sz="8" w:color="0000FF"/>
            </w:tcBorders>
            <w:gridSpan w:val="2"/>
          </w:tcPr>
          <w:p>
            <w:pPr>
              <w:spacing w:after="0"/>
              <w:rPr>
                <w:rFonts w:ascii="Arial" w:cs="Arial" w:eastAsia="Arial" w:hAnsi="Arial"/>
                <w:sz w:val="14"/>
                <w:szCs w:val="14"/>
                <w:color w:val="0000FF"/>
                <w:w w:val="95"/>
              </w:rPr>
            </w:pPr>
            <w:hyperlink w:anchor="page248">
              <w:r>
                <w:rPr>
                  <w:rFonts w:ascii="Arial" w:cs="Arial" w:eastAsia="Arial" w:hAnsi="Arial"/>
                  <w:sz w:val="14"/>
                  <w:szCs w:val="14"/>
                  <w:color w:val="0000FF"/>
                  <w:w w:val="95"/>
                </w:rPr>
                <w:t>13.</w:t>
              </w:r>
              <w:r>
                <w:rPr>
                  <w:rFonts w:ascii="Arial" w:cs="Arial" w:eastAsia="Arial" w:hAnsi="Arial"/>
                  <w:sz w:val="14"/>
                  <w:szCs w:val="14"/>
                  <w:u w:val="single" w:color="auto"/>
                  <w:color w:val="0000FF"/>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20" w:type="dxa"/>
            <w:vAlign w:val="bottom"/>
            <w:tcBorders>
              <w:top w:val="single" w:sz="8" w:color="0000FF"/>
            </w:tcBorders>
            <w:gridSpan w:val="23"/>
          </w:tcPr>
          <w:p>
            <w:pPr>
              <w:spacing w:after="0"/>
              <w:rPr>
                <w:rFonts w:ascii="Arial" w:cs="Arial" w:eastAsia="Arial" w:hAnsi="Arial"/>
                <w:sz w:val="14"/>
                <w:szCs w:val="14"/>
                <w:color w:val="0000FF"/>
              </w:rPr>
            </w:pPr>
            <w:hyperlink w:anchor="page248">
              <w:r>
                <w:rPr>
                  <w:rFonts w:ascii="Arial" w:cs="Arial" w:eastAsia="Arial" w:hAnsi="Arial"/>
                  <w:sz w:val="14"/>
                  <w:szCs w:val="14"/>
                  <w:color w:val="0000FF"/>
                </w:rPr>
                <w:t>Section 1350 Certification of Chief Executive Officer</w:t>
              </w:r>
            </w:hyperlink>
          </w:p>
        </w:tc>
        <w:tc>
          <w:tcPr>
            <w:tcW w:w="340" w:type="dxa"/>
            <w:vAlign w:val="bottom"/>
            <w:gridSpan w:val="8"/>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3"/>
        </w:trPr>
        <w:tc>
          <w:tcPr>
            <w:tcW w:w="28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95"/>
              </w:rPr>
            </w:pPr>
            <w:hyperlink w:anchor="page250">
              <w:r>
                <w:rPr>
                  <w:rFonts w:ascii="Arial" w:cs="Arial" w:eastAsia="Arial" w:hAnsi="Arial"/>
                  <w:sz w:val="14"/>
                  <w:szCs w:val="14"/>
                  <w:color w:val="0000FF"/>
                  <w:w w:val="95"/>
                </w:rPr>
                <w:t>13.</w:t>
              </w:r>
              <w:r>
                <w:rPr>
                  <w:rFonts w:ascii="Arial" w:cs="Arial" w:eastAsia="Arial" w:hAnsi="Arial"/>
                  <w:sz w:val="14"/>
                  <w:szCs w:val="14"/>
                  <w:u w:val="single" w:color="auto"/>
                  <w:color w:val="0000FF"/>
                  <w:w w:val="95"/>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60" w:type="dxa"/>
            <w:vAlign w:val="bottom"/>
            <w:tcBorders>
              <w:top w:val="single" w:sz="8" w:color="0000FF"/>
              <w:bottom w:val="single" w:sz="8" w:color="0000FF"/>
            </w:tcBorders>
            <w:gridSpan w:val="12"/>
          </w:tcPr>
          <w:p>
            <w:pPr>
              <w:spacing w:after="0"/>
              <w:rPr>
                <w:rFonts w:ascii="Arial" w:cs="Arial" w:eastAsia="Arial" w:hAnsi="Arial"/>
                <w:sz w:val="14"/>
                <w:szCs w:val="14"/>
                <w:color w:val="0000FF"/>
              </w:rPr>
            </w:pPr>
            <w:hyperlink w:anchor="page250">
              <w:r>
                <w:rPr>
                  <w:rFonts w:ascii="Arial" w:cs="Arial" w:eastAsia="Arial" w:hAnsi="Arial"/>
                  <w:sz w:val="14"/>
                  <w:szCs w:val="14"/>
                  <w:color w:val="0000FF"/>
                </w:rPr>
                <w:t>Section 1350 Certification of Chief Financial Officer</w:t>
              </w:r>
            </w:hyperlink>
          </w:p>
        </w:tc>
        <w:tc>
          <w:tcPr>
            <w:tcW w:w="20" w:type="dxa"/>
            <w:vAlign w:val="bottom"/>
            <w:tcBorders>
              <w:top w:val="single" w:sz="8" w:color="0000FF"/>
            </w:tcBorders>
          </w:tcPr>
          <w:p>
            <w:pPr>
              <w:spacing w:after="0"/>
              <w:rPr>
                <w:sz w:val="24"/>
                <w:szCs w:val="24"/>
                <w:color w:val="auto"/>
              </w:rPr>
            </w:pPr>
          </w:p>
        </w:tc>
        <w:tc>
          <w:tcPr>
            <w:tcW w:w="1080" w:type="dxa"/>
            <w:vAlign w:val="bottom"/>
            <w:gridSpan w:val="18"/>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3"/>
        </w:trPr>
        <w:tc>
          <w:tcPr>
            <w:tcW w:w="280" w:type="dxa"/>
            <w:vAlign w:val="bottom"/>
            <w:gridSpan w:val="2"/>
          </w:tcPr>
          <w:p>
            <w:pPr>
              <w:spacing w:after="0"/>
              <w:rPr>
                <w:rFonts w:ascii="Arial" w:cs="Arial" w:eastAsia="Arial" w:hAnsi="Arial"/>
                <w:sz w:val="14"/>
                <w:szCs w:val="14"/>
                <w:color w:val="0000FF"/>
                <w:w w:val="95"/>
              </w:rPr>
            </w:pPr>
            <w:hyperlink w:anchor="page252">
              <w:r>
                <w:rPr>
                  <w:rFonts w:ascii="Arial" w:cs="Arial" w:eastAsia="Arial" w:hAnsi="Arial"/>
                  <w:sz w:val="14"/>
                  <w:szCs w:val="14"/>
                  <w:color w:val="0000FF"/>
                  <w:w w:val="95"/>
                </w:rPr>
                <w:t>15.</w:t>
              </w:r>
              <w:r>
                <w:rPr>
                  <w:rFonts w:ascii="Arial" w:cs="Arial" w:eastAsia="Arial" w:hAnsi="Arial"/>
                  <w:sz w:val="14"/>
                  <w:szCs w:val="14"/>
                  <w:u w:val="single" w:color="auto"/>
                  <w:color w:val="0000FF"/>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60" w:type="dxa"/>
            <w:vAlign w:val="bottom"/>
            <w:gridSpan w:val="31"/>
          </w:tcPr>
          <w:p>
            <w:pPr>
              <w:spacing w:after="0"/>
              <w:rPr>
                <w:rFonts w:ascii="Arial" w:cs="Arial" w:eastAsia="Arial" w:hAnsi="Arial"/>
                <w:sz w:val="14"/>
                <w:szCs w:val="14"/>
                <w:color w:val="0000FF"/>
              </w:rPr>
            </w:pPr>
            <w:hyperlink w:anchor="page252">
              <w:r>
                <w:rPr>
                  <w:rFonts w:ascii="Arial" w:cs="Arial" w:eastAsia="Arial" w:hAnsi="Arial"/>
                  <w:sz w:val="14"/>
                  <w:szCs w:val="14"/>
                  <w:color w:val="0000FF"/>
                </w:rPr>
                <w:t>Consent of PricewaterhouseCoopers LLP</w:t>
              </w:r>
            </w:hyperlink>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7"/>
        </w:trPr>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jc w:val="right"/>
              <w:ind w:right="808"/>
              <w:spacing w:after="0"/>
              <w:rPr>
                <w:sz w:val="20"/>
                <w:szCs w:val="20"/>
                <w:color w:val="auto"/>
              </w:rPr>
            </w:pPr>
            <w:r>
              <w:rPr>
                <w:rFonts w:ascii="Arial" w:cs="Arial" w:eastAsia="Arial" w:hAnsi="Arial"/>
                <w:sz w:val="14"/>
                <w:szCs w:val="14"/>
                <w:color w:val="auto"/>
              </w:rPr>
              <w:t>116</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420" w:right="259" w:bottom="1440" w:gutter="0" w:footer="0" w:header="0"/>
        </w:sectPr>
      </w:pPr>
    </w:p>
    <w:bookmarkStart w:id="117" w:name="page118"/>
    <w:bookmarkEnd w:id="117"/>
    <w:p>
      <w:pPr>
        <w:spacing w:after="0" w:line="1" w:lineRule="exact"/>
        <w:rPr>
          <w:sz w:val="20"/>
          <w:szCs w:val="20"/>
          <w:color w:val="auto"/>
        </w:rPr>
      </w:pPr>
    </w:p>
    <w:tbl>
      <w:tblPr>
        <w:tblLayout w:type="fixed"/>
        <w:tblInd w:w="23"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color w:val="0000FF"/>
                <w:w w:val="98"/>
              </w:rPr>
              <w:t>101.</w:t>
            </w:r>
            <w:r>
              <w:rPr>
                <w:rFonts w:ascii="Arial" w:cs="Arial" w:eastAsia="Arial" w:hAnsi="Arial"/>
                <w:sz w:val="14"/>
                <w:szCs w:val="14"/>
                <w:u w:val="single" w:color="auto"/>
                <w:color w:val="0000FF"/>
                <w:w w:val="98"/>
              </w:rPr>
              <w:t>INS</w:t>
            </w:r>
          </w:p>
        </w:tc>
        <w:tc>
          <w:tcPr>
            <w:tcW w:w="340" w:type="dxa"/>
            <w:vAlign w:val="bottom"/>
            <w:gridSpan w:val="2"/>
          </w:tcPr>
          <w:p>
            <w:pPr>
              <w:spacing w:after="0"/>
              <w:rPr>
                <w:sz w:val="14"/>
                <w:szCs w:val="14"/>
                <w:color w:val="auto"/>
              </w:rPr>
            </w:pPr>
          </w:p>
        </w:tc>
        <w:tc>
          <w:tcPr>
            <w:tcW w:w="7340" w:type="dxa"/>
            <w:vAlign w:val="bottom"/>
            <w:gridSpan w:val="8"/>
          </w:tcPr>
          <w:p>
            <w:pPr>
              <w:ind w:left="300"/>
              <w:spacing w:after="0"/>
              <w:rPr>
                <w:sz w:val="20"/>
                <w:szCs w:val="20"/>
                <w:color w:val="auto"/>
              </w:rPr>
            </w:pPr>
            <w:r>
              <w:rPr>
                <w:rFonts w:ascii="Arial" w:cs="Arial" w:eastAsia="Arial" w:hAnsi="Arial"/>
                <w:sz w:val="14"/>
                <w:szCs w:val="14"/>
                <w:color w:val="0000FF"/>
              </w:rPr>
              <w:t>XBRL Instance Document</w:t>
            </w: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93"/>
        </w:trPr>
        <w:tc>
          <w:tcPr>
            <w:tcW w:w="540" w:type="dxa"/>
            <w:vAlign w:val="bottom"/>
            <w:gridSpan w:val="2"/>
          </w:tcPr>
          <w:p>
            <w:pPr>
              <w:spacing w:after="0"/>
              <w:rPr>
                <w:sz w:val="20"/>
                <w:szCs w:val="20"/>
                <w:color w:val="auto"/>
              </w:rPr>
            </w:pPr>
            <w:r>
              <w:rPr>
                <w:rFonts w:ascii="Arial" w:cs="Arial" w:eastAsia="Arial" w:hAnsi="Arial"/>
                <w:sz w:val="14"/>
                <w:szCs w:val="14"/>
                <w:color w:val="0000FF"/>
                <w:w w:val="87"/>
              </w:rPr>
              <w:t>101.</w:t>
            </w:r>
            <w:r>
              <w:rPr>
                <w:rFonts w:ascii="Arial" w:cs="Arial" w:eastAsia="Arial" w:hAnsi="Arial"/>
                <w:sz w:val="14"/>
                <w:szCs w:val="14"/>
                <w:u w:val="single" w:color="auto"/>
                <w:color w:val="0000FF"/>
                <w:w w:val="87"/>
              </w:rPr>
              <w:t>SCH</w:t>
            </w:r>
          </w:p>
        </w:tc>
        <w:tc>
          <w:tcPr>
            <w:tcW w:w="320" w:type="dxa"/>
            <w:vAlign w:val="bottom"/>
          </w:tcPr>
          <w:p>
            <w:pPr>
              <w:spacing w:after="0"/>
              <w:rPr>
                <w:sz w:val="24"/>
                <w:szCs w:val="24"/>
                <w:color w:val="auto"/>
              </w:rPr>
            </w:pPr>
          </w:p>
        </w:tc>
        <w:tc>
          <w:tcPr>
            <w:tcW w:w="7340" w:type="dxa"/>
            <w:vAlign w:val="bottom"/>
            <w:gridSpan w:val="8"/>
          </w:tcPr>
          <w:p>
            <w:pPr>
              <w:ind w:left="300"/>
              <w:spacing w:after="0"/>
              <w:rPr>
                <w:sz w:val="20"/>
                <w:szCs w:val="20"/>
                <w:color w:val="auto"/>
              </w:rPr>
            </w:pPr>
            <w:r>
              <w:rPr>
                <w:rFonts w:ascii="Arial" w:cs="Arial" w:eastAsia="Arial" w:hAnsi="Arial"/>
                <w:sz w:val="14"/>
                <w:szCs w:val="14"/>
                <w:color w:val="0000FF"/>
              </w:rPr>
              <w:t>XBRL Taxonomy Extension Schema Document</w:t>
            </w: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93"/>
        </w:trPr>
        <w:tc>
          <w:tcPr>
            <w:tcW w:w="540" w:type="dxa"/>
            <w:vAlign w:val="bottom"/>
            <w:gridSpan w:val="2"/>
          </w:tcPr>
          <w:p>
            <w:pPr>
              <w:spacing w:after="0"/>
              <w:rPr>
                <w:sz w:val="20"/>
                <w:szCs w:val="20"/>
                <w:color w:val="auto"/>
              </w:rPr>
            </w:pPr>
            <w:r>
              <w:rPr>
                <w:rFonts w:ascii="Arial" w:cs="Arial" w:eastAsia="Arial" w:hAnsi="Arial"/>
                <w:sz w:val="14"/>
                <w:szCs w:val="14"/>
                <w:color w:val="0000FF"/>
                <w:w w:val="91"/>
              </w:rPr>
              <w:t>101.</w:t>
            </w:r>
            <w:r>
              <w:rPr>
                <w:rFonts w:ascii="Arial" w:cs="Arial" w:eastAsia="Arial" w:hAnsi="Arial"/>
                <w:sz w:val="14"/>
                <w:szCs w:val="14"/>
                <w:u w:val="single" w:color="auto"/>
                <w:color w:val="0000FF"/>
                <w:w w:val="91"/>
              </w:rPr>
              <w:t>CAL</w:t>
            </w:r>
          </w:p>
        </w:tc>
        <w:tc>
          <w:tcPr>
            <w:tcW w:w="320" w:type="dxa"/>
            <w:vAlign w:val="bottom"/>
          </w:tcPr>
          <w:p>
            <w:pPr>
              <w:spacing w:after="0"/>
              <w:rPr>
                <w:sz w:val="24"/>
                <w:szCs w:val="24"/>
                <w:color w:val="auto"/>
              </w:rPr>
            </w:pPr>
          </w:p>
        </w:tc>
        <w:tc>
          <w:tcPr>
            <w:tcW w:w="7340" w:type="dxa"/>
            <w:vAlign w:val="bottom"/>
            <w:gridSpan w:val="8"/>
          </w:tcPr>
          <w:p>
            <w:pPr>
              <w:ind w:left="300"/>
              <w:spacing w:after="0"/>
              <w:rPr>
                <w:sz w:val="20"/>
                <w:szCs w:val="20"/>
                <w:color w:val="auto"/>
              </w:rPr>
            </w:pPr>
            <w:r>
              <w:rPr>
                <w:rFonts w:ascii="Arial" w:cs="Arial" w:eastAsia="Arial" w:hAnsi="Arial"/>
                <w:sz w:val="14"/>
                <w:szCs w:val="14"/>
                <w:color w:val="0000FF"/>
              </w:rPr>
              <w:t>XBRL Taxonomy Extension Calculation Linkbase Document</w:t>
            </w: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93"/>
        </w:trPr>
        <w:tc>
          <w:tcPr>
            <w:tcW w:w="540" w:type="dxa"/>
            <w:vAlign w:val="bottom"/>
            <w:gridSpan w:val="2"/>
          </w:tcPr>
          <w:p>
            <w:pPr>
              <w:spacing w:after="0"/>
              <w:rPr>
                <w:sz w:val="20"/>
                <w:szCs w:val="20"/>
                <w:color w:val="auto"/>
              </w:rPr>
            </w:pPr>
            <w:r>
              <w:rPr>
                <w:rFonts w:ascii="Arial" w:cs="Arial" w:eastAsia="Arial" w:hAnsi="Arial"/>
                <w:sz w:val="14"/>
                <w:szCs w:val="14"/>
                <w:color w:val="0000FF"/>
                <w:w w:val="93"/>
              </w:rPr>
              <w:t>101.</w:t>
            </w:r>
            <w:r>
              <w:rPr>
                <w:rFonts w:ascii="Arial" w:cs="Arial" w:eastAsia="Arial" w:hAnsi="Arial"/>
                <w:sz w:val="14"/>
                <w:szCs w:val="14"/>
                <w:u w:val="single" w:color="auto"/>
                <w:color w:val="0000FF"/>
                <w:w w:val="93"/>
              </w:rPr>
              <w:t>LAB</w:t>
            </w:r>
          </w:p>
        </w:tc>
        <w:tc>
          <w:tcPr>
            <w:tcW w:w="320" w:type="dxa"/>
            <w:vAlign w:val="bottom"/>
          </w:tcPr>
          <w:p>
            <w:pPr>
              <w:spacing w:after="0"/>
              <w:rPr>
                <w:sz w:val="24"/>
                <w:szCs w:val="24"/>
                <w:color w:val="auto"/>
              </w:rPr>
            </w:pPr>
          </w:p>
        </w:tc>
        <w:tc>
          <w:tcPr>
            <w:tcW w:w="7340" w:type="dxa"/>
            <w:vAlign w:val="bottom"/>
            <w:gridSpan w:val="8"/>
          </w:tcPr>
          <w:p>
            <w:pPr>
              <w:ind w:left="300"/>
              <w:spacing w:after="0"/>
              <w:rPr>
                <w:sz w:val="20"/>
                <w:szCs w:val="20"/>
                <w:color w:val="auto"/>
              </w:rPr>
            </w:pPr>
            <w:r>
              <w:rPr>
                <w:rFonts w:ascii="Arial" w:cs="Arial" w:eastAsia="Arial" w:hAnsi="Arial"/>
                <w:sz w:val="14"/>
                <w:szCs w:val="14"/>
                <w:color w:val="0000FF"/>
              </w:rPr>
              <w:t>XBRL Taxonomy Extension Label Linkbase Document</w:t>
            </w: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93"/>
        </w:trPr>
        <w:tc>
          <w:tcPr>
            <w:tcW w:w="540" w:type="dxa"/>
            <w:vAlign w:val="bottom"/>
            <w:gridSpan w:val="2"/>
          </w:tcPr>
          <w:p>
            <w:pPr>
              <w:spacing w:after="0"/>
              <w:rPr>
                <w:sz w:val="20"/>
                <w:szCs w:val="20"/>
                <w:color w:val="auto"/>
              </w:rPr>
            </w:pPr>
            <w:r>
              <w:rPr>
                <w:rFonts w:ascii="Arial" w:cs="Arial" w:eastAsia="Arial" w:hAnsi="Arial"/>
                <w:sz w:val="14"/>
                <w:szCs w:val="14"/>
                <w:color w:val="0000FF"/>
                <w:w w:val="89"/>
              </w:rPr>
              <w:t>101.</w:t>
            </w:r>
            <w:r>
              <w:rPr>
                <w:rFonts w:ascii="Arial" w:cs="Arial" w:eastAsia="Arial" w:hAnsi="Arial"/>
                <w:sz w:val="14"/>
                <w:szCs w:val="14"/>
                <w:u w:val="single" w:color="auto"/>
                <w:color w:val="0000FF"/>
                <w:w w:val="89"/>
              </w:rPr>
              <w:t>PRE</w:t>
            </w:r>
          </w:p>
        </w:tc>
        <w:tc>
          <w:tcPr>
            <w:tcW w:w="320" w:type="dxa"/>
            <w:vAlign w:val="bottom"/>
          </w:tcPr>
          <w:p>
            <w:pPr>
              <w:spacing w:after="0"/>
              <w:rPr>
                <w:sz w:val="24"/>
                <w:szCs w:val="24"/>
                <w:color w:val="auto"/>
              </w:rPr>
            </w:pPr>
          </w:p>
        </w:tc>
        <w:tc>
          <w:tcPr>
            <w:tcW w:w="7340" w:type="dxa"/>
            <w:vAlign w:val="bottom"/>
            <w:gridSpan w:val="8"/>
          </w:tcPr>
          <w:p>
            <w:pPr>
              <w:ind w:left="300"/>
              <w:spacing w:after="0"/>
              <w:rPr>
                <w:sz w:val="20"/>
                <w:szCs w:val="20"/>
                <w:color w:val="auto"/>
              </w:rPr>
            </w:pPr>
            <w:r>
              <w:rPr>
                <w:rFonts w:ascii="Arial" w:cs="Arial" w:eastAsia="Arial" w:hAnsi="Arial"/>
                <w:sz w:val="14"/>
                <w:szCs w:val="14"/>
                <w:color w:val="0000FF"/>
              </w:rPr>
              <w:t>XBRL Taxonomy Extension Presentation Linkbase Document</w:t>
            </w: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93"/>
        </w:trPr>
        <w:tc>
          <w:tcPr>
            <w:tcW w:w="540" w:type="dxa"/>
            <w:vAlign w:val="bottom"/>
            <w:gridSpan w:val="2"/>
          </w:tcPr>
          <w:p>
            <w:pPr>
              <w:spacing w:after="0"/>
              <w:rPr>
                <w:sz w:val="20"/>
                <w:szCs w:val="20"/>
                <w:color w:val="auto"/>
              </w:rPr>
            </w:pPr>
            <w:r>
              <w:rPr>
                <w:rFonts w:ascii="Arial" w:cs="Arial" w:eastAsia="Arial" w:hAnsi="Arial"/>
                <w:sz w:val="14"/>
                <w:szCs w:val="14"/>
                <w:color w:val="0000FF"/>
                <w:w w:val="90"/>
              </w:rPr>
              <w:t>101.</w:t>
            </w:r>
            <w:r>
              <w:rPr>
                <w:rFonts w:ascii="Arial" w:cs="Arial" w:eastAsia="Arial" w:hAnsi="Arial"/>
                <w:sz w:val="14"/>
                <w:szCs w:val="14"/>
                <w:u w:val="single" w:color="auto"/>
                <w:color w:val="0000FF"/>
                <w:w w:val="90"/>
              </w:rPr>
              <w:t>DEF</w:t>
            </w:r>
          </w:p>
        </w:tc>
        <w:tc>
          <w:tcPr>
            <w:tcW w:w="320" w:type="dxa"/>
            <w:vAlign w:val="bottom"/>
          </w:tcPr>
          <w:p>
            <w:pPr>
              <w:spacing w:after="0"/>
              <w:rPr>
                <w:sz w:val="24"/>
                <w:szCs w:val="24"/>
                <w:color w:val="auto"/>
              </w:rPr>
            </w:pPr>
          </w:p>
        </w:tc>
        <w:tc>
          <w:tcPr>
            <w:tcW w:w="7340" w:type="dxa"/>
            <w:vAlign w:val="bottom"/>
            <w:gridSpan w:val="8"/>
          </w:tcPr>
          <w:p>
            <w:pPr>
              <w:ind w:left="300"/>
              <w:spacing w:after="0"/>
              <w:rPr>
                <w:sz w:val="20"/>
                <w:szCs w:val="20"/>
                <w:color w:val="auto"/>
              </w:rPr>
            </w:pPr>
            <w:r>
              <w:rPr>
                <w:rFonts w:ascii="Arial" w:cs="Arial" w:eastAsia="Arial" w:hAnsi="Arial"/>
                <w:sz w:val="14"/>
                <w:szCs w:val="14"/>
                <w:color w:val="0000FF"/>
              </w:rPr>
              <w:t>XBRL Taxonomy Extension Definition Linkbase Document</w:t>
            </w:r>
          </w:p>
        </w:tc>
        <w:tc>
          <w:tcPr>
            <w:tcW w:w="3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162" w:lineRule="exact"/>
        <w:rPr>
          <w:sz w:val="20"/>
          <w:szCs w:val="20"/>
          <w:color w:val="auto"/>
        </w:rPr>
      </w:pPr>
    </w:p>
    <w:p>
      <w:pPr>
        <w:ind w:left="343" w:hanging="343"/>
        <w:spacing w:after="0"/>
        <w:tabs>
          <w:tab w:leader="none" w:pos="343" w:val="left"/>
        </w:tabs>
        <w:numPr>
          <w:ilvl w:val="0"/>
          <w:numId w:val="6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 w:lineRule="exact"/>
        <w:rPr>
          <w:sz w:val="20"/>
          <w:szCs w:val="20"/>
          <w:color w:val="auto"/>
        </w:rPr>
      </w:pPr>
    </w:p>
    <w:p>
      <w:pPr>
        <w:ind w:left="343" w:hanging="343"/>
        <w:spacing w:after="0"/>
        <w:tabs>
          <w:tab w:leader="none" w:pos="343" w:val="left"/>
        </w:tabs>
        <w:numPr>
          <w:ilvl w:val="0"/>
          <w:numId w:val="64"/>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1" w:lineRule="exact"/>
        <w:rPr>
          <w:sz w:val="20"/>
          <w:szCs w:val="20"/>
          <w:color w:val="auto"/>
        </w:rPr>
      </w:pPr>
    </w:p>
    <w:p>
      <w:pPr>
        <w:ind w:left="343" w:hanging="343"/>
        <w:spacing w:after="0"/>
        <w:tabs>
          <w:tab w:leader="none" w:pos="343"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1" w:lineRule="exact"/>
        <w:rPr>
          <w:sz w:val="20"/>
          <w:szCs w:val="20"/>
          <w:color w:val="auto"/>
        </w:rPr>
      </w:pPr>
    </w:p>
    <w:p>
      <w:pPr>
        <w:ind w:left="343" w:hanging="343"/>
        <w:spacing w:after="0"/>
        <w:tabs>
          <w:tab w:leader="none" w:pos="343"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Confidential treatment granted as to portions of the exhibit. Confidential materials omitted and filed separately with the SEC.</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5603"/>
        <w:spacing w:after="0"/>
        <w:rPr>
          <w:rFonts w:ascii="Arial" w:cs="Arial" w:eastAsia="Arial" w:hAnsi="Arial"/>
          <w:sz w:val="14"/>
          <w:szCs w:val="14"/>
          <w:color w:val="auto"/>
        </w:rPr>
      </w:pPr>
      <w:r>
        <w:rPr>
          <w:rFonts w:ascii="Arial" w:cs="Arial" w:eastAsia="Arial" w:hAnsi="Arial"/>
          <w:sz w:val="14"/>
          <w:szCs w:val="14"/>
          <w:color w:val="auto"/>
        </w:rPr>
        <w:t>117</w:t>
      </w:r>
    </w:p>
    <w:p>
      <w:pPr>
        <w:sectPr>
          <w:pgSz w:w="11900" w:h="16838" w:orient="portrait"/>
          <w:cols w:equalWidth="0" w:num="1">
            <w:col w:w="11403"/>
          </w:cols>
          <w:pgMar w:left="237" w:top="528" w:right="25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color w:val="auto"/>
        </w:rPr>
        <w:t>SIGNATURES</w:t>
      </w:r>
    </w:p>
    <w:p>
      <w:pPr>
        <w:spacing w:after="0" w:line="202" w:lineRule="exact"/>
        <w:rPr>
          <w:sz w:val="20"/>
          <w:szCs w:val="20"/>
          <w:color w:val="auto"/>
        </w:rPr>
      </w:pPr>
    </w:p>
    <w:p>
      <w:pPr>
        <w:ind w:right="260" w:firstLine="517"/>
        <w:spacing w:after="0" w:line="273" w:lineRule="auto"/>
        <w:rPr>
          <w:sz w:val="20"/>
          <w:szCs w:val="20"/>
          <w:color w:val="auto"/>
        </w:rPr>
      </w:pPr>
      <w:r>
        <w:rPr>
          <w:rFonts w:ascii="Arial" w:cs="Arial" w:eastAsia="Arial" w:hAnsi="Arial"/>
          <w:sz w:val="14"/>
          <w:szCs w:val="14"/>
          <w:color w:val="auto"/>
        </w:rPr>
        <w:t>The registrant hereby certifies that it meets all of the requirements for filing on Form 20-F and that it has duly caused and authorized the undersigned to sign this annual report on its behalf.</w:t>
      </w: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VERONA PHARMA PLC</w:t>
      </w:r>
    </w:p>
    <w:p>
      <w:pPr>
        <w:spacing w:after="0" w:line="184"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David Zaccardelli</w:t>
      </w:r>
    </w:p>
    <w:p>
      <w:pPr>
        <w:spacing w:after="0" w:line="184"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Name: David Zaccardelli, Pharm. D</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4"/>
          <w:szCs w:val="14"/>
          <w:color w:val="auto"/>
        </w:rPr>
        <w:t>Title: Chief Executive Officer</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80" w:type="dxa"/>
            <w:vAlign w:val="bottom"/>
            <w:gridSpan w:val="8"/>
          </w:tcPr>
          <w:p>
            <w:pPr>
              <w:spacing w:after="0"/>
              <w:rPr>
                <w:sz w:val="20"/>
                <w:szCs w:val="20"/>
                <w:color w:val="auto"/>
              </w:rPr>
            </w:pPr>
            <w:r>
              <w:rPr>
                <w:rFonts w:ascii="Arial" w:cs="Arial" w:eastAsia="Arial" w:hAnsi="Arial"/>
                <w:sz w:val="14"/>
                <w:szCs w:val="14"/>
                <w:color w:val="auto"/>
              </w:rPr>
              <w:t>Date: February 27, 2020</w:t>
            </w: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53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80" w:type="dxa"/>
            <w:vAlign w:val="bottom"/>
            <w:gridSpan w:val="5"/>
          </w:tcPr>
          <w:p>
            <w:pPr>
              <w:jc w:val="center"/>
              <w:ind w:right="1620"/>
              <w:spacing w:after="0"/>
              <w:rPr>
                <w:sz w:val="20"/>
                <w:szCs w:val="20"/>
                <w:color w:val="auto"/>
              </w:rPr>
            </w:pPr>
            <w:r>
              <w:rPr>
                <w:rFonts w:ascii="Arial" w:cs="Arial" w:eastAsia="Arial" w:hAnsi="Arial"/>
                <w:sz w:val="14"/>
                <w:szCs w:val="14"/>
                <w:b w:val="1"/>
                <w:bCs w:val="1"/>
                <w:color w:val="auto"/>
              </w:rPr>
              <w:t>INDEX TO CONSOLIDATED FINANCIAL STATEMENTS</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80" w:type="dxa"/>
            <w:vAlign w:val="bottom"/>
            <w:gridSpan w:val="5"/>
          </w:tcPr>
          <w:p>
            <w:pPr>
              <w:jc w:val="center"/>
              <w:ind w:right="1620"/>
              <w:spacing w:after="0"/>
              <w:rPr>
                <w:sz w:val="20"/>
                <w:szCs w:val="20"/>
                <w:color w:val="auto"/>
              </w:rPr>
            </w:pPr>
            <w:r>
              <w:rPr>
                <w:rFonts w:ascii="Arial" w:cs="Arial" w:eastAsia="Arial" w:hAnsi="Arial"/>
                <w:sz w:val="14"/>
                <w:szCs w:val="14"/>
                <w:b w:val="1"/>
                <w:bCs w:val="1"/>
                <w:color w:val="auto"/>
              </w:rPr>
              <w:t>Consolidated financial statements</w:t>
            </w: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360" w:type="dxa"/>
            <w:vAlign w:val="bottom"/>
            <w:gridSpan w:val="7"/>
          </w:tcPr>
          <w:p>
            <w:pPr>
              <w:spacing w:after="0"/>
              <w:rPr>
                <w:rFonts w:ascii="Arial" w:cs="Arial" w:eastAsia="Arial" w:hAnsi="Arial"/>
                <w:sz w:val="14"/>
                <w:szCs w:val="14"/>
                <w:color w:val="0000EE"/>
              </w:rPr>
            </w:pPr>
            <w:hyperlink w:anchor="page120">
              <w:r>
                <w:rPr>
                  <w:rFonts w:ascii="Arial" w:cs="Arial" w:eastAsia="Arial" w:hAnsi="Arial"/>
                  <w:sz w:val="14"/>
                  <w:szCs w:val="14"/>
                  <w:color w:val="0000EE"/>
                </w:rPr>
                <w:t>Report of Independent Registered Public Accounting Firm</w:t>
              </w:r>
            </w:hyperlink>
          </w:p>
        </w:tc>
        <w:tc>
          <w:tcPr>
            <w:tcW w:w="2040" w:type="dxa"/>
            <w:vAlign w:val="bottom"/>
            <w:gridSpan w:val="2"/>
          </w:tcPr>
          <w:p>
            <w:pPr>
              <w:jc w:val="right"/>
              <w:spacing w:after="0"/>
              <w:rPr>
                <w:rFonts w:ascii="Arial" w:cs="Arial" w:eastAsia="Arial" w:hAnsi="Arial"/>
                <w:sz w:val="14"/>
                <w:szCs w:val="14"/>
                <w:color w:val="0000EE"/>
              </w:rPr>
            </w:pPr>
            <w:hyperlink w:anchor="page120">
              <w:r>
                <w:rPr>
                  <w:rFonts w:ascii="Arial" w:cs="Arial" w:eastAsia="Arial" w:hAnsi="Arial"/>
                  <w:sz w:val="14"/>
                  <w:szCs w:val="14"/>
                  <w:color w:val="0000EE"/>
                </w:rPr>
                <w:t>119</w:t>
              </w:r>
            </w:hyperlink>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360" w:type="dxa"/>
            <w:vAlign w:val="bottom"/>
            <w:gridSpan w:val="7"/>
          </w:tcPr>
          <w:p>
            <w:pPr>
              <w:spacing w:after="0"/>
              <w:rPr>
                <w:rFonts w:ascii="Arial" w:cs="Arial" w:eastAsia="Arial" w:hAnsi="Arial"/>
                <w:sz w:val="14"/>
                <w:szCs w:val="14"/>
                <w:color w:val="0000EE"/>
              </w:rPr>
            </w:pPr>
            <w:hyperlink w:anchor="page121">
              <w:r>
                <w:rPr>
                  <w:rFonts w:ascii="Arial" w:cs="Arial" w:eastAsia="Arial" w:hAnsi="Arial"/>
                  <w:sz w:val="14"/>
                  <w:szCs w:val="14"/>
                  <w:color w:val="0000EE"/>
                </w:rPr>
                <w:t>Consolidated Statements of Financial Position as of December 31, 2019 and 2018</w:t>
              </w:r>
            </w:hyperlink>
          </w:p>
        </w:tc>
        <w:tc>
          <w:tcPr>
            <w:tcW w:w="2040" w:type="dxa"/>
            <w:vAlign w:val="bottom"/>
            <w:gridSpan w:val="2"/>
          </w:tcPr>
          <w:p>
            <w:pPr>
              <w:jc w:val="right"/>
              <w:spacing w:after="0"/>
              <w:rPr>
                <w:rFonts w:ascii="Arial" w:cs="Arial" w:eastAsia="Arial" w:hAnsi="Arial"/>
                <w:sz w:val="14"/>
                <w:szCs w:val="14"/>
                <w:color w:val="0000EE"/>
              </w:rPr>
            </w:pPr>
            <w:hyperlink w:anchor="page121">
              <w:r>
                <w:rPr>
                  <w:rFonts w:ascii="Arial" w:cs="Arial" w:eastAsia="Arial" w:hAnsi="Arial"/>
                  <w:sz w:val="14"/>
                  <w:szCs w:val="14"/>
                  <w:color w:val="0000EE"/>
                </w:rPr>
                <w:t>120</w:t>
              </w:r>
            </w:hyperlink>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360" w:type="dxa"/>
            <w:vAlign w:val="bottom"/>
            <w:gridSpan w:val="7"/>
          </w:tcPr>
          <w:p>
            <w:pPr>
              <w:spacing w:after="0"/>
              <w:rPr>
                <w:rFonts w:ascii="Arial" w:cs="Arial" w:eastAsia="Arial" w:hAnsi="Arial"/>
                <w:sz w:val="14"/>
                <w:szCs w:val="14"/>
                <w:color w:val="0000EE"/>
              </w:rPr>
            </w:pPr>
            <w:hyperlink w:anchor="page122">
              <w:r>
                <w:rPr>
                  <w:rFonts w:ascii="Arial" w:cs="Arial" w:eastAsia="Arial" w:hAnsi="Arial"/>
                  <w:sz w:val="14"/>
                  <w:szCs w:val="14"/>
                  <w:color w:val="0000EE"/>
                </w:rPr>
                <w:t>Consolidated Statements of Comprehensive Income for the years ended December 31, 2019, 2018 and 2017</w:t>
              </w:r>
            </w:hyperlink>
          </w:p>
        </w:tc>
        <w:tc>
          <w:tcPr>
            <w:tcW w:w="2040" w:type="dxa"/>
            <w:vAlign w:val="bottom"/>
            <w:gridSpan w:val="2"/>
          </w:tcPr>
          <w:p>
            <w:pPr>
              <w:jc w:val="right"/>
              <w:spacing w:after="0"/>
              <w:rPr>
                <w:rFonts w:ascii="Arial" w:cs="Arial" w:eastAsia="Arial" w:hAnsi="Arial"/>
                <w:sz w:val="14"/>
                <w:szCs w:val="14"/>
                <w:color w:val="0000EE"/>
              </w:rPr>
            </w:pPr>
            <w:hyperlink w:anchor="page122">
              <w:r>
                <w:rPr>
                  <w:rFonts w:ascii="Arial" w:cs="Arial" w:eastAsia="Arial" w:hAnsi="Arial"/>
                  <w:sz w:val="14"/>
                  <w:szCs w:val="14"/>
                  <w:color w:val="0000EE"/>
                </w:rPr>
                <w:t>121</w:t>
              </w:r>
            </w:hyperlink>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600" w:type="dxa"/>
            <w:vAlign w:val="bottom"/>
            <w:gridSpan w:val="5"/>
          </w:tcPr>
          <w:p>
            <w:pPr>
              <w:spacing w:after="0"/>
              <w:rPr>
                <w:rFonts w:ascii="Arial" w:cs="Arial" w:eastAsia="Arial" w:hAnsi="Arial"/>
                <w:sz w:val="14"/>
                <w:szCs w:val="14"/>
                <w:color w:val="0000EE"/>
              </w:rPr>
            </w:pPr>
            <w:hyperlink w:anchor="page123">
              <w:r>
                <w:rPr>
                  <w:rFonts w:ascii="Arial" w:cs="Arial" w:eastAsia="Arial" w:hAnsi="Arial"/>
                  <w:sz w:val="14"/>
                  <w:szCs w:val="14"/>
                  <w:color w:val="0000EE"/>
                </w:rPr>
                <w:t>Consolidated Statements of Changes in Equity for the years ended December 31, 2019, 2018 and 2017</w:t>
              </w:r>
            </w:hyperlink>
          </w:p>
        </w:tc>
        <w:tc>
          <w:tcPr>
            <w:tcW w:w="3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40" w:type="dxa"/>
            <w:vAlign w:val="bottom"/>
            <w:gridSpan w:val="2"/>
          </w:tcPr>
          <w:p>
            <w:pPr>
              <w:jc w:val="right"/>
              <w:spacing w:after="0"/>
              <w:rPr>
                <w:rFonts w:ascii="Arial" w:cs="Arial" w:eastAsia="Arial" w:hAnsi="Arial"/>
                <w:sz w:val="14"/>
                <w:szCs w:val="14"/>
                <w:color w:val="0000EE"/>
              </w:rPr>
            </w:pPr>
            <w:hyperlink w:anchor="page123">
              <w:r>
                <w:rPr>
                  <w:rFonts w:ascii="Arial" w:cs="Arial" w:eastAsia="Arial" w:hAnsi="Arial"/>
                  <w:sz w:val="14"/>
                  <w:szCs w:val="14"/>
                  <w:color w:val="0000EE"/>
                </w:rPr>
                <w:t>122</w:t>
              </w:r>
            </w:hyperlink>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gridSpan w:val="4"/>
          </w:tcPr>
          <w:p>
            <w:pPr>
              <w:spacing w:after="0"/>
              <w:rPr>
                <w:rFonts w:ascii="Arial" w:cs="Arial" w:eastAsia="Arial" w:hAnsi="Arial"/>
                <w:sz w:val="14"/>
                <w:szCs w:val="14"/>
                <w:color w:val="0000EE"/>
              </w:rPr>
            </w:pPr>
            <w:hyperlink w:anchor="page124">
              <w:r>
                <w:rPr>
                  <w:rFonts w:ascii="Arial" w:cs="Arial" w:eastAsia="Arial" w:hAnsi="Arial"/>
                  <w:sz w:val="14"/>
                  <w:szCs w:val="14"/>
                  <w:color w:val="0000EE"/>
                </w:rPr>
                <w:t>Consolidated Statements of Cash Flows for the years ended December 31, 2019, 2018 and 2017</w:t>
              </w:r>
            </w:hyperlink>
          </w:p>
        </w:tc>
        <w:tc>
          <w:tcPr>
            <w:tcW w:w="420" w:type="dxa"/>
            <w:vAlign w:val="bottom"/>
          </w:tcPr>
          <w:p>
            <w:pPr>
              <w:spacing w:after="0"/>
              <w:rPr>
                <w:sz w:val="16"/>
                <w:szCs w:val="16"/>
                <w:color w:val="auto"/>
              </w:rPr>
            </w:pPr>
          </w:p>
        </w:tc>
        <w:tc>
          <w:tcPr>
            <w:tcW w:w="2760" w:type="dxa"/>
            <w:vAlign w:val="bottom"/>
            <w:gridSpan w:val="2"/>
          </w:tcPr>
          <w:p>
            <w:pPr>
              <w:spacing w:after="0"/>
              <w:rPr>
                <w:sz w:val="16"/>
                <w:szCs w:val="16"/>
                <w:color w:val="auto"/>
              </w:rPr>
            </w:pPr>
          </w:p>
        </w:tc>
        <w:tc>
          <w:tcPr>
            <w:tcW w:w="2040" w:type="dxa"/>
            <w:vAlign w:val="bottom"/>
            <w:gridSpan w:val="2"/>
          </w:tcPr>
          <w:p>
            <w:pPr>
              <w:jc w:val="right"/>
              <w:spacing w:after="0"/>
              <w:rPr>
                <w:rFonts w:ascii="Arial" w:cs="Arial" w:eastAsia="Arial" w:hAnsi="Arial"/>
                <w:sz w:val="14"/>
                <w:szCs w:val="14"/>
                <w:color w:val="0000EE"/>
              </w:rPr>
            </w:pPr>
            <w:hyperlink w:anchor="page124">
              <w:r>
                <w:rPr>
                  <w:rFonts w:ascii="Arial" w:cs="Arial" w:eastAsia="Arial" w:hAnsi="Arial"/>
                  <w:sz w:val="14"/>
                  <w:szCs w:val="14"/>
                  <w:color w:val="0000EE"/>
                </w:rPr>
                <w:t>123</w:t>
              </w:r>
            </w:hyperlink>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gridSpan w:val="4"/>
          </w:tcPr>
          <w:p>
            <w:pPr>
              <w:spacing w:after="0"/>
              <w:rPr>
                <w:rFonts w:ascii="Arial" w:cs="Arial" w:eastAsia="Arial" w:hAnsi="Arial"/>
                <w:sz w:val="14"/>
                <w:szCs w:val="14"/>
                <w:color w:val="0000EE"/>
              </w:rPr>
            </w:pPr>
            <w:hyperlink w:anchor="page125">
              <w:r>
                <w:rPr>
                  <w:rFonts w:ascii="Arial" w:cs="Arial" w:eastAsia="Arial" w:hAnsi="Arial"/>
                  <w:sz w:val="14"/>
                  <w:szCs w:val="14"/>
                  <w:color w:val="0000EE"/>
                </w:rPr>
                <w:t>Notes to the Consolidated Financial Statements</w:t>
              </w:r>
            </w:hyperlink>
          </w:p>
        </w:tc>
        <w:tc>
          <w:tcPr>
            <w:tcW w:w="3180" w:type="dxa"/>
            <w:vAlign w:val="bottom"/>
            <w:gridSpan w:val="3"/>
          </w:tcPr>
          <w:p>
            <w:pPr>
              <w:spacing w:after="0"/>
              <w:rPr>
                <w:sz w:val="16"/>
                <w:szCs w:val="16"/>
                <w:color w:val="auto"/>
              </w:rPr>
            </w:pPr>
          </w:p>
        </w:tc>
        <w:tc>
          <w:tcPr>
            <w:tcW w:w="2040" w:type="dxa"/>
            <w:vAlign w:val="bottom"/>
            <w:gridSpan w:val="2"/>
          </w:tcPr>
          <w:p>
            <w:pPr>
              <w:jc w:val="right"/>
              <w:spacing w:after="0"/>
              <w:rPr>
                <w:rFonts w:ascii="Arial" w:cs="Arial" w:eastAsia="Arial" w:hAnsi="Arial"/>
                <w:sz w:val="14"/>
                <w:szCs w:val="14"/>
                <w:color w:val="0000EE"/>
              </w:rPr>
            </w:pPr>
            <w:hyperlink w:anchor="page125">
              <w:r>
                <w:rPr>
                  <w:rFonts w:ascii="Arial" w:cs="Arial" w:eastAsia="Arial" w:hAnsi="Arial"/>
                  <w:sz w:val="14"/>
                  <w:szCs w:val="14"/>
                  <w:color w:val="0000EE"/>
                </w:rPr>
                <w:t>124</w:t>
              </w:r>
            </w:hyperlink>
          </w:p>
        </w:tc>
      </w:tr>
      <w:tr>
        <w:trPr>
          <w:trHeight w:val="755"/>
        </w:trPr>
        <w:tc>
          <w:tcPr>
            <w:tcW w:w="20" w:type="dxa"/>
            <w:vAlign w:val="bottom"/>
          </w:tcPr>
          <w:p>
            <w:pPr>
              <w:spacing w:after="0"/>
              <w:rPr>
                <w:sz w:val="24"/>
                <w:szCs w:val="24"/>
                <w:color w:val="auto"/>
              </w:rPr>
            </w:pPr>
          </w:p>
        </w:tc>
        <w:tc>
          <w:tcPr>
            <w:tcW w:w="3040" w:type="dxa"/>
            <w:vAlign w:val="bottom"/>
            <w:tcBorders>
              <w:top w:val="single" w:sz="8" w:color="0000EE"/>
            </w:tcBorders>
          </w:tcPr>
          <w:p>
            <w:pPr>
              <w:spacing w:after="0"/>
              <w:rPr>
                <w:sz w:val="24"/>
                <w:szCs w:val="24"/>
                <w:color w:val="auto"/>
              </w:rPr>
            </w:pPr>
          </w:p>
        </w:tc>
        <w:tc>
          <w:tcPr>
            <w:tcW w:w="3140" w:type="dxa"/>
            <w:vAlign w:val="bottom"/>
            <w:gridSpan w:val="3"/>
          </w:tcPr>
          <w:p>
            <w:pPr>
              <w:jc w:val="center"/>
              <w:ind w:left="2148"/>
              <w:spacing w:after="0"/>
              <w:rPr>
                <w:sz w:val="20"/>
                <w:szCs w:val="20"/>
                <w:color w:val="auto"/>
              </w:rPr>
            </w:pPr>
            <w:r>
              <w:rPr>
                <w:rFonts w:ascii="Arial" w:cs="Arial" w:eastAsia="Arial" w:hAnsi="Arial"/>
                <w:sz w:val="14"/>
                <w:szCs w:val="14"/>
                <w:color w:val="auto"/>
              </w:rPr>
              <w:t>118</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r>
    </w:tbl>
    <w:p>
      <w:pPr>
        <w:sectPr>
          <w:pgSz w:w="11900" w:h="16838" w:orient="portrait"/>
          <w:cols w:equalWidth="0" w:num="1">
            <w:col w:w="11420"/>
          </w:cols>
          <w:pgMar w:left="220" w:top="466" w:right="25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Verona Pharma Plc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200"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auto"/>
        </w:rPr>
        <w:t>We have audited the accompanying consolidated statements of financial position of Verona Pharma Plc and its subsidiaries (the “Company”) as of December 31, 2019 and 2018, and the related consolidated statements of comprehensive income, of changes in equity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International Financial Reporting Standards as issued by the International Accounting Standards Board.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in Accounting Principle</w:t>
      </w:r>
    </w:p>
    <w:p>
      <w:pPr>
        <w:spacing w:after="0" w:line="198" w:lineRule="exact"/>
        <w:rPr>
          <w:sz w:val="20"/>
          <w:szCs w:val="20"/>
          <w:color w:val="auto"/>
        </w:rPr>
      </w:pPr>
    </w:p>
    <w:p>
      <w:pPr>
        <w:ind w:right="4760"/>
        <w:spacing w:after="0" w:line="273" w:lineRule="auto"/>
        <w:rPr>
          <w:sz w:val="20"/>
          <w:szCs w:val="20"/>
          <w:color w:val="auto"/>
        </w:rPr>
      </w:pPr>
      <w:r>
        <w:rPr>
          <w:rFonts w:ascii="Arial" w:cs="Arial" w:eastAsia="Arial" w:hAnsi="Arial"/>
          <w:sz w:val="14"/>
          <w:szCs w:val="14"/>
          <w:color w:val="auto"/>
        </w:rPr>
        <w:t>As discussed in Note 2.17 to the consolidated financial statements, the Company changed the manner in which it accounts for its contingent liability in 2019.</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200" w:lineRule="exact"/>
        <w:rPr>
          <w:sz w:val="20"/>
          <w:szCs w:val="20"/>
          <w:color w:val="auto"/>
        </w:rPr>
      </w:pPr>
    </w:p>
    <w:p>
      <w:pPr>
        <w:jc w:val="both"/>
        <w:ind w:right="80"/>
        <w:spacing w:after="0" w:line="262"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Reading, United Kingdom</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February 27, 2020</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2015.</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20"/>
          </w:cols>
          <w:pgMar w:left="220" w:top="789" w:right="25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FINANCIAL POSITION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OF DECEMBER 31, 2019 AND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As of</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Restated As of</w:t>
            </w:r>
          </w:p>
        </w:tc>
      </w:tr>
      <w:tr>
        <w:trPr>
          <w:trHeight w:val="157"/>
        </w:trPr>
        <w:tc>
          <w:tcPr>
            <w:tcW w:w="8140" w:type="dxa"/>
            <w:vAlign w:val="bottom"/>
          </w:tcPr>
          <w:p>
            <w:pPr>
              <w:spacing w:after="0"/>
              <w:rPr>
                <w:sz w:val="13"/>
                <w:szCs w:val="13"/>
                <w:color w:val="auto"/>
              </w:rPr>
            </w:pPr>
          </w:p>
        </w:tc>
        <w:tc>
          <w:tcPr>
            <w:tcW w:w="70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Notes</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r>
      <w:tr>
        <w:trPr>
          <w:trHeight w:val="206"/>
        </w:trPr>
        <w:tc>
          <w:tcPr>
            <w:tcW w:w="8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441</w:t>
            </w: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2,757</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2,618</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Right-of-use assets</w:t>
            </w:r>
          </w:p>
        </w:tc>
        <w:tc>
          <w:tcPr>
            <w:tcW w:w="70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971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4,212</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3,080</w:t>
            </w:r>
          </w:p>
        </w:tc>
      </w:tr>
      <w:tr>
        <w:trPr>
          <w:trHeight w:val="234"/>
        </w:trPr>
        <w:tc>
          <w:tcPr>
            <w:tcW w:w="8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Prepayments and other receivables</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2,770</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2,463</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tax receivable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7,396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4,499</w:t>
            </w: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Short term investments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7,823</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44,919</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22,934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19,784</w:t>
            </w:r>
          </w:p>
        </w:tc>
      </w:tr>
      <w:tr>
        <w:trPr>
          <w:trHeight w:val="19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40,923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71,665</w:t>
            </w:r>
          </w:p>
        </w:tc>
      </w:tr>
      <w:tr>
        <w:trPr>
          <w:trHeight w:val="20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45,135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74,745</w:t>
            </w:r>
          </w:p>
        </w:tc>
      </w:tr>
      <w:tr>
        <w:trPr>
          <w:trHeight w:val="20"/>
        </w:trPr>
        <w:tc>
          <w:tcPr>
            <w:tcW w:w="8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8"/>
        </w:trPr>
        <w:tc>
          <w:tcPr>
            <w:tcW w:w="8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AND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Capital and reserves attributable to equity holders: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capital</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5,266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5,266</w:t>
            </w: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Share premium</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118,862</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118,862</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payment reserve</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10,364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7,923</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loss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(100,627)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(68,633)</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33,865</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63,418</w:t>
            </w:r>
          </w:p>
        </w:tc>
      </w:tr>
      <w:tr>
        <w:trPr>
          <w:trHeight w:val="234"/>
        </w:trPr>
        <w:tc>
          <w:tcPr>
            <w:tcW w:w="8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Derivative financial instrument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2,492</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Trade and other payables</w:t>
            </w:r>
          </w:p>
        </w:tc>
        <w:tc>
          <w:tcPr>
            <w:tcW w:w="70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8,261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7,733</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9,616</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10,225</w:t>
            </w:r>
          </w:p>
        </w:tc>
      </w:tr>
      <w:tr>
        <w:trPr>
          <w:trHeight w:val="255"/>
        </w:trPr>
        <w:tc>
          <w:tcPr>
            <w:tcW w:w="8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Assumed contingent liability</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996</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lease liability</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income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106</w:t>
            </w:r>
          </w:p>
        </w:tc>
      </w:tr>
      <w:tr>
        <w:trPr>
          <w:trHeight w:val="20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1,102</w:t>
            </w:r>
          </w:p>
        </w:tc>
      </w:tr>
      <w:tr>
        <w:trPr>
          <w:trHeight w:val="195"/>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Total equity and liabilities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45,135</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74,745</w:t>
            </w:r>
          </w:p>
        </w:tc>
      </w:tr>
      <w:tr>
        <w:trPr>
          <w:trHeight w:val="20"/>
        </w:trPr>
        <w:tc>
          <w:tcPr>
            <w:tcW w:w="8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form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440"/>
          </w:cols>
          <w:pgMar w:left="220" w:top="293" w:right="23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2019, 2018 AND 2017</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3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r>
      <w:tr>
        <w:trPr>
          <w:trHeight w:val="157"/>
        </w:trPr>
        <w:tc>
          <w:tcPr>
            <w:tcW w:w="6640" w:type="dxa"/>
            <w:vAlign w:val="bottom"/>
          </w:tcPr>
          <w:p>
            <w:pPr>
              <w:spacing w:after="0"/>
              <w:rPr>
                <w:sz w:val="13"/>
                <w:szCs w:val="13"/>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Notes</w:t>
            </w:r>
          </w:p>
        </w:tc>
        <w:tc>
          <w:tcPr>
            <w:tcW w:w="1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2017</w:t>
            </w:r>
          </w:p>
        </w:tc>
      </w:tr>
      <w:tr>
        <w:trPr>
          <w:trHeight w:val="206"/>
        </w:trPr>
        <w:tc>
          <w:tcPr>
            <w:tcW w:w="6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3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costs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(23,717)</w:t>
            </w:r>
          </w:p>
        </w:tc>
      </w:tr>
      <w:tr>
        <w:trPr>
          <w:trHeight w:val="21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 costs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(7,607)</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(6,297)</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(6,039)</w:t>
            </w:r>
          </w:p>
        </w:tc>
      </w:tr>
      <w:tr>
        <w:trPr>
          <w:trHeight w:val="201"/>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(41,083)</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(25,591)</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(29,756)</w:t>
            </w:r>
          </w:p>
        </w:tc>
      </w:tr>
      <w:tr>
        <w:trPr>
          <w:trHeight w:val="210"/>
        </w:trPr>
        <w:tc>
          <w:tcPr>
            <w:tcW w:w="6640" w:type="dxa"/>
            <w:vAlign w:val="bottom"/>
          </w:tcPr>
          <w:p>
            <w:pPr>
              <w:ind w:left="20"/>
              <w:spacing w:after="0"/>
              <w:rPr>
                <w:sz w:val="20"/>
                <w:szCs w:val="20"/>
                <w:color w:val="auto"/>
              </w:rPr>
            </w:pPr>
            <w:r>
              <w:rPr>
                <w:rFonts w:ascii="Arial" w:cs="Arial" w:eastAsia="Arial" w:hAnsi="Arial"/>
                <w:sz w:val="14"/>
                <w:szCs w:val="14"/>
                <w:color w:val="auto"/>
              </w:rPr>
              <w:t>Finance income</w:t>
            </w:r>
          </w:p>
        </w:tc>
        <w:tc>
          <w:tcPr>
            <w:tcW w:w="70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260" w:type="dxa"/>
            <w:vAlign w:val="bottom"/>
          </w:tcPr>
          <w:p>
            <w:pPr>
              <w:jc w:val="right"/>
              <w:ind w:right="51"/>
              <w:spacing w:after="0"/>
              <w:rPr>
                <w:sz w:val="20"/>
                <w:szCs w:val="20"/>
                <w:color w:val="auto"/>
              </w:rPr>
            </w:pPr>
            <w:r>
              <w:rPr>
                <w:rFonts w:ascii="Arial" w:cs="Arial" w:eastAsia="Arial" w:hAnsi="Arial"/>
                <w:sz w:val="14"/>
                <w:szCs w:val="14"/>
                <w:color w:val="auto"/>
              </w:rPr>
              <w:t>2,351</w:t>
            </w: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2,783</w:t>
            </w:r>
          </w:p>
        </w:tc>
        <w:tc>
          <w:tcPr>
            <w:tcW w:w="12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7,018</w:t>
            </w:r>
          </w:p>
        </w:tc>
      </w:tr>
      <w:tr>
        <w:trPr>
          <w:trHeight w:val="221"/>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(2,465)</w:t>
            </w:r>
          </w:p>
        </w:tc>
      </w:tr>
      <w:tr>
        <w:trPr>
          <w:trHeight w:val="190"/>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Loss before taxation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(39,206)</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(24,133)</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(25,203)</w:t>
            </w:r>
          </w:p>
        </w:tc>
      </w:tr>
      <w:tr>
        <w:trPr>
          <w:trHeight w:val="221"/>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Taxation — credit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7,265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4,232</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4,706</w:t>
            </w:r>
          </w:p>
        </w:tc>
      </w:tr>
      <w:tr>
        <w:trPr>
          <w:trHeight w:val="190"/>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Loss for the year</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(31,941)</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(19,901)</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(20,497)</w:t>
            </w:r>
          </w:p>
        </w:tc>
      </w:tr>
      <w:tr>
        <w:trPr>
          <w:trHeight w:val="221"/>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 (loss):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Items that might be subsequently reclassified to profit or loss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1"/>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Exchange differences on translating foreign operations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3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comprehensive loss attributable to owners of the Company</w:t>
            </w:r>
          </w:p>
        </w:tc>
        <w:tc>
          <w:tcPr>
            <w:tcW w:w="7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(31,974)</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(19,863)</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(20,526)</w:t>
            </w:r>
          </w:p>
        </w:tc>
      </w:tr>
      <w:tr>
        <w:trPr>
          <w:trHeight w:val="178"/>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per ordinary share — basic and diluted (pence)</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r>
      <w:tr>
        <w:trPr>
          <w:trHeight w:val="258"/>
        </w:trPr>
        <w:tc>
          <w:tcPr>
            <w:tcW w:w="6640" w:type="dxa"/>
            <w:vAlign w:val="bottom"/>
          </w:tcPr>
          <w:p>
            <w:pPr>
              <w:spacing w:after="0"/>
              <w:rPr>
                <w:sz w:val="20"/>
                <w:szCs w:val="20"/>
                <w:color w:val="auto"/>
              </w:rPr>
            </w:pPr>
            <w:r>
              <w:rPr>
                <w:rFonts w:ascii="Arial" w:cs="Arial" w:eastAsia="Arial" w:hAnsi="Arial"/>
                <w:sz w:val="14"/>
                <w:szCs w:val="14"/>
                <w:color w:val="auto"/>
              </w:rPr>
              <w:t>The accompanying notes form an integral part of these consolidated financial statements.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345"/>
        </w:trPr>
        <w:tc>
          <w:tcPr>
            <w:tcW w:w="6640" w:type="dxa"/>
            <w:vAlign w:val="bottom"/>
          </w:tcPr>
          <w:p>
            <w:pPr>
              <w:ind w:left="5620"/>
              <w:spacing w:after="0"/>
              <w:rPr>
                <w:sz w:val="20"/>
                <w:szCs w:val="20"/>
                <w:color w:val="auto"/>
              </w:rPr>
            </w:pPr>
            <w:r>
              <w:rPr>
                <w:rFonts w:ascii="Arial" w:cs="Arial" w:eastAsia="Arial" w:hAnsi="Arial"/>
                <w:sz w:val="14"/>
                <w:szCs w:val="14"/>
                <w:color w:val="auto"/>
              </w:rPr>
              <w:t>121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40"/>
          </w:cols>
          <w:pgMar w:left="220" w:top="293" w:right="2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CHANGES IN EQUITY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2019, 2018 AND 2017</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Total</w:t>
            </w:r>
          </w:p>
        </w:tc>
        <w:tc>
          <w:tcPr>
            <w:tcW w:w="1240" w:type="dxa"/>
            <w:vAlign w:val="bottom"/>
          </w:tcPr>
          <w:p>
            <w:pPr>
              <w:spacing w:after="0"/>
              <w:rPr>
                <w:sz w:val="11"/>
                <w:szCs w:val="11"/>
                <w:color w:val="auto"/>
              </w:rPr>
            </w:pPr>
          </w:p>
        </w:tc>
      </w:tr>
      <w:tr>
        <w:trPr>
          <w:trHeight w:val="129"/>
        </w:trPr>
        <w:tc>
          <w:tcPr>
            <w:tcW w:w="4460" w:type="dxa"/>
            <w:vAlign w:val="bottom"/>
          </w:tcPr>
          <w:p>
            <w:pPr>
              <w:spacing w:after="0"/>
              <w:rPr>
                <w:sz w:val="11"/>
                <w:szCs w:val="11"/>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Share</w:t>
            </w:r>
          </w:p>
        </w:tc>
        <w:tc>
          <w:tcPr>
            <w:tcW w:w="15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Share</w:t>
            </w:r>
          </w:p>
        </w:tc>
        <w:tc>
          <w:tcPr>
            <w:tcW w:w="13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Share-based Payment</w:t>
            </w:r>
          </w:p>
        </w:tc>
        <w:tc>
          <w:tcPr>
            <w:tcW w:w="14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Accumulated</w:t>
            </w:r>
          </w:p>
        </w:tc>
        <w:tc>
          <w:tcPr>
            <w:tcW w:w="1240" w:type="dxa"/>
            <w:vAlign w:val="bottom"/>
          </w:tcPr>
          <w:p>
            <w:pPr>
              <w:jc w:val="right"/>
              <w:ind w:right="430"/>
              <w:spacing w:after="0"/>
              <w:rPr>
                <w:sz w:val="20"/>
                <w:szCs w:val="20"/>
                <w:color w:val="auto"/>
              </w:rPr>
            </w:pPr>
            <w:r>
              <w:rPr>
                <w:rFonts w:ascii="Arial" w:cs="Arial" w:eastAsia="Arial" w:hAnsi="Arial"/>
                <w:sz w:val="11"/>
                <w:szCs w:val="11"/>
                <w:b w:val="1"/>
                <w:bCs w:val="1"/>
                <w:color w:val="auto"/>
              </w:rPr>
              <w:t>Total</w:t>
            </w:r>
          </w:p>
        </w:tc>
      </w:tr>
      <w:tr>
        <w:trPr>
          <w:trHeight w:val="157"/>
        </w:trPr>
        <w:tc>
          <w:tcPr>
            <w:tcW w:w="446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Premium</w:t>
            </w:r>
          </w:p>
        </w:tc>
        <w:tc>
          <w:tcPr>
            <w:tcW w:w="1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Reserve</w:t>
            </w:r>
          </w:p>
        </w:tc>
        <w:tc>
          <w:tcPr>
            <w:tcW w:w="10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Losses</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Equity</w:t>
            </w:r>
          </w:p>
        </w:tc>
      </w:tr>
      <w:tr>
        <w:trPr>
          <w:trHeight w:val="196"/>
        </w:trPr>
        <w:tc>
          <w:tcPr>
            <w:tcW w:w="446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240" w:type="dxa"/>
            <w:vAlign w:val="bottom"/>
          </w:tcPr>
          <w:p>
            <w:pPr>
              <w:jc w:val="right"/>
              <w:ind w:right="390"/>
              <w:spacing w:after="0"/>
              <w:rPr>
                <w:sz w:val="20"/>
                <w:szCs w:val="20"/>
                <w:color w:val="auto"/>
              </w:rPr>
            </w:pPr>
            <w:r>
              <w:rPr>
                <w:rFonts w:ascii="Arial" w:cs="Arial" w:eastAsia="Arial" w:hAnsi="Arial"/>
                <w:sz w:val="11"/>
                <w:szCs w:val="11"/>
                <w:b w:val="1"/>
                <w:bCs w:val="1"/>
                <w:color w:val="auto"/>
              </w:rPr>
              <w:t>£'000s</w:t>
            </w:r>
          </w:p>
        </w:tc>
      </w:tr>
      <w:tr>
        <w:trPr>
          <w:trHeight w:val="214"/>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2017, as previously reported</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2,568</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58,526</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2,103</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(28,728)</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34,469</w:t>
            </w: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Impact of change in accounting policy</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7"/>
                <w:szCs w:val="17"/>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484</w:t>
            </w:r>
          </w:p>
        </w:tc>
      </w:tr>
      <w:tr>
        <w:trPr>
          <w:trHeight w:val="19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2017 (Restated)</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2,568</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58,526</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2,103</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(28,244)</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34,953</w:t>
            </w: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Loss for the year</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(20,497)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(20,497)</w:t>
            </w:r>
          </w:p>
        </w:tc>
      </w:tr>
      <w:tr>
        <w:trPr>
          <w:trHeight w:val="22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for the year:</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Exchange differences on translating foreign operations</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0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for the year</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(20,526)</w:t>
            </w: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New share capital issued</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2,677</w:t>
            </w:r>
          </w:p>
        </w:tc>
        <w:tc>
          <w:tcPr>
            <w:tcW w:w="1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67,648</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70,325</w:t>
            </w:r>
          </w:p>
        </w:tc>
      </w:tr>
      <w:tr>
        <w:trPr>
          <w:trHeight w:val="22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costs on share capital issued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(7,453)</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(7,453)</w:t>
            </w: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Share options exercised during the year</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147</w:t>
            </w:r>
          </w:p>
        </w:tc>
      </w:tr>
      <w:tr>
        <w:trPr>
          <w:trHeight w:val="22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payments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2,919</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2,919</w:t>
            </w:r>
          </w:p>
        </w:tc>
      </w:tr>
      <w:tr>
        <w:trPr>
          <w:trHeight w:val="23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31, 2017 (Restated)</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5,251</w:t>
            </w:r>
          </w:p>
        </w:tc>
        <w:tc>
          <w:tcPr>
            <w:tcW w:w="12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118,862</w:t>
            </w:r>
          </w:p>
        </w:tc>
        <w:tc>
          <w:tcPr>
            <w:tcW w:w="12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5,022</w:t>
            </w:r>
          </w:p>
        </w:tc>
        <w:tc>
          <w:tcPr>
            <w:tcW w:w="1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(48,770)</w:t>
            </w:r>
          </w:p>
        </w:tc>
        <w:tc>
          <w:tcPr>
            <w:tcW w:w="1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80,365</w:t>
            </w:r>
          </w:p>
        </w:tc>
      </w:tr>
      <w:tr>
        <w:trPr>
          <w:trHeight w:val="17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2018 (Restated)</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5,251</w:t>
            </w:r>
          </w:p>
        </w:tc>
        <w:tc>
          <w:tcPr>
            <w:tcW w:w="12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118,862</w:t>
            </w:r>
          </w:p>
        </w:tc>
        <w:tc>
          <w:tcPr>
            <w:tcW w:w="12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5,022</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(48,770)</w:t>
            </w:r>
          </w:p>
        </w:tc>
        <w:tc>
          <w:tcPr>
            <w:tcW w:w="12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80,365</w:t>
            </w: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Loss for the year</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(19,901)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(19,901)</w:t>
            </w:r>
          </w:p>
        </w:tc>
      </w:tr>
      <w:tr>
        <w:trPr>
          <w:trHeight w:val="22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for the year:</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Exchange differences on translating foreign operations</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w:t>
            </w:r>
          </w:p>
        </w:tc>
      </w:tr>
      <w:tr>
        <w:trPr>
          <w:trHeight w:val="20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for the year</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(19,863)</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(19,863)</w:t>
            </w: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New share capital issued</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15</w:t>
            </w:r>
          </w:p>
        </w:tc>
      </w:tr>
      <w:tr>
        <w:trPr>
          <w:trHeight w:val="22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payments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2,901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2,901</w:t>
            </w:r>
          </w:p>
        </w:tc>
      </w:tr>
      <w:tr>
        <w:trPr>
          <w:trHeight w:val="23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31, 2018 (Restated)</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5,266</w:t>
            </w:r>
          </w:p>
        </w:tc>
        <w:tc>
          <w:tcPr>
            <w:tcW w:w="12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118,862</w:t>
            </w:r>
          </w:p>
        </w:tc>
        <w:tc>
          <w:tcPr>
            <w:tcW w:w="120" w:type="dxa"/>
            <w:vAlign w:val="bottom"/>
            <w:tcBorders>
              <w:bottom w:val="single" w:sz="8" w:color="CCEEFF"/>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7,923</w:t>
            </w:r>
          </w:p>
        </w:tc>
        <w:tc>
          <w:tcPr>
            <w:tcW w:w="1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(68,633)</w:t>
            </w:r>
          </w:p>
        </w:tc>
        <w:tc>
          <w:tcPr>
            <w:tcW w:w="12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63,418</w:t>
            </w:r>
          </w:p>
        </w:tc>
      </w:tr>
      <w:tr>
        <w:trPr>
          <w:trHeight w:val="17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2019</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5,266</w:t>
            </w:r>
          </w:p>
        </w:tc>
        <w:tc>
          <w:tcPr>
            <w:tcW w:w="12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118,862</w:t>
            </w:r>
          </w:p>
        </w:tc>
        <w:tc>
          <w:tcPr>
            <w:tcW w:w="12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7,923</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(68,633)</w:t>
            </w:r>
          </w:p>
        </w:tc>
        <w:tc>
          <w:tcPr>
            <w:tcW w:w="12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63,418</w:t>
            </w: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Impact of change in accounting policy</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Balance at January 1, 2019</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5,266</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118,862</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7,923</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(68,653)</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63,398</w:t>
            </w: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Loss for the year</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(31,941)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(31,941)</w:t>
            </w:r>
          </w:p>
        </w:tc>
      </w:tr>
      <w:tr>
        <w:trPr>
          <w:trHeight w:val="22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for the year:</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Exchange differences on translating foreign operations</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20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for the year</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(31,974)</w:t>
            </w: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2,441</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2,441</w:t>
            </w:r>
          </w:p>
        </w:tc>
      </w:tr>
      <w:tr>
        <w:trPr>
          <w:trHeight w:val="201"/>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118,862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10,364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33,865</w:t>
            </w:r>
          </w:p>
        </w:tc>
      </w:tr>
      <w:tr>
        <w:trPr>
          <w:trHeight w:val="20"/>
        </w:trPr>
        <w:tc>
          <w:tcPr>
            <w:tcW w:w="4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The currency translation reserve for 2019, 2018, and 2017, is not considered material and as such is not presented in a separate reserve but is included in the total accumulated losses reserve.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440"/>
          </w:cols>
          <w:pgMar w:left="220" w:top="293" w:right="2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2019, 2018 AND 2017</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 ended</w:t>
            </w:r>
          </w:p>
        </w:tc>
        <w:tc>
          <w:tcPr>
            <w:tcW w:w="1020" w:type="dxa"/>
            <w:vAlign w:val="bottom"/>
          </w:tcPr>
          <w:p>
            <w:pPr>
              <w:jc w:val="right"/>
              <w:ind w:right="130"/>
              <w:spacing w:after="0"/>
              <w:rPr>
                <w:sz w:val="20"/>
                <w:szCs w:val="20"/>
                <w:color w:val="auto"/>
              </w:rPr>
            </w:pPr>
            <w:r>
              <w:rPr>
                <w:rFonts w:ascii="Arial" w:cs="Arial" w:eastAsia="Arial" w:hAnsi="Arial"/>
                <w:sz w:val="11"/>
                <w:szCs w:val="11"/>
                <w:b w:val="1"/>
                <w:bCs w:val="1"/>
                <w:color w:val="auto"/>
              </w:rPr>
              <w:t>Year ended</w:t>
            </w: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December 31,</w:t>
            </w: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jc w:val="right"/>
              <w:ind w:right="7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1"/>
                <w:szCs w:val="11"/>
                <w:b w:val="1"/>
                <w:bCs w:val="1"/>
                <w:color w:val="auto"/>
              </w:rPr>
              <w:t>2017</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used in operating activities:</w:t>
            </w:r>
          </w:p>
        </w:tc>
        <w:tc>
          <w:tcPr>
            <w:tcW w:w="3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Loss before taxation</w:t>
            </w:r>
          </w:p>
        </w:tc>
        <w:tc>
          <w:tcPr>
            <w:tcW w:w="4300" w:type="dxa"/>
            <w:vAlign w:val="bottom"/>
            <w:gridSpan w:val="2"/>
          </w:tcPr>
          <w:p>
            <w:pPr>
              <w:jc w:val="right"/>
              <w:spacing w:after="0"/>
              <w:rPr>
                <w:sz w:val="20"/>
                <w:szCs w:val="20"/>
                <w:color w:val="auto"/>
              </w:rPr>
            </w:pPr>
            <w:r>
              <w:rPr>
                <w:rFonts w:ascii="Arial" w:cs="Arial" w:eastAsia="Arial" w:hAnsi="Arial"/>
                <w:sz w:val="14"/>
                <w:szCs w:val="14"/>
                <w:color w:val="auto"/>
              </w:rPr>
              <w:t>(39,206)</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(24,133)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(25,203)</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income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(2,783)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(7,018)</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Finance expense</w:t>
            </w:r>
          </w:p>
        </w:tc>
        <w:tc>
          <w:tcPr>
            <w:tcW w:w="4300" w:type="dxa"/>
            <w:vAlign w:val="bottom"/>
            <w:gridSpan w:val="2"/>
          </w:tcPr>
          <w:p>
            <w:pPr>
              <w:jc w:val="right"/>
              <w:ind w:right="53"/>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1,325</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2,465</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payment charge</w:t>
            </w:r>
          </w:p>
        </w:tc>
        <w:tc>
          <w:tcPr>
            <w:tcW w:w="43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2,441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2,901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Increase in prepayments and other receivables</w:t>
            </w:r>
          </w:p>
        </w:tc>
        <w:tc>
          <w:tcPr>
            <w:tcW w:w="4300" w:type="dxa"/>
            <w:vAlign w:val="bottom"/>
            <w:gridSpan w:val="2"/>
          </w:tcPr>
          <w:p>
            <w:pPr>
              <w:jc w:val="right"/>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trade and other payables</w:t>
            </w:r>
          </w:p>
        </w:tc>
        <w:tc>
          <w:tcPr>
            <w:tcW w:w="43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5,363</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Depreciation of property, plant, equipment and right of use asset</w:t>
            </w:r>
          </w:p>
        </w:tc>
        <w:tc>
          <w:tcPr>
            <w:tcW w:w="4300" w:type="dxa"/>
            <w:vAlign w:val="bottom"/>
            <w:gridSpan w:val="2"/>
          </w:tcPr>
          <w:p>
            <w:pPr>
              <w:jc w:val="right"/>
              <w:ind w:right="53"/>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Unrealised FX gains/ losses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intangible assets</w:t>
            </w:r>
          </w:p>
        </w:tc>
        <w:tc>
          <w:tcPr>
            <w:tcW w:w="3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used in operating activities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(38,181)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(22,701)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(21,512)</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inflow from taxation</w:t>
            </w:r>
          </w:p>
        </w:tc>
        <w:tc>
          <w:tcPr>
            <w:tcW w:w="3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4,361</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4,590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(33,820)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(18,111)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(20,696)</w:t>
            </w:r>
          </w:p>
        </w:tc>
        <w:tc>
          <w:tcPr>
            <w:tcW w:w="0" w:type="dxa"/>
            <w:vAlign w:val="bottom"/>
          </w:tcPr>
          <w:p>
            <w:pPr>
              <w:spacing w:after="0"/>
              <w:rPr>
                <w:sz w:val="1"/>
                <w:szCs w:val="1"/>
                <w:color w:val="auto"/>
              </w:rPr>
            </w:pPr>
          </w:p>
        </w:tc>
      </w:tr>
      <w:tr>
        <w:trPr>
          <w:trHeight w:val="200"/>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Cash flow from investing activities:</w:t>
            </w:r>
          </w:p>
        </w:tc>
        <w:tc>
          <w:tcPr>
            <w:tcW w:w="3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received</w:t>
            </w:r>
          </w:p>
        </w:tc>
        <w:tc>
          <w:tcPr>
            <w:tcW w:w="43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887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Purchase of plant and equipment</w:t>
            </w:r>
          </w:p>
        </w:tc>
        <w:tc>
          <w:tcPr>
            <w:tcW w:w="43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for patents and computer software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Purchase of short term investments</w:t>
            </w:r>
          </w:p>
        </w:tc>
        <w:tc>
          <w:tcPr>
            <w:tcW w:w="4300" w:type="dxa"/>
            <w:vAlign w:val="bottom"/>
            <w:gridSpan w:val="2"/>
          </w:tcPr>
          <w:p>
            <w:pPr>
              <w:jc w:val="right"/>
              <w:spacing w:after="0"/>
              <w:rPr>
                <w:sz w:val="20"/>
                <w:szCs w:val="20"/>
                <w:color w:val="auto"/>
              </w:rPr>
            </w:pPr>
            <w:r>
              <w:rPr>
                <w:rFonts w:ascii="Arial" w:cs="Arial" w:eastAsia="Arial" w:hAnsi="Arial"/>
                <w:sz w:val="14"/>
                <w:szCs w:val="14"/>
                <w:color w:val="auto"/>
              </w:rPr>
              <w:t>(7,940)</w:t>
            </w: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(59,700)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(54,465)</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Maturity of short term investments</w:t>
            </w:r>
          </w:p>
        </w:tc>
        <w:tc>
          <w:tcPr>
            <w:tcW w:w="32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45,134</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64,366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5,085</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Net cash generated from / (used in) investing activities</w:t>
            </w:r>
          </w:p>
        </w:tc>
        <w:tc>
          <w:tcPr>
            <w:tcW w:w="4300" w:type="dxa"/>
            <w:vAlign w:val="bottom"/>
            <w:gridSpan w:val="2"/>
          </w:tcPr>
          <w:p>
            <w:pPr>
              <w:jc w:val="right"/>
              <w:ind w:right="53"/>
              <w:spacing w:after="0"/>
              <w:rPr>
                <w:sz w:val="20"/>
                <w:szCs w:val="20"/>
                <w:color w:val="auto"/>
              </w:rPr>
            </w:pPr>
            <w:r>
              <w:rPr>
                <w:rFonts w:ascii="Arial" w:cs="Arial" w:eastAsia="Arial" w:hAnsi="Arial"/>
                <w:sz w:val="14"/>
                <w:szCs w:val="14"/>
                <w:color w:val="auto"/>
              </w:rPr>
              <w:t>37,799</w:t>
            </w:r>
          </w:p>
        </w:tc>
        <w:tc>
          <w:tcPr>
            <w:tcW w:w="120" w:type="dxa"/>
            <w:vAlign w:val="bottom"/>
          </w:tcPr>
          <w:p>
            <w:pPr>
              <w:spacing w:after="0"/>
              <w:rPr>
                <w:sz w:val="16"/>
                <w:szCs w:val="16"/>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5,281</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(49,469)</w:t>
            </w:r>
          </w:p>
        </w:tc>
        <w:tc>
          <w:tcPr>
            <w:tcW w:w="0" w:type="dxa"/>
            <w:vAlign w:val="bottom"/>
          </w:tcPr>
          <w:p>
            <w:pPr>
              <w:spacing w:after="0"/>
              <w:rPr>
                <w:sz w:val="1"/>
                <w:szCs w:val="1"/>
                <w:color w:val="auto"/>
              </w:rPr>
            </w:pPr>
          </w:p>
        </w:tc>
      </w:tr>
      <w:tr>
        <w:trPr>
          <w:trHeight w:val="212"/>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 used in financing activities:</w:t>
            </w:r>
          </w:p>
        </w:tc>
        <w:tc>
          <w:tcPr>
            <w:tcW w:w="3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Gross proceeds from the April 2017 Global Offering</w:t>
            </w:r>
          </w:p>
        </w:tc>
        <w:tc>
          <w:tcPr>
            <w:tcW w:w="3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70,032</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costs on April 2017 Global Offering</w:t>
            </w:r>
          </w:p>
        </w:tc>
        <w:tc>
          <w:tcPr>
            <w:tcW w:w="3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(6,786)</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Repayment of finance lease liabilities</w:t>
            </w:r>
          </w:p>
        </w:tc>
        <w:tc>
          <w:tcPr>
            <w:tcW w:w="3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 generated from financing activities</w:t>
            </w:r>
          </w:p>
        </w:tc>
        <w:tc>
          <w:tcPr>
            <w:tcW w:w="3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63,246</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Net increase / (decrease) in cash and cash equivalents</w:t>
            </w:r>
          </w:p>
        </w:tc>
        <w:tc>
          <w:tcPr>
            <w:tcW w:w="4300" w:type="dxa"/>
            <w:vAlign w:val="bottom"/>
            <w:gridSpan w:val="2"/>
          </w:tcPr>
          <w:p>
            <w:pPr>
              <w:jc w:val="right"/>
              <w:ind w:right="53"/>
              <w:spacing w:after="0"/>
              <w:rPr>
                <w:sz w:val="20"/>
                <w:szCs w:val="20"/>
                <w:color w:val="auto"/>
              </w:rPr>
            </w:pPr>
            <w:r>
              <w:rPr>
                <w:rFonts w:ascii="Arial" w:cs="Arial" w:eastAsia="Arial" w:hAnsi="Arial"/>
                <w:sz w:val="14"/>
                <w:szCs w:val="14"/>
                <w:color w:val="auto"/>
              </w:rPr>
              <w:t>3,553</w:t>
            </w:r>
          </w:p>
        </w:tc>
        <w:tc>
          <w:tcPr>
            <w:tcW w:w="1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(12,830)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(6,919)</w:t>
            </w: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the beginning of the year</w:t>
            </w:r>
          </w:p>
        </w:tc>
        <w:tc>
          <w:tcPr>
            <w:tcW w:w="43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19,784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31,443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39,785</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3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1,171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the end of the year</w:t>
            </w:r>
          </w:p>
        </w:tc>
        <w:tc>
          <w:tcPr>
            <w:tcW w:w="43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22,934</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19,784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31,443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2208"/>
              <w:spacing w:after="0"/>
              <w:rPr>
                <w:sz w:val="20"/>
                <w:szCs w:val="20"/>
                <w:color w:val="auto"/>
              </w:rPr>
            </w:pPr>
            <w:r>
              <w:rPr>
                <w:rFonts w:ascii="Arial" w:cs="Arial" w:eastAsia="Arial" w:hAnsi="Arial"/>
                <w:sz w:val="14"/>
                <w:szCs w:val="14"/>
                <w:color w:val="auto"/>
              </w:rPr>
              <w:t>123</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8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293" w:right="23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General information</w:t>
      </w: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Verona Pharma plc and its subsidiaries (the "Company") are a clinical-stage biopharmaceutical group focused on developing and commercializing innovative therapeutics for the treatment of respiratory diseases with significant unmet medical needs.</w:t>
      </w:r>
    </w:p>
    <w:p>
      <w:pPr>
        <w:spacing w:after="0" w:line="194"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The Company is a public limited company, which is dual listed on the AIM, a market of the London Stock Exchange, and The Nasdaq Global Market ("Nasdaq"). The company is incorporated and domiciled in the United Kingdom. The address of the registered office is 1 Central Square, Cardiff, CF10 1FS, United Kingdom.</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two subsidiaries, Verona Pharma Inc. and Rhinopharma Limited ("Rhinopharma"), both of which are wholly owned.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Company listed its American Depositary Shares ("ADS") on Nasdaq in April 2017 ("the 2017 Global Offering").</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The ADSs trade on The Nasdaq the symbol “VRNA” and Verona Pharma’s ordinary shares trade on AIM under the symbol “VRP”.</w:t>
      </w:r>
    </w:p>
    <w:p>
      <w:pPr>
        <w:spacing w:after="0" w:line="200" w:lineRule="exact"/>
        <w:rPr>
          <w:sz w:val="20"/>
          <w:szCs w:val="20"/>
          <w:color w:val="auto"/>
        </w:rPr>
      </w:pPr>
    </w:p>
    <w:p>
      <w:pPr>
        <w:spacing w:after="0" w:line="37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20"/>
          </w:cols>
          <w:pgMar w:left="220" w:top="140" w:right="45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Accounting policies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principal accounting policies, all of which have been applied consistently throughout the year, is set out below.</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Basis of preparation</w:t>
      </w:r>
    </w:p>
    <w:p>
      <w:pPr>
        <w:spacing w:after="0" w:line="245"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The consolidated financial statements of the Company have been prepared in accordance with International Financial Reporting Standards ("IFRSs") as issued by the International Accounting Standards Board and IFRS Interpretations Committee applicable to companies reporting under IFRS.</w:t>
      </w:r>
    </w:p>
    <w:p>
      <w:pPr>
        <w:spacing w:after="0" w:line="194"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The consolidated financial statements have been prepared under the historical cost convention, with the exception of derivative financial instruments which have been measured at fair value.</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preparation of financial statements in conformity with IFRS requires the use of certain critical accounting estimates. It also requires management to exercise its judgment in the process of applying the Company's accounting policies. The areas involving a higher degree of judgment or complexity, or areas where assumptions and estimates are significant to the consolidated financial statements are disclosed in note 4.</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Going concern</w:t>
      </w:r>
    </w:p>
    <w:p>
      <w:pPr>
        <w:spacing w:after="0" w:line="24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Company has incurred recurring losses since inception, including net losses of £31.9 million, £19.9 million and £20.5 million for the years ended December 31, 2019, 2018 and 2017, respectively. In addition, as of December 31, 2019, the Company had an accumulated loss of £100.6 million. The Company expects to continue to generate operating losses for the foreseeable future. As of the issuance date of the annual consolidated financial statements, the Company expects that its cash and cash equivalents, would be sufficient to fund its operating expenses and capital expenditure requirements for at least 12 months from the issuance date of these annual consolidated financial statements.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04"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Company intends to initiate its Phase 3 program for the maintenance treatment of COPD once it believes it has alignment with the FDA on its planned design for the Phase 3 clinical program. The Company will require significant additional funding to initiate and complete this Phase 3 program and will need to secure the required capital to fund the program. The Company will seek additional funding through public or private financings, debt financing, collaboration or licensing agreements and other arrangements. However, there is no guarantee that the Company will be successful in securing additional finance on acceptable terms, or at all, and should the Company be unable to raise sufficient additional funds it will be required to defer the initiation of Phase 3 clinical trials, until such funding can be obtained. This could also force the Company to delay, reduce or eliminate some or all of its research and development programs, product portfolio expansion or commercialization efforts, or pursue alternative development strategies that differ significantly from its current strategy, which could have a material adverse effect on the Company’s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w:t>
      </w:r>
    </w:p>
    <w:p>
      <w:pPr>
        <w:spacing w:after="0" w:line="24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The excess of the cost of acquisition over the fair value of the Company's share of the identifiable net assets acquired is recorded as goodwill. Goodwill arising on acquisitions is capitalized and is subject to an impairment review, both annually and when there are indications that the carrying value may not be recoverable.</w:t>
      </w:r>
    </w:p>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440"/>
          </w:cols>
          <w:pgMar w:left="220" w:top="140" w:right="2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consolidation</w:t>
      </w:r>
    </w:p>
    <w:p>
      <w:pPr>
        <w:spacing w:after="0" w:line="245"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These consolidated financial statements include the financial statements of Verona Pharma plc and its wholly owned subsidiaries Verona Pharma, Inc. and Rhinopharma. The acquisition method of accounting was used to account for the acquisition of Rhinopharma.</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Inter-company transactions, balances and unrealized gains on transactions between group companies are eliminated.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Verona Pharma Inc. and Rhinopharma adopt the same accounting policies as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Foreign currency translation</w:t>
      </w:r>
    </w:p>
    <w:p>
      <w:pPr>
        <w:spacing w:after="0" w:line="245"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Items included in the Company's consolidated financial statements are measured using the currency of the primary economic environment in which the entity operates ("the functional currency"). The consolidated financial statements are presented in pounds sterling ("£"), which is the functional and presentational currency of the Company.</w:t>
      </w:r>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Transactions in foreign currencies are recorded using the rate of exchange ruling at the date of the transaction. Monetary assets and liabilities denominated in foreign currencies are translated using the rate of exchange ruling at the balance sheet date and the gains or losses on translation are included in the Consolidated Statement of Comprehensive Income. Non-monetary items that are measured in terms of historical cost in a foreign currency are translated using the exchange rates at the dates of the original transactions. Non-monetary items measured at fair value in a foreign currency are translated using the exchange rates at the date when the fair value was determined.</w:t>
      </w:r>
    </w:p>
    <w:p>
      <w:pPr>
        <w:spacing w:after="0" w:line="202"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The assets and liabilities of foreign operations are translated into pounds sterling at the rate of exchange ruling at the balance sheet date. Income and expenses are translated at weighted average exchange rates for the period. The exchange differences arising on translation for consolidation are recognized in Other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Cash and cash equivalents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includes cash in hand, deposits held at call with banks and other short-term highly liquid investments with original maturities of three months or less.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 Deferred taxation</w:t>
      </w:r>
    </w:p>
    <w:p>
      <w:pPr>
        <w:spacing w:after="0" w:line="24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Deferred tax is provided in full, using the liability method, on temporary differences arising between the tax bases of assets and liabilities and their carrying amounts in the consolidated financial statements. Deferred tax is determined using tax rates and laws that have been enacted or substantially enacted by the balance sheet date and expected to apply when the related deferred tax is realized or the deferred liability is settled.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are recognized to the extent that it is probable that the future taxable profit will be available against which the temporary differences can be utilized.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Research and development costs</w:t>
      </w:r>
    </w:p>
    <w:p>
      <w:pPr>
        <w:spacing w:after="0" w:line="245"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Capitalization of expenditure on product development commences from the point at which technical feasibility and commercial viability of the product can be demonstrated and the Company is satisfied that it is probable that future economic benefits will result from the product once completed. No such costs have been capitalized to date.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Expenditure on research and development activities that do not meet the above criteria is charged to the Consolidated Statement of Comprehensive Income as incurred.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440"/>
          </w:cols>
          <w:pgMar w:left="220" w:top="140" w:right="23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 Property, plant and equipment</w:t>
      </w:r>
    </w:p>
    <w:p>
      <w:pPr>
        <w:spacing w:after="0" w:line="245"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Property, plant and equipment are stated at cost, net of depreciation and any provision for impairment. Cost includes the original purchase price of the asset and the costs attributable to bringing the asset to its working condition for its intended use. Depreciation is calculated to write off the cost less their estimated residual values, on a straight-line basis over the expected useful economic lives of the assets concerned. The principal annual periods used for this purpose are:</w:t>
      </w:r>
    </w:p>
    <w:p>
      <w:pPr>
        <w:spacing w:after="0" w:line="221" w:lineRule="exact"/>
        <w:rPr>
          <w:sz w:val="20"/>
          <w:szCs w:val="20"/>
          <w:color w:val="auto"/>
        </w:rPr>
      </w:pPr>
    </w:p>
    <w:p>
      <w:pPr>
        <w:ind w:left="20"/>
        <w:spacing w:after="0"/>
        <w:tabs>
          <w:tab w:leader="none" w:pos="9980" w:val="left"/>
        </w:tabs>
        <w:rPr>
          <w:sz w:val="20"/>
          <w:szCs w:val="20"/>
          <w:color w:val="auto"/>
        </w:rPr>
      </w:pPr>
      <w:r>
        <w:rPr>
          <w:rFonts w:ascii="Arial" w:cs="Arial" w:eastAsia="Arial" w:hAnsi="Arial"/>
          <w:sz w:val="14"/>
          <w:szCs w:val="14"/>
          <w:color w:val="auto"/>
        </w:rPr>
        <w:t>Computer hardware</w:t>
      </w:r>
      <w:r>
        <w:rPr>
          <w:sz w:val="20"/>
          <w:szCs w:val="20"/>
          <w:color w:val="auto"/>
        </w:rPr>
        <w:tab/>
      </w:r>
      <w:r>
        <w:rPr>
          <w:rFonts w:ascii="Arial" w:cs="Arial" w:eastAsia="Arial" w:hAnsi="Arial"/>
          <w:sz w:val="14"/>
          <w:szCs w:val="14"/>
          <w:color w:val="auto"/>
        </w:rPr>
        <w:t>3 years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2.7 Intangible assets and goodwill</w:t>
      </w:r>
    </w:p>
    <w:p>
      <w:pPr>
        <w:spacing w:after="0" w:line="245" w:lineRule="exact"/>
        <w:rPr>
          <w:sz w:val="20"/>
          <w:szCs w:val="20"/>
          <w:color w:val="auto"/>
        </w:rPr>
      </w:pPr>
    </w:p>
    <w:p>
      <w:pPr>
        <w:ind w:left="400" w:hanging="394"/>
        <w:spacing w:after="0"/>
        <w:tabs>
          <w:tab w:leader="none" w:pos="4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Goodwill</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Goodwill arises on the acquisition of subsidiaries and represents the excess of the consideration transferred over the fair value of the identifiable net assets acquired.</w:t>
      </w:r>
    </w:p>
    <w:p>
      <w:pPr>
        <w:spacing w:after="0" w:line="227" w:lineRule="exact"/>
        <w:rPr>
          <w:sz w:val="20"/>
          <w:szCs w:val="20"/>
          <w:color w:val="auto"/>
        </w:rPr>
      </w:pPr>
    </w:p>
    <w:p>
      <w:pPr>
        <w:ind w:left="400" w:hanging="394"/>
        <w:spacing w:after="0"/>
        <w:tabs>
          <w:tab w:leader="none" w:pos="4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Patents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Patent costs associated with the preparation, filing, and obtaining of patents are capitalized and amortized on a straight-line basis over the estimated useful lives of ten years.</w:t>
      </w:r>
    </w:p>
    <w:p>
      <w:pPr>
        <w:spacing w:after="0" w:line="227" w:lineRule="exact"/>
        <w:rPr>
          <w:sz w:val="20"/>
          <w:szCs w:val="20"/>
          <w:color w:val="auto"/>
        </w:rPr>
      </w:pPr>
    </w:p>
    <w:p>
      <w:pPr>
        <w:ind w:left="400" w:hanging="394"/>
        <w:spacing w:after="0"/>
        <w:tabs>
          <w:tab w:leader="none" w:pos="4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Computer software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Amortization is calculated so as to write off the cost less estimated residual values, on a straight-line basis over the expected useful economic life of two years.</w:t>
      </w:r>
    </w:p>
    <w:p>
      <w:pPr>
        <w:spacing w:after="0" w:line="227" w:lineRule="exact"/>
        <w:rPr>
          <w:sz w:val="20"/>
          <w:szCs w:val="20"/>
          <w:color w:val="auto"/>
        </w:rPr>
      </w:pPr>
    </w:p>
    <w:p>
      <w:pPr>
        <w:ind w:left="400" w:hanging="394"/>
        <w:spacing w:after="0"/>
        <w:tabs>
          <w:tab w:leader="none" w:pos="4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In-process research &amp; development ("IP R&amp;D")</w:t>
      </w:r>
    </w:p>
    <w:p>
      <w:pPr>
        <w:spacing w:after="0" w:line="227"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The IP R&amp;D asset acquired through a business combination, that had not reached technical feasibility, was initially recognized at fair value. Subsequent movements in the assumed contingent liability (see 2.12) that relate to changes in estimated cashflows or probabilities of success are recognized as additions to the IP R&amp;D asset that it relates to. There were no changes in estimated cashflows or probabilities of success in the years ended 31 December, 2019, or 2018.</w:t>
      </w:r>
    </w:p>
    <w:p>
      <w:pPr>
        <w:spacing w:after="0" w:line="200"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This is a change in accounting policy as prior to January 1, 2019, movements in the assumed contingent liability were taken to the Statement of Comprehensive Income (see note 2.17). As a result of the change in accounting policy £484 thousand was restated from Accumulated Loss to the IP R&amp;D asset.</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asset is subject to impairment testing until completion, abandonment of the project or when the research findings are commercialized through a revenue generating project. The Company determines whether intangible assets are impaired on an annual basis or when there is an indication of impairment.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40"/>
          </w:cols>
          <w:pgMar w:left="220" w:top="140" w:right="23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 Impairment of intangible assets, goodwill and non-financial assets</w:t>
      </w:r>
    </w:p>
    <w:p>
      <w:pPr>
        <w:spacing w:after="0" w:line="288" w:lineRule="exact"/>
        <w:rPr>
          <w:sz w:val="20"/>
          <w:szCs w:val="20"/>
          <w:color w:val="auto"/>
        </w:rPr>
      </w:pPr>
    </w:p>
    <w:p>
      <w:pPr>
        <w:ind w:right="360"/>
        <w:spacing w:after="0" w:line="385" w:lineRule="auto"/>
        <w:rPr>
          <w:sz w:val="20"/>
          <w:szCs w:val="20"/>
          <w:color w:val="auto"/>
        </w:rPr>
      </w:pPr>
      <w:r>
        <w:rPr>
          <w:rFonts w:ascii="Arial" w:cs="Arial" w:eastAsia="Arial" w:hAnsi="Arial"/>
          <w:sz w:val="14"/>
          <w:szCs w:val="14"/>
          <w:color w:val="auto"/>
        </w:rPr>
        <w:t>The Company holds intangible assets relating to acquired IP R&amp;D, patent costs and goodwill. Goodwill and intangible assets are tested annually for impairment or if there is an indication of impairment. The Company is a single cash generating unit ("CGU") so all intangibles are allocated to the Company as one CGU.</w:t>
      </w:r>
    </w:p>
    <w:p>
      <w:pPr>
        <w:spacing w:after="0" w:line="87" w:lineRule="exact"/>
        <w:rPr>
          <w:sz w:val="20"/>
          <w:szCs w:val="20"/>
          <w:color w:val="auto"/>
        </w:rPr>
      </w:pPr>
    </w:p>
    <w:p>
      <w:pPr>
        <w:spacing w:after="0" w:line="366" w:lineRule="auto"/>
        <w:rPr>
          <w:sz w:val="20"/>
          <w:szCs w:val="20"/>
          <w:color w:val="auto"/>
        </w:rPr>
      </w:pPr>
      <w:r>
        <w:rPr>
          <w:rFonts w:ascii="Arial" w:cs="Arial" w:eastAsia="Arial" w:hAnsi="Arial"/>
          <w:sz w:val="14"/>
          <w:szCs w:val="14"/>
          <w:color w:val="auto"/>
        </w:rPr>
        <w:t>As at 31 December, 2019, and 2018 the Company carried out impairment reviews with reference to its market capitalization. At points during the year ended 31 December 2019, the Company's market capitalization was less than its net assets. As a result, the Company carried out an impairment review by forecasting expected sales of ensifentrine, delivered by nebulizer for the maintenance treatment of chronic COPD, and associated costs. This cashflow forecast was then discounted to its net present value to demonstrate that the value in use of the ensifentrine was greater than the Company's net assets. The Company was required to make various estimates and assumptions as inputs for this model including, but not limited to:</w:t>
      </w:r>
    </w:p>
    <w:p>
      <w:pPr>
        <w:spacing w:after="0" w:line="12" w:lineRule="exact"/>
        <w:rPr>
          <w:sz w:val="20"/>
          <w:szCs w:val="20"/>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market size and product acceptance by clinicians, patients and reimbursement bodies;</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gross and net selling price;</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costs of manufacturing, product distribution and marketing support;</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costs of the Company's overhead;</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size and make up of a sales force;</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probabilities of success; and</w:t>
      </w:r>
    </w:p>
    <w:p>
      <w:pPr>
        <w:spacing w:after="0" w:line="86" w:lineRule="exact"/>
        <w:rPr>
          <w:rFonts w:ascii="Arial" w:cs="Arial" w:eastAsia="Arial" w:hAnsi="Arial"/>
          <w:sz w:val="14"/>
          <w:szCs w:val="14"/>
          <w:color w:val="auto"/>
        </w:rPr>
      </w:pPr>
    </w:p>
    <w:p>
      <w:pPr>
        <w:ind w:left="520" w:hanging="255"/>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discount rate.</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2.9 Employee Benefits</w:t>
      </w:r>
    </w:p>
    <w:p>
      <w:pPr>
        <w:spacing w:after="0" w:line="245" w:lineRule="exact"/>
        <w:rPr>
          <w:sz w:val="20"/>
          <w:szCs w:val="20"/>
          <w:color w:val="auto"/>
        </w:rPr>
      </w:pPr>
    </w:p>
    <w:p>
      <w:pPr>
        <w:ind w:left="340" w:hanging="334"/>
        <w:spacing w:after="0"/>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Pension</w:t>
      </w:r>
    </w:p>
    <w:p>
      <w:pPr>
        <w:spacing w:after="0" w:line="227"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The Company operates defined contribution pension schemes for its employees. Contributions payable for the year are charged to the Consolidated Statement of Comprehensive Income. The Company has no further liability once the contributions have been paid.</w:t>
      </w:r>
    </w:p>
    <w:p>
      <w:pPr>
        <w:spacing w:after="0" w:line="194" w:lineRule="exact"/>
        <w:rPr>
          <w:sz w:val="20"/>
          <w:szCs w:val="20"/>
          <w:color w:val="auto"/>
        </w:rPr>
      </w:pPr>
    </w:p>
    <w:p>
      <w:pPr>
        <w:ind w:left="340" w:hanging="334"/>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Bonus plans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recognizes a liability and an expense for bonus plans if contractually obligated or if there is a past practice that has created a constructive liability.</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2.10 Share-based payments</w:t>
      </w:r>
    </w:p>
    <w:p>
      <w:pPr>
        <w:spacing w:after="0" w:line="245"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The Company operates a number of equity-settled, share-based compensation schemes. The fair value of share based payments is determined using the Black-Scholes model and requires several assumptions and estimates as disclosed in note 17.</w:t>
      </w:r>
    </w:p>
    <w:p>
      <w:pPr>
        <w:spacing w:after="0" w:line="194" w:lineRule="exact"/>
        <w:rPr>
          <w:sz w:val="20"/>
          <w:szCs w:val="20"/>
          <w:color w:val="auto"/>
        </w:rPr>
      </w:pPr>
    </w:p>
    <w:p>
      <w:pPr>
        <w:ind w:right="480"/>
        <w:spacing w:after="0" w:line="273" w:lineRule="auto"/>
        <w:rPr>
          <w:sz w:val="20"/>
          <w:szCs w:val="20"/>
          <w:color w:val="auto"/>
        </w:rPr>
      </w:pPr>
      <w:r>
        <w:rPr>
          <w:rFonts w:ascii="Arial" w:cs="Arial" w:eastAsia="Arial" w:hAnsi="Arial"/>
          <w:sz w:val="14"/>
          <w:szCs w:val="14"/>
          <w:color w:val="auto"/>
        </w:rPr>
        <w:t>The fair value of share-based payments under these schemes is expensed on a straight-line basis over the share based payments' vesting periods, based on the Company's estimate of shares that will eventually vest.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60"/>
          </w:cols>
          <w:pgMar w:left="220" w:top="140" w:right="21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2.11 Provisions</w:t>
      </w:r>
    </w:p>
    <w:p>
      <w:pPr>
        <w:spacing w:after="0" w:line="245"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Provisions are recognized when the Company has a present legal or constructive liability as a result of past events, it is probable that an outflow of resources will be required to settle the liability, and the amount can be reliably estimated. Provisions are measured at the present value of the expenditures expected to be required to settle the liability using a pre-tax rate that reflects current market assessments of the time value of money and the risks specific to the liability.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2.12 Assumed contingent liability related to the business combination</w:t>
      </w:r>
    </w:p>
    <w:p>
      <w:pPr>
        <w:spacing w:after="0" w:line="245" w:lineRule="exact"/>
        <w:rPr>
          <w:sz w:val="20"/>
          <w:szCs w:val="20"/>
          <w:color w:val="auto"/>
        </w:rPr>
      </w:pPr>
    </w:p>
    <w:p>
      <w:pPr>
        <w:ind w:right="860"/>
        <w:spacing w:after="0" w:line="273" w:lineRule="auto"/>
        <w:rPr>
          <w:sz w:val="20"/>
          <w:szCs w:val="20"/>
          <w:color w:val="auto"/>
        </w:rPr>
      </w:pPr>
      <w:r>
        <w:rPr>
          <w:rFonts w:ascii="Arial" w:cs="Arial" w:eastAsia="Arial" w:hAnsi="Arial"/>
          <w:sz w:val="14"/>
          <w:szCs w:val="14"/>
          <w:color w:val="auto"/>
        </w:rPr>
        <w:t>In 2006 the Company acquired Rhinopharma and assumed contingent liabilities owed to Vernalis Pharmaceuticals Limited which was subsequently acquired by Ligand Pharmaceuticals, Inc. (“Ligand”). The Company refers to the assignment and license agreement as the Ligand Agreement.</w:t>
      </w:r>
    </w:p>
    <w:p>
      <w:pPr>
        <w:spacing w:after="0" w:line="19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"Licensed Products") developed using Ligand Patents, Ligand know-how and the physical stock of certain compounds.</w:t>
      </w:r>
    </w:p>
    <w:p>
      <w:pPr>
        <w:spacing w:after="0" w:line="200" w:lineRule="exact"/>
        <w:rPr>
          <w:sz w:val="20"/>
          <w:szCs w:val="20"/>
          <w:color w:val="auto"/>
        </w:rPr>
      </w:pPr>
    </w:p>
    <w:p>
      <w:pPr>
        <w:jc w:val="both"/>
        <w:ind w:right="200"/>
        <w:spacing w:after="0" w:line="265" w:lineRule="auto"/>
        <w:rPr>
          <w:sz w:val="20"/>
          <w:szCs w:val="20"/>
          <w:color w:val="auto"/>
        </w:rPr>
      </w:pPr>
      <w:r>
        <w:rPr>
          <w:rFonts w:ascii="Arial" w:cs="Arial" w:eastAsia="Arial" w:hAnsi="Arial"/>
          <w:sz w:val="14"/>
          <w:szCs w:val="14"/>
          <w:color w:val="auto"/>
        </w:rPr>
        <w:t>The assumed contingent liability comprises a milestone payment on obtaining the first approval of any regulatory authority for the commercialization of a Licensed Product, low to mid-single digit royalties based on the future sales performance of all Licensed Products and a portion equal to a mid-twenty percent of any consideration received from any sub-licensees for the Ligand Patents and for Ligand know-how.</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The liability was initially recognized at fair value and subsequently measured at amortized cost. The assumed contingent liability is estimated as the expected value of the milestone payment and royalty payments. This expected value is based on estimated future royalties payable, derived from sales forecasts, and an assessment of the probability of success using standard market probabilities for respiratory drug development. The risk-weighted value of the assumed contingent arrangement is discounted back to its net present value applying an effective interest rate of 12%.</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Royalties payable are based on the future sales performance so the amount payable is unlimited. Sales that may be achieved are difficult to predict and subject to estimate, which is inherently uncertain.</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assumed contingent liability is accounted for as a liability and its value is measured at amortized cost using the effective interest rate method, and is re-measured for changes in estimated cash flows or when the probability of success changes.</w:t>
      </w:r>
    </w:p>
    <w:p>
      <w:pPr>
        <w:spacing w:after="0" w:line="194" w:lineRule="exact"/>
        <w:rPr>
          <w:sz w:val="20"/>
          <w:szCs w:val="20"/>
          <w:color w:val="auto"/>
        </w:rPr>
      </w:pPr>
    </w:p>
    <w:p>
      <w:pPr>
        <w:ind w:right="720"/>
        <w:spacing w:after="0" w:line="273" w:lineRule="auto"/>
        <w:rPr>
          <w:sz w:val="20"/>
          <w:szCs w:val="20"/>
          <w:color w:val="auto"/>
        </w:rPr>
      </w:pPr>
      <w:r>
        <w:rPr>
          <w:rFonts w:ascii="Arial" w:cs="Arial" w:eastAsia="Arial" w:hAnsi="Arial"/>
          <w:sz w:val="14"/>
          <w:szCs w:val="14"/>
          <w:color w:val="auto"/>
        </w:rPr>
        <w:t>Remeasurements relating to changes in estimated cash flows and probabilities of success are recognized in the IP R&amp;D asset it relates to ("see 2.7"). This is a change in accounting policy for the year ended December 1, 2019 (see 2.17). The unwind of the discount is recognized in finance expense.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2.13 Financial instruments — initial recognition and subsequent measurement</w:t>
      </w:r>
    </w:p>
    <w:p>
      <w:pPr>
        <w:spacing w:after="0" w:line="245" w:lineRule="exact"/>
        <w:rPr>
          <w:sz w:val="20"/>
          <w:szCs w:val="20"/>
          <w:color w:val="auto"/>
        </w:rPr>
      </w:pPr>
    </w:p>
    <w:p>
      <w:pPr>
        <w:ind w:right="480"/>
        <w:spacing w:after="0" w:line="273" w:lineRule="auto"/>
        <w:rPr>
          <w:sz w:val="20"/>
          <w:szCs w:val="20"/>
          <w:color w:val="auto"/>
        </w:rPr>
      </w:pPr>
      <w:r>
        <w:rPr>
          <w:rFonts w:ascii="Arial" w:cs="Arial" w:eastAsia="Arial" w:hAnsi="Arial"/>
          <w:sz w:val="14"/>
          <w:szCs w:val="14"/>
          <w:color w:val="auto"/>
        </w:rPr>
        <w:t>The Company classifies a financial instrument, or its component parts, as a financial liability, a financial asset or an equity instrument in accordance with the substance of the contractual arrangement and the definitions of a financial liability, a financial asset and an equity instrument.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A financial instrument is any contract that gives rise to a financial asset of one entity and a financial liability or equity instrument of another entity.</w:t>
      </w:r>
    </w:p>
    <w:p>
      <w:pPr>
        <w:spacing w:after="0" w:line="119" w:lineRule="exact"/>
        <w:rPr>
          <w:sz w:val="20"/>
          <w:szCs w:val="20"/>
          <w:color w:val="auto"/>
        </w:rPr>
      </w:pPr>
    </w:p>
    <w:p>
      <w:pPr>
        <w:ind w:left="400" w:hanging="394"/>
        <w:spacing w:after="0"/>
        <w:tabs>
          <w:tab w:leader="none" w:pos="4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Financial assets, initial recognition and measurement and subsequent measurement</w:t>
      </w:r>
    </w:p>
    <w:p>
      <w:pPr>
        <w:spacing w:after="0" w:line="119" w:lineRule="exact"/>
        <w:rPr>
          <w:sz w:val="20"/>
          <w:szCs w:val="20"/>
          <w:color w:val="auto"/>
        </w:rPr>
      </w:pPr>
    </w:p>
    <w:p>
      <w:pPr>
        <w:ind w:right="520"/>
        <w:spacing w:after="0" w:line="273" w:lineRule="auto"/>
        <w:rPr>
          <w:sz w:val="20"/>
          <w:szCs w:val="20"/>
          <w:color w:val="auto"/>
        </w:rPr>
      </w:pPr>
      <w:r>
        <w:rPr>
          <w:rFonts w:ascii="Arial" w:cs="Arial" w:eastAsia="Arial" w:hAnsi="Arial"/>
          <w:sz w:val="14"/>
          <w:szCs w:val="14"/>
          <w:color w:val="auto"/>
        </w:rPr>
        <w:t>The Company has no financial assets recorded at fair value through profit or loss ("FVPTL"). All assets are initially recognized initially at fair value plus transaction costs and subsequently measured at amortized cost using the effective interest method.</w:t>
      </w:r>
    </w:p>
    <w:p>
      <w:pPr>
        <w:spacing w:after="0" w:line="86" w:lineRule="exact"/>
        <w:rPr>
          <w:sz w:val="20"/>
          <w:szCs w:val="20"/>
          <w:color w:val="auto"/>
        </w:rPr>
      </w:pPr>
    </w:p>
    <w:p>
      <w:pPr>
        <w:ind w:right="5580" w:firstLine="6"/>
        <w:spacing w:after="0" w:line="514" w:lineRule="auto"/>
        <w:tabs>
          <w:tab w:leader="none" w:pos="388" w:val="left"/>
        </w:tabs>
        <w:numPr>
          <w:ilvl w:val="0"/>
          <w:numId w:val="75"/>
        </w:numPr>
        <w:rPr>
          <w:rFonts w:ascii="Arial" w:cs="Arial" w:eastAsia="Arial" w:hAnsi="Arial"/>
          <w:sz w:val="14"/>
          <w:szCs w:val="14"/>
          <w:color w:val="auto"/>
        </w:rPr>
      </w:pPr>
      <w:r>
        <w:rPr>
          <w:rFonts w:ascii="Arial" w:cs="Arial" w:eastAsia="Arial" w:hAnsi="Arial"/>
          <w:sz w:val="14"/>
          <w:szCs w:val="14"/>
          <w:color w:val="auto"/>
        </w:rPr>
        <w:t>Financial liabilities, initial recognition and measurement and subsequent measurement Financial liabilities are classified as measured at amortized cost or FVTPL.</w:t>
      </w:r>
    </w:p>
    <w:p>
      <w:pPr>
        <w:jc w:val="cente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460"/>
          </w:cols>
          <w:pgMar w:left="220" w:top="140" w:right="21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(Continued)</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The Company's warrants are classified as FVTPL and fair value gains and losses are recognized in profit or loss.</w:t>
      </w:r>
    </w:p>
    <w:p>
      <w:pPr>
        <w:spacing w:after="0" w:line="184" w:lineRule="exact"/>
        <w:rPr>
          <w:sz w:val="20"/>
          <w:szCs w:val="20"/>
          <w:color w:val="auto"/>
        </w:rPr>
      </w:pPr>
    </w:p>
    <w:p>
      <w:pPr>
        <w:ind w:right="420"/>
        <w:spacing w:after="0" w:line="273" w:lineRule="auto"/>
        <w:rPr>
          <w:sz w:val="20"/>
          <w:szCs w:val="20"/>
          <w:color w:val="auto"/>
        </w:rPr>
      </w:pPr>
      <w:r>
        <w:rPr>
          <w:rFonts w:ascii="Arial" w:cs="Arial" w:eastAsia="Arial" w:hAnsi="Arial"/>
          <w:sz w:val="14"/>
          <w:szCs w:val="14"/>
          <w:color w:val="auto"/>
        </w:rPr>
        <w:t>Other financial liabilities are initially recognized at fair value and subsequently measured at amortized cost using the effective interest method. Interest expense and foreign exchange gains and losses are recognized in profit or loss. Any gain or loss on derecognition is also recognized in profit or loss.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financial liabilities include trade and other payables, the Company's warrants and the assumed contingent liability.</w:t>
      </w:r>
    </w:p>
    <w:p>
      <w:pPr>
        <w:spacing w:after="0" w:line="119" w:lineRule="exact"/>
        <w:rPr>
          <w:sz w:val="20"/>
          <w:szCs w:val="20"/>
          <w:color w:val="auto"/>
        </w:rPr>
      </w:pPr>
    </w:p>
    <w:p>
      <w:pPr>
        <w:ind w:left="340" w:hanging="334"/>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Derivatives are initially recognized at fair value on the date a derivative contract is entered into and are subsequently re-measured at fair value at the end of each reporting date.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Company holds one type of derivative financial instrument, the warrants, as explained in Note 2.14.</w:t>
      </w:r>
    </w:p>
    <w:p>
      <w:pPr>
        <w:spacing w:after="0" w:line="22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full fair value of the derivative is classified as a non-current liability when the warrants are exercisable in more than 12 months and as a current liability when the warrants are exercisable in less than 12 months.</w:t>
      </w:r>
    </w:p>
    <w:p>
      <w:pPr>
        <w:spacing w:after="0" w:line="194"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Changes in fair value of a derivative financial liability when related to a financing arrangement are recognized in the Consolidated Statement of Comprehensive Income within Finance Income or Finance Expense.</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80"/>
          </w:cols>
          <w:pgMar w:left="220" w:top="140" w:right="39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2.14 Derivative financial instrument - warrants</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Warrants issued by the Company to investors as part of a share subscription are compound financial instruments where the warrant meets the definition of a financial liability.</w:t>
      </w:r>
    </w:p>
    <w:p>
      <w:pPr>
        <w:spacing w:after="0" w:line="227"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The financial liability component is initially measured at fair value in the Consolidated Statement of Financial Position. Equity is measured at the residual between the subscription price for the entire instrument and the liability component. The financial liability component is remeasured. Equity is not remeasured.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2.15 Short Term Investments</w:t>
      </w:r>
    </w:p>
    <w:p>
      <w:pPr>
        <w:spacing w:after="0" w:line="137"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Short term investments include fixed term deposits held at banks with original maturities between three months and a year. They are classified as loans and receivables and are measured at amortized cost using the effective interest method.</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2.16 Transaction costs</w:t>
      </w:r>
    </w:p>
    <w:p>
      <w:pPr>
        <w:spacing w:after="0" w:line="245"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Qualifying transaction costs might be incurred in anticipation of an issuance of equity instruments and may cross reporting periods. The entity defers these costs on the balance sheet until the equity instrument is recognized. Deferred costs are subsequently reclassified as a deduction from equity when the equity instruments are recognized, as the costs are directly attributable to the equity transaction. If the equity instruments are not subsequently issued, the transaction costs are expensed. Any costs not directly attributable to the equity transaction are expensed.</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Transaction costs that relate to the issue of a compound financial instrument are allocated to the liability and equity components of the instrument in proportion to the allocation of proceeds. Where the liability component is held at fair value through profit or loss, the transaction costs are expensed to the Consolidated Statement of Comprehensive Income. For liabilities held at amortized cost, transaction costs are deducted from the liability and subsequently amortized. The amount of transaction costs accounted for as a deduction from equity in the period is disclosed separately in accordance with International Accounting Standard (“IAS 1”).</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2.17 Changes in accounting policy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for the assumed contingent liability</w:t>
      </w:r>
    </w:p>
    <w:p>
      <w:pPr>
        <w:spacing w:after="0" w:line="245"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As discussed in note 2.12, in 2006 the Company acquired Rhinopharma and assumed contingent liabilities owed to Vernalis Pharmaceuticals Limited which was subsequently acquired by Ligand Pharmaceuticals, Inc. ("Ligand").</w:t>
      </w:r>
    </w:p>
    <w:p>
      <w:pPr>
        <w:spacing w:after="0" w:line="194" w:lineRule="exact"/>
        <w:rPr>
          <w:sz w:val="20"/>
          <w:szCs w:val="20"/>
          <w:color w:val="auto"/>
        </w:rPr>
      </w:pPr>
    </w:p>
    <w:p>
      <w:pPr>
        <w:ind w:right="400"/>
        <w:spacing w:after="0" w:line="265" w:lineRule="auto"/>
        <w:rPr>
          <w:sz w:val="20"/>
          <w:szCs w:val="20"/>
          <w:color w:val="auto"/>
        </w:rPr>
      </w:pPr>
      <w:r>
        <w:rPr>
          <w:rFonts w:ascii="Arial" w:cs="Arial" w:eastAsia="Arial" w:hAnsi="Arial"/>
          <w:sz w:val="14"/>
          <w:szCs w:val="14"/>
          <w:color w:val="auto"/>
        </w:rPr>
        <w:t>Ligand assigned to the Company all of its rights to certain patents and patent applications relating to ensifentrine and related compounds and an exclusive, worldwide, royalty-bearing license to develop, manufacture and commercialize products. The assumed contingent liability comprises a milestone payment on obtaining the first approval of any regulatory authority and royalties based on the future sales of ensifentrine.</w:t>
      </w:r>
    </w:p>
    <w:p>
      <w:pPr>
        <w:spacing w:after="0" w:line="200"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The initial fair value of the assumed contingent liability was estimated as the expected value of the milestone payment and royalty payments. This expected value is based on estimated future royalties payable, derived from sales forecasts, an assessment of the probability of success using standard market probabilities for respiratory drug development discounted to net present value applying an effective interest rate of 12%.</w:t>
      </w:r>
    </w:p>
    <w:p>
      <w:pPr>
        <w:spacing w:after="0" w:line="200"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assumed contingent liability is accounted for as a liability and its value is measured at amortized cost using the effective interest rate method, and is re-measured for changes in estimated cash flows or when the probability of success changes.</w:t>
      </w:r>
    </w:p>
    <w:p>
      <w:pPr>
        <w:spacing w:after="0" w:line="19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Up to the year ended December 31, 2018, movements in the liability relating to re-measurements of cash flows or changes in the probabilities of success were taken to the Consolidated Statement of Comprehensive Income. During the year ended December 31, 2019, the Company reviewed the accounting for this item and has determined that these movements in the liability will now be recognized in the cost of the corresponding asset. The corresponding asset is the intangible IP R&amp;D asset.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460"/>
          </w:cols>
          <w:pgMar w:left="220" w:top="140" w:right="21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(Continued)</w:t>
      </w:r>
    </w:p>
    <w:p>
      <w:pPr>
        <w:spacing w:after="0" w:line="29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Company believes that this change in accounting policy results in the Consolidated Financial Statements providing a more relevant and reliable view of its financial position and performance because without an adjustment to the IP R&amp;D asset on the re-measurement of the liability, the cost of the asset would not be fairly reflected on the Consolidated Statement of Financial Position. The Consolidated Statement of Financial Position more faithfully represents the financial position of the Company if the intangible asset is adjusted by any re-measurement of the liability for changes in estimated cash flows, to give a fairer reflection of the cost of the intangible asset.</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The Company has reviewed the International Financial Reporting Interpretations Committee ("IFRIC") discussion of accounting for variable payments made for the purchase of an intangible asset that is not part of a business combination that concluded that it was too broad for it to address within the confines of existing IFRS standards. As a result, practice in this area is mixed and many pharmaceutical companies follow a cost accumulation model. The Company also noted that adjusting the cost of the asset when a liability is remeasured for changes in estimated cash flows is consistent with the guidance in IFRIC 1 for decommissioning liabilities and IFRS 16 for lease liabilities.</w:t>
      </w:r>
    </w:p>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There were no such re-measurements of the liability in the years ended December 31, 2019, 2018 and 2017. Movements in the liability in these periods related to the unwinding of the discount and movements in exchange rates.</w:t>
      </w:r>
    </w:p>
    <w:p>
      <w:pPr>
        <w:spacing w:after="0" w:line="86"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IAS 8 requires opening balance of each affected component of equity to be adjusted for the earliest prior period presented and the other comparative amounts disclosed for each prior period presented as if the new accounting policy had always been applied.</w:t>
      </w:r>
    </w:p>
    <w:p>
      <w:pPr>
        <w:spacing w:after="0" w:line="86"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The impact to the Group, therefore, is the restatement of £484 thousand from Accumulated Loss to the IP R&amp;D asset, which relates to re-measurements recorded prior to January 1, 2017. As there were no re-measurements in the years ended December 31, 2019, 2018 and 2017 the £484 thousand adjustment is the same at each reporting period.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summary of the restatement:</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Adjustment for the</w:t>
            </w:r>
          </w:p>
        </w:tc>
        <w:tc>
          <w:tcPr>
            <w:tcW w:w="16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change in accounting</w:t>
            </w:r>
          </w:p>
        </w:tc>
        <w:tc>
          <w:tcPr>
            <w:tcW w:w="1600" w:type="dxa"/>
            <w:vAlign w:val="bottom"/>
          </w:tcPr>
          <w:p>
            <w:pPr>
              <w:spacing w:after="0"/>
              <w:rPr>
                <w:sz w:val="14"/>
                <w:szCs w:val="14"/>
                <w:color w:val="auto"/>
              </w:rPr>
            </w:pPr>
          </w:p>
        </w:tc>
      </w:tr>
      <w:tr>
        <w:trPr>
          <w:trHeight w:val="178"/>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Financial statement line item</w:t>
            </w:r>
          </w:p>
        </w:tc>
        <w:tc>
          <w:tcPr>
            <w:tcW w:w="3220" w:type="dxa"/>
            <w:vAlign w:val="bottom"/>
          </w:tcPr>
          <w:p>
            <w:pPr>
              <w:spacing w:after="0"/>
              <w:rPr>
                <w:sz w:val="15"/>
                <w:szCs w:val="15"/>
                <w:color w:val="auto"/>
              </w:rPr>
            </w:pPr>
          </w:p>
        </w:tc>
        <w:tc>
          <w:tcPr>
            <w:tcW w:w="16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As reported</w:t>
            </w:r>
          </w:p>
        </w:tc>
        <w:tc>
          <w:tcPr>
            <w:tcW w:w="120" w:type="dxa"/>
            <w:vAlign w:val="bottom"/>
          </w:tcPr>
          <w:p>
            <w:pPr>
              <w:spacing w:after="0"/>
              <w:rPr>
                <w:sz w:val="15"/>
                <w:szCs w:val="15"/>
                <w:color w:val="auto"/>
              </w:rPr>
            </w:pP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policy</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As adjusted</w:t>
            </w:r>
          </w:p>
        </w:tc>
      </w:tr>
      <w:tr>
        <w:trPr>
          <w:trHeight w:val="196"/>
        </w:trPr>
        <w:tc>
          <w:tcPr>
            <w:tcW w:w="64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1, 2017</w:t>
            </w:r>
          </w:p>
        </w:tc>
        <w:tc>
          <w:tcPr>
            <w:tcW w:w="1720" w:type="dxa"/>
            <w:vAlign w:val="bottom"/>
            <w:gridSpan w:val="2"/>
          </w:tcPr>
          <w:p>
            <w:pPr>
              <w:ind w:left="580"/>
              <w:spacing w:after="0"/>
              <w:rPr>
                <w:sz w:val="20"/>
                <w:szCs w:val="20"/>
                <w:color w:val="auto"/>
              </w:rPr>
            </w:pPr>
            <w:r>
              <w:rPr>
                <w:rFonts w:ascii="Arial" w:cs="Arial" w:eastAsia="Arial" w:hAnsi="Arial"/>
                <w:sz w:val="14"/>
                <w:szCs w:val="14"/>
                <w:b w:val="1"/>
                <w:bCs w:val="1"/>
                <w:color w:val="auto"/>
              </w:rPr>
              <w:t>£'000s</w:t>
            </w:r>
          </w:p>
        </w:tc>
        <w:tc>
          <w:tcPr>
            <w:tcW w:w="1700" w:type="dxa"/>
            <w:vAlign w:val="bottom"/>
            <w:gridSpan w:val="2"/>
          </w:tcPr>
          <w:p>
            <w:pPr>
              <w:ind w:left="580"/>
              <w:spacing w:after="0"/>
              <w:rPr>
                <w:sz w:val="20"/>
                <w:szCs w:val="20"/>
                <w:color w:val="auto"/>
              </w:rPr>
            </w:pPr>
            <w:r>
              <w:rPr>
                <w:rFonts w:ascii="Arial" w:cs="Arial" w:eastAsia="Arial" w:hAnsi="Arial"/>
                <w:sz w:val="14"/>
                <w:szCs w:val="14"/>
                <w:b w:val="1"/>
                <w:bCs w:val="1"/>
                <w:color w:val="auto"/>
              </w:rPr>
              <w:t>£'000s</w:t>
            </w: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£'000s</w:t>
            </w:r>
          </w:p>
        </w:tc>
      </w:tr>
      <w:tr>
        <w:trPr>
          <w:trHeight w:val="265"/>
        </w:trPr>
        <w:tc>
          <w:tcPr>
            <w:tcW w:w="320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10"/>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Accumulated loss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28,728</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8"/>
                <w:szCs w:val="18"/>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28,244</w:t>
            </w:r>
          </w:p>
        </w:tc>
      </w:tr>
      <w:tr>
        <w:trPr>
          <w:trHeight w:val="221"/>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 IP R&amp;D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1,953</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This adjustment also increases non-current assets, total assets and total equity by £484 thousand in each of the years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Adoption of IFRS 16</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IFRS 16 ‘Leases’ is effective for accounting periods beginning on or after January 1, 2019 and replaces IAS 17 ‘Leases’. It eliminates the classification of leases as either operating leases or finance leases and, instead, introduces a single lessee accounting model. The adoption of IFRS 16 resulted in the Group recognizing lease liabilities within current liabilities, and corresponding right-of-use assets.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Group’s principal lease arrangements are for office space. The Group has adopted IFRS 16 retrospectively with the cumulative effect of initially applying the standard as an adjustment to the opening balance of retained earnings at January 1, 2019. The standard permits a choice on initial adoption, on a lease-by-lease basis, to measure the right-of-use asset at either its carrying amount as if IFRS 16 had been applied since the commencement of the lease, or an amount equal to the lease liability, adjusted for any accrued or prepaid lease payments as at the time of adoption. The Group has elected to measure the right-of-use asset at its carrying value as if IFRS 16 had been applied since the commencement of the lease, with the result of a £20 thousand reduction in opening total accumulated losses.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460"/>
          </w:cols>
          <w:pgMar w:left="220" w:top="140" w:right="219" w:bottom="1440" w:gutter="0" w:footer="0" w:header="0"/>
        </w:sectPr>
      </w:pPr>
    </w:p>
    <w:bookmarkStart w:id="133" w:name="page134"/>
    <w:bookmarkEnd w:id="1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 (Continued)</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Initial adoption resulted in the recognition of right-of-use assets of £326 thousand and lease liabilities of £316 thousand.</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9500" w:type="dxa"/>
            <w:vAlign w:val="bottom"/>
          </w:tcPr>
          <w:p>
            <w:pPr>
              <w:spacing w:after="0"/>
              <w:rPr>
                <w:sz w:val="13"/>
                <w:szCs w:val="13"/>
                <w:color w:val="auto"/>
              </w:rPr>
            </w:pPr>
          </w:p>
        </w:tc>
        <w:tc>
          <w:tcPr>
            <w:tcW w:w="1940" w:type="dxa"/>
            <w:vAlign w:val="bottom"/>
          </w:tcPr>
          <w:p>
            <w:pPr>
              <w:jc w:val="right"/>
              <w:ind w:right="730"/>
              <w:spacing w:after="0"/>
              <w:rPr>
                <w:sz w:val="20"/>
                <w:szCs w:val="20"/>
                <w:color w:val="auto"/>
              </w:rPr>
            </w:pPr>
            <w:r>
              <w:rPr>
                <w:rFonts w:ascii="Arial" w:cs="Arial" w:eastAsia="Arial" w:hAnsi="Arial"/>
                <w:sz w:val="11"/>
                <w:szCs w:val="11"/>
                <w:b w:val="1"/>
                <w:bCs w:val="1"/>
                <w:color w:val="auto"/>
              </w:rPr>
              <w:t>£'000s</w:t>
            </w:r>
          </w:p>
        </w:tc>
      </w:tr>
      <w:tr>
        <w:trPr>
          <w:trHeight w:val="208"/>
        </w:trPr>
        <w:tc>
          <w:tcPr>
            <w:tcW w:w="9500" w:type="dxa"/>
            <w:vAlign w:val="bottom"/>
          </w:tcPr>
          <w:p>
            <w:pPr>
              <w:ind w:left="20"/>
              <w:spacing w:after="0"/>
              <w:rPr>
                <w:sz w:val="20"/>
                <w:szCs w:val="20"/>
                <w:color w:val="auto"/>
              </w:rPr>
            </w:pPr>
            <w:r>
              <w:rPr>
                <w:rFonts w:ascii="Arial" w:cs="Arial" w:eastAsia="Arial" w:hAnsi="Arial"/>
                <w:sz w:val="14"/>
                <w:szCs w:val="14"/>
                <w:color w:val="auto"/>
              </w:rPr>
              <w:t>Lease commitments (including prepayments) disclosed as at December 31, 2018</w:t>
            </w: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600</w:t>
            </w:r>
          </w:p>
        </w:tc>
      </w:tr>
      <w:tr>
        <w:trPr>
          <w:trHeight w:val="205"/>
        </w:trPr>
        <w:tc>
          <w:tcPr>
            <w:tcW w:w="9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adjustments relating to prepaid lease payments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41"/>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 commitments as at December 31, 2018</w:t>
            </w: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572</w:t>
            </w:r>
          </w:p>
        </w:tc>
      </w:tr>
      <w:tr>
        <w:trPr>
          <w:trHeight w:val="178"/>
        </w:trPr>
        <w:tc>
          <w:tcPr>
            <w:tcW w:w="9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Discounted using the group’s incremental borrowing rate</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526</w:t>
            </w:r>
          </w:p>
        </w:tc>
      </w:tr>
      <w:tr>
        <w:trPr>
          <w:trHeight w:val="199"/>
        </w:trPr>
        <w:tc>
          <w:tcPr>
            <w:tcW w:w="9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short-term leases recognized on a straight-line basis as expense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r>
      <w:tr>
        <w:trPr>
          <w:trHeight w:val="201"/>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Lease liability recognized as at January 1, 2019</w:t>
            </w:r>
          </w:p>
        </w:tc>
        <w:tc>
          <w:tcPr>
            <w:tcW w:w="1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316</w:t>
            </w:r>
          </w:p>
        </w:tc>
      </w:tr>
      <w:tr>
        <w:trPr>
          <w:trHeight w:val="20"/>
        </w:trPr>
        <w:tc>
          <w:tcPr>
            <w:tcW w:w="95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In applying IFRS 16 for the first time, the group has used the following practical expedients permitted by the standard:</w:t>
      </w:r>
    </w:p>
    <w:p>
      <w:pPr>
        <w:spacing w:after="0" w:line="98" w:lineRule="exact"/>
        <w:rPr>
          <w:sz w:val="20"/>
          <w:szCs w:val="20"/>
          <w:color w:val="auto"/>
        </w:rPr>
      </w:pPr>
    </w:p>
    <w:p>
      <w:pPr>
        <w:ind w:left="520" w:hanging="255"/>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use of a single discount rate of 8% to a portfolio of leases with reasonably similar characteristics;</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accounting for leases with a remaining lease term of less than 12 months as at January 1, 2019, as short-term leases; and</w:t>
      </w:r>
    </w:p>
    <w:p>
      <w:pPr>
        <w:spacing w:after="0" w:line="11" w:lineRule="exact"/>
        <w:rPr>
          <w:rFonts w:ascii="Arial" w:cs="Arial" w:eastAsia="Arial" w:hAnsi="Arial"/>
          <w:sz w:val="14"/>
          <w:szCs w:val="14"/>
          <w:color w:val="auto"/>
        </w:rPr>
      </w:pPr>
    </w:p>
    <w:p>
      <w:pPr>
        <w:ind w:left="520" w:hanging="255"/>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use of hindsight in determining the lease term where the contract contains options to extend or terminate the lease.</w:t>
      </w:r>
    </w:p>
    <w:p>
      <w:pPr>
        <w:spacing w:after="0" w:line="98"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The Company is applying IFRS 16’s low-value and short-term exemptions. The adoption of IFRS 16 has had no impact on the Group’s net cash flows, although a presentation change has been reflected in 2019 whereby cash outflows of £426 thousand are now presented as financing, instead of operating. General and administrative costs are £123 thousand lower than if IFRS 16 not been adopted, as depreciation of the right of use asset is less than the lease costs. There is a £50 thousand increase in finance expense from the presentation of a portion of lease costs as interest costs. There is no significant impact on overall loss before tax and loss per share.</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At the time of adoption it was not reasonably certain that the Company would extend the leases. However, in the period the Company determined that this was the case and agreed extensions. As a result it recognized an additional liability and right-of-use asset of £1,047 thousand.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2.18 New standards, amendments and interpretations adopted by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standard has been adopted by the Company for the first time for the financial year beginning on or after January 1, 2019:</w:t>
      </w:r>
    </w:p>
    <w:p>
      <w:pPr>
        <w:spacing w:after="0" w:line="119" w:lineRule="exact"/>
        <w:rPr>
          <w:sz w:val="20"/>
          <w:szCs w:val="20"/>
          <w:color w:val="auto"/>
        </w:rPr>
      </w:pPr>
    </w:p>
    <w:p>
      <w:pPr>
        <w:ind w:left="520" w:hanging="255"/>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IFRS 16 "Leases"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Company adopted IFRS 16 on January 1, 2019, and, as a consequence, changed its accounting policies. See note 2.17.</w:t>
      </w:r>
    </w:p>
    <w:p>
      <w:pPr>
        <w:spacing w:after="0" w:line="209" w:lineRule="exact"/>
        <w:rPr>
          <w:sz w:val="20"/>
          <w:szCs w:val="20"/>
          <w:color w:val="auto"/>
        </w:rPr>
      </w:pPr>
    </w:p>
    <w:p>
      <w:pPr>
        <w:ind w:right="1300"/>
        <w:spacing w:after="0" w:line="460" w:lineRule="auto"/>
        <w:rPr>
          <w:sz w:val="20"/>
          <w:szCs w:val="20"/>
          <w:color w:val="auto"/>
        </w:rPr>
      </w:pPr>
      <w:r>
        <w:rPr>
          <w:rFonts w:ascii="Arial" w:cs="Arial" w:eastAsia="Arial" w:hAnsi="Arial"/>
          <w:sz w:val="14"/>
          <w:szCs w:val="14"/>
          <w:b w:val="1"/>
          <w:bCs w:val="1"/>
          <w:color w:val="auto"/>
        </w:rPr>
        <w:t xml:space="preserve">2.19 New standards, amendments and interpretations issued but not effective for the financial year beginning January 1, 2019 and not early adopted </w:t>
      </w:r>
      <w:r>
        <w:rPr>
          <w:rFonts w:ascii="Arial" w:cs="Arial" w:eastAsia="Arial" w:hAnsi="Arial"/>
          <w:sz w:val="14"/>
          <w:szCs w:val="14"/>
          <w:color w:val="auto"/>
        </w:rPr>
        <w:t>There are no IFRS standards or interpretations not yet effective that would be expected to have a material impact on the Group.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460"/>
          </w:cols>
          <w:pgMar w:left="220" w:top="140" w:right="219" w:bottom="1440" w:gutter="0" w:footer="0" w:header="0"/>
        </w:sectPr>
      </w:pPr>
    </w:p>
    <w:bookmarkStart w:id="134" w:name="page135"/>
    <w:bookmarkEnd w:id="1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ind w:left="160" w:hanging="154"/>
        <w:spacing w:after="0"/>
        <w:tabs>
          <w:tab w:leader="none" w:pos="160"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Instruments</w:t>
      </w:r>
    </w:p>
    <w:p>
      <w:pPr>
        <w:spacing w:after="0" w:line="226"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3.1 Financial Risk Factors</w:t>
      </w:r>
    </w:p>
    <w:p>
      <w:pPr>
        <w:spacing w:after="0" w:line="245"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color w:val="auto"/>
        </w:rPr>
        <w:t>The Company's activities have exposed it to a variety of financial risks: market risk (including currency risk and interest rate risk), credit risk, and liquidity risk. The Company's overall risk management program is focused on preservation of capital and the unpredictability of financial markets and has sought to minimize potential adverse effects on the Company's financial performance and position.</w:t>
      </w:r>
    </w:p>
    <w:p>
      <w:pPr>
        <w:spacing w:after="0" w:line="92" w:lineRule="exact"/>
        <w:rPr>
          <w:sz w:val="20"/>
          <w:szCs w:val="20"/>
          <w:color w:val="auto"/>
        </w:rPr>
      </w:pPr>
    </w:p>
    <w:p>
      <w:pPr>
        <w:ind w:left="700" w:hanging="694"/>
        <w:spacing w:after="0"/>
        <w:tabs>
          <w:tab w:leader="none" w:pos="7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Currency risk</w:t>
      </w:r>
    </w:p>
    <w:p>
      <w:pPr>
        <w:spacing w:after="0" w:line="119" w:lineRule="exact"/>
        <w:rPr>
          <w:sz w:val="20"/>
          <w:szCs w:val="20"/>
          <w:color w:val="auto"/>
        </w:rPr>
      </w:pPr>
    </w:p>
    <w:p>
      <w:pPr>
        <w:ind w:right="240"/>
        <w:spacing w:after="0" w:line="273" w:lineRule="auto"/>
        <w:rPr>
          <w:sz w:val="20"/>
          <w:szCs w:val="20"/>
          <w:color w:val="auto"/>
        </w:rPr>
      </w:pPr>
      <w:r>
        <w:rPr>
          <w:rFonts w:ascii="Arial" w:cs="Arial" w:eastAsia="Arial" w:hAnsi="Arial"/>
          <w:sz w:val="14"/>
          <w:szCs w:val="14"/>
          <w:color w:val="auto"/>
        </w:rPr>
        <w:t>Foreign currency risk reflects the risk that the Company's net assets will be negatively impacted due to fluctuations in exchange rates. The Company has not entered into foreign exchange contracts to hedge against gains or losses from foreign exchange fluctuations.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summary data about the Company's exposure to currency risk is as follows. Figures are the pound sterling values of balances in each currency:</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December 31, 2019</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December 31, 2018</w:t>
            </w:r>
          </w:p>
        </w:tc>
        <w:tc>
          <w:tcPr>
            <w:tcW w:w="900" w:type="dxa"/>
            <w:vAlign w:val="bottom"/>
          </w:tcPr>
          <w:p>
            <w:pPr>
              <w:spacing w:after="0"/>
              <w:rPr>
                <w:sz w:val="13"/>
                <w:szCs w:val="13"/>
                <w:color w:val="auto"/>
              </w:rPr>
            </w:pPr>
          </w:p>
        </w:tc>
      </w:tr>
      <w:tr>
        <w:trPr>
          <w:trHeight w:val="205"/>
        </w:trPr>
        <w:tc>
          <w:tcPr>
            <w:tcW w:w="53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GBP</w:t>
            </w:r>
          </w:p>
        </w:tc>
        <w:tc>
          <w:tcPr>
            <w:tcW w:w="1060" w:type="dxa"/>
            <w:vAlign w:val="bottom"/>
            <w:tcBorders>
              <w:bottom w:val="single" w:sz="8" w:color="auto"/>
            </w:tcBorders>
          </w:tcPr>
          <w:p>
            <w:pPr>
              <w:jc w:val="center"/>
              <w:ind w:left="93"/>
              <w:spacing w:after="0"/>
              <w:rPr>
                <w:sz w:val="20"/>
                <w:szCs w:val="20"/>
                <w:color w:val="auto"/>
              </w:rPr>
            </w:pPr>
            <w:r>
              <w:rPr>
                <w:rFonts w:ascii="Arial" w:cs="Arial" w:eastAsia="Arial" w:hAnsi="Arial"/>
                <w:sz w:val="14"/>
                <w:szCs w:val="14"/>
                <w:b w:val="1"/>
                <w:bCs w:val="1"/>
                <w:color w:val="auto"/>
              </w:rPr>
              <w:t>USD</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EUR</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GBP</w:t>
            </w:r>
          </w:p>
        </w:tc>
        <w:tc>
          <w:tcPr>
            <w:tcW w:w="1000" w:type="dxa"/>
            <w:vAlign w:val="bottom"/>
            <w:tcBorders>
              <w:top w:val="single" w:sz="8" w:color="auto"/>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USD</w:t>
            </w:r>
          </w:p>
        </w:tc>
        <w:tc>
          <w:tcPr>
            <w:tcW w:w="1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EUR</w:t>
            </w:r>
          </w:p>
        </w:tc>
      </w:tr>
      <w:tr>
        <w:trPr>
          <w:trHeight w:val="208"/>
        </w:trPr>
        <w:tc>
          <w:tcPr>
            <w:tcW w:w="5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1"/>
                <w:szCs w:val="11"/>
                <w:b w:val="1"/>
                <w:bCs w:val="1"/>
                <w:color w:val="auto"/>
              </w:rPr>
              <w:t>£'000s</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rPr>
              <w:t>£'000s</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1"/>
                <w:szCs w:val="11"/>
                <w:b w:val="1"/>
                <w:bCs w:val="1"/>
                <w:color w:val="auto"/>
              </w:rPr>
              <w:t>£'000s</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rPr>
              <w:t>£'000s</w:t>
            </w:r>
          </w:p>
        </w:tc>
        <w:tc>
          <w:tcPr>
            <w:tcW w:w="900" w:type="dxa"/>
            <w:vAlign w:val="bottom"/>
            <w:shd w:val="clear" w:color="auto" w:fill="CCEEFF"/>
          </w:tcPr>
          <w:p>
            <w:pPr>
              <w:jc w:val="right"/>
              <w:ind w:right="211"/>
              <w:spacing w:after="0"/>
              <w:rPr>
                <w:sz w:val="20"/>
                <w:szCs w:val="20"/>
                <w:color w:val="auto"/>
              </w:rPr>
            </w:pPr>
            <w:r>
              <w:rPr>
                <w:rFonts w:ascii="Arial" w:cs="Arial" w:eastAsia="Arial" w:hAnsi="Arial"/>
                <w:sz w:val="11"/>
                <w:szCs w:val="11"/>
                <w:b w:val="1"/>
                <w:bCs w:val="1"/>
                <w:color w:val="auto"/>
              </w:rPr>
              <w:t>£'000s</w:t>
            </w:r>
          </w:p>
        </w:tc>
      </w:tr>
      <w:tr>
        <w:trPr>
          <w:trHeight w:val="205"/>
        </w:trPr>
        <w:tc>
          <w:tcPr>
            <w:tcW w:w="536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18,517</w:t>
            </w: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4,399</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11,293</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4"/>
                <w:szCs w:val="14"/>
                <w:color w:val="auto"/>
              </w:rPr>
              <w:t>8,470</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21</w:t>
            </w:r>
          </w:p>
        </w:tc>
      </w:tr>
      <w:tr>
        <w:trPr>
          <w:trHeight w:val="221"/>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 term Investments</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6,316</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1,507</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19,850</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25,069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04"/>
        </w:trPr>
        <w:tc>
          <w:tcPr>
            <w:tcW w:w="5360" w:type="dxa"/>
            <w:vAlign w:val="bottom"/>
          </w:tcPr>
          <w:p>
            <w:pPr>
              <w:ind w:left="40"/>
              <w:spacing w:after="0"/>
              <w:rPr>
                <w:sz w:val="20"/>
                <w:szCs w:val="20"/>
                <w:color w:val="auto"/>
              </w:rPr>
            </w:pPr>
            <w:r>
              <w:rPr>
                <w:rFonts w:ascii="Arial" w:cs="Arial" w:eastAsia="Arial" w:hAnsi="Arial"/>
                <w:sz w:val="14"/>
                <w:szCs w:val="14"/>
                <w:color w:val="auto"/>
              </w:rPr>
              <w:t>Trade and other payables</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3,226</w:t>
            </w:r>
          </w:p>
        </w:tc>
        <w:tc>
          <w:tcPr>
            <w:tcW w:w="1060" w:type="dxa"/>
            <w:vAlign w:val="bottom"/>
          </w:tcPr>
          <w:p>
            <w:pPr>
              <w:jc w:val="right"/>
              <w:ind w:right="53"/>
              <w:spacing w:after="0"/>
              <w:rPr>
                <w:sz w:val="20"/>
                <w:szCs w:val="20"/>
                <w:color w:val="auto"/>
              </w:rPr>
            </w:pPr>
            <w:r>
              <w:rPr>
                <w:rFonts w:ascii="Arial" w:cs="Arial" w:eastAsia="Arial" w:hAnsi="Arial"/>
                <w:sz w:val="14"/>
                <w:szCs w:val="14"/>
                <w:color w:val="auto"/>
              </w:rPr>
              <w:t>4,306</w:t>
            </w:r>
          </w:p>
        </w:tc>
        <w:tc>
          <w:tcPr>
            <w:tcW w:w="120" w:type="dxa"/>
            <w:vAlign w:val="bottom"/>
          </w:tcPr>
          <w:p>
            <w:pPr>
              <w:spacing w:after="0"/>
              <w:rPr>
                <w:sz w:val="17"/>
                <w:szCs w:val="17"/>
                <w:color w:val="auto"/>
              </w:rPr>
            </w:pP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17"/>
                <w:szCs w:val="17"/>
                <w:color w:val="auto"/>
              </w:rPr>
            </w:pP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2,872</w:t>
            </w: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4,329</w:t>
            </w:r>
          </w:p>
        </w:tc>
        <w:tc>
          <w:tcPr>
            <w:tcW w:w="100" w:type="dxa"/>
            <w:vAlign w:val="bottom"/>
          </w:tcPr>
          <w:p>
            <w:pPr>
              <w:spacing w:after="0"/>
              <w:rPr>
                <w:sz w:val="17"/>
                <w:szCs w:val="17"/>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532</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Analysis</w:t>
      </w:r>
    </w:p>
    <w:p>
      <w:pPr>
        <w:spacing w:after="0" w:line="241"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A reasonably possible strengthening or weakening of the Euro or U.S. dollar against pounds sterling as of December 31, 2019 and 2018 would have affected the measurement of the financial instruments denominated in a foreign currency (excluding the assumed contingent liability).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how a movement in a currency would give rise to a profit or (loss) and a corresponding entry in equity.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600" w:type="dxa"/>
            <w:vAlign w:val="bottom"/>
          </w:tcPr>
          <w:p>
            <w:pPr>
              <w:spacing w:after="0"/>
              <w:rPr>
                <w:sz w:val="13"/>
                <w:szCs w:val="13"/>
                <w:color w:val="auto"/>
              </w:rPr>
            </w:pPr>
          </w:p>
        </w:tc>
        <w:tc>
          <w:tcPr>
            <w:tcW w:w="286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1"/>
                <w:szCs w:val="11"/>
                <w:b w:val="1"/>
                <w:bCs w:val="1"/>
                <w:color w:val="auto"/>
              </w:rPr>
              <w:t>Profit or loss and equity</w:t>
            </w:r>
          </w:p>
        </w:tc>
      </w:tr>
      <w:tr>
        <w:trPr>
          <w:trHeight w:val="206"/>
        </w:trPr>
        <w:tc>
          <w:tcPr>
            <w:tcW w:w="86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Strengthening</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Weakening</w:t>
            </w:r>
          </w:p>
        </w:tc>
      </w:tr>
      <w:tr>
        <w:trPr>
          <w:trHeight w:val="196"/>
        </w:trPr>
        <w:tc>
          <w:tcPr>
            <w:tcW w:w="8600" w:type="dxa"/>
            <w:vAlign w:val="bottom"/>
          </w:tcPr>
          <w:p>
            <w:pPr>
              <w:ind w:left="20"/>
              <w:spacing w:after="0"/>
              <w:rPr>
                <w:sz w:val="20"/>
                <w:szCs w:val="20"/>
                <w:color w:val="auto"/>
              </w:rPr>
            </w:pPr>
            <w:r>
              <w:rPr>
                <w:rFonts w:ascii="Arial" w:cs="Arial" w:eastAsia="Arial" w:hAnsi="Arial"/>
                <w:sz w:val="11"/>
                <w:szCs w:val="11"/>
                <w:b w:val="1"/>
                <w:bCs w:val="1"/>
                <w:color w:val="auto"/>
              </w:rPr>
              <w:t>December 31, 2019</w:t>
            </w: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360" w:type="dxa"/>
            <w:vAlign w:val="bottom"/>
          </w:tcPr>
          <w:p>
            <w:pPr>
              <w:jc w:val="right"/>
              <w:ind w:right="434"/>
              <w:spacing w:after="0"/>
              <w:rPr>
                <w:sz w:val="20"/>
                <w:szCs w:val="20"/>
                <w:color w:val="auto"/>
              </w:rPr>
            </w:pPr>
            <w:r>
              <w:rPr>
                <w:rFonts w:ascii="Arial" w:cs="Arial" w:eastAsia="Arial" w:hAnsi="Arial"/>
                <w:sz w:val="11"/>
                <w:szCs w:val="11"/>
                <w:b w:val="1"/>
                <w:bCs w:val="1"/>
                <w:color w:val="auto"/>
              </w:rPr>
              <w:t>£'000s</w:t>
            </w:r>
          </w:p>
        </w:tc>
      </w:tr>
      <w:tr>
        <w:trPr>
          <w:trHeight w:val="200"/>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 (5% movement)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36</w:t>
            </w: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USD (5% Movement)</w:t>
            </w:r>
          </w:p>
        </w:tc>
        <w:tc>
          <w:tcPr>
            <w:tcW w:w="1380" w:type="dxa"/>
            <w:vAlign w:val="bottom"/>
          </w:tcPr>
          <w:p>
            <w:pPr>
              <w:jc w:val="right"/>
              <w:ind w:right="55"/>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17"/>
        </w:trPr>
        <w:tc>
          <w:tcPr>
            <w:tcW w:w="86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2018</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1"/>
                <w:szCs w:val="11"/>
                <w:b w:val="1"/>
                <w:bCs w:val="1"/>
                <w:color w:val="auto"/>
              </w:rPr>
              <w:t>£'000s</w:t>
            </w:r>
          </w:p>
        </w:tc>
      </w:tr>
      <w:tr>
        <w:trPr>
          <w:trHeight w:val="194"/>
        </w:trPr>
        <w:tc>
          <w:tcPr>
            <w:tcW w:w="8600" w:type="dxa"/>
            <w:vAlign w:val="bottom"/>
          </w:tcPr>
          <w:p>
            <w:pPr>
              <w:ind w:left="20"/>
              <w:spacing w:after="0"/>
              <w:rPr>
                <w:sz w:val="20"/>
                <w:szCs w:val="20"/>
                <w:color w:val="auto"/>
              </w:rPr>
            </w:pPr>
            <w:r>
              <w:rPr>
                <w:rFonts w:ascii="Arial" w:cs="Arial" w:eastAsia="Arial" w:hAnsi="Arial"/>
                <w:sz w:val="14"/>
                <w:szCs w:val="14"/>
                <w:color w:val="auto"/>
              </w:rPr>
              <w:t>EUR (5% movement)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26</w:t>
            </w:r>
          </w:p>
        </w:tc>
      </w:tr>
      <w:tr>
        <w:trPr>
          <w:trHeight w:val="221"/>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USD (5% Movement)</w:t>
            </w: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1,461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w:t>
            </w:r>
          </w:p>
        </w:tc>
      </w:tr>
    </w:tbl>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Foreign currency denominated trade payables are short term in nature (generally 30 to 45 days). The Company has a U.S. operation, the net assets of which are exposed to foreign currency translation risk.</w:t>
      </w:r>
    </w:p>
    <w:p>
      <w:pPr>
        <w:spacing w:after="0" w:line="194"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Estimated cashflows relating to the assumed contingent liability are predominantly denominated in US dollars. In the years ended December 31, 2019, and 2018, movements in foreign exchange rates were not material and no sensitivity analysis is therefore provided.</w:t>
      </w:r>
    </w:p>
    <w:p>
      <w:pPr>
        <w:spacing w:after="0" w:line="86" w:lineRule="exact"/>
        <w:rPr>
          <w:sz w:val="20"/>
          <w:szCs w:val="20"/>
          <w:color w:val="auto"/>
        </w:rPr>
      </w:pPr>
    </w:p>
    <w:p>
      <w:pPr>
        <w:ind w:left="700" w:hanging="694"/>
        <w:spacing w:after="0"/>
        <w:tabs>
          <w:tab w:leader="none" w:pos="7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Credit risk</w:t>
      </w:r>
    </w:p>
    <w:p>
      <w:pPr>
        <w:spacing w:after="0" w:line="119"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Credit risk reflects the risk that the Company may be unable to recover contractual receivables. As the Company is still in the development stage no policies are currently required to mitigate this risk.</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60"/>
          </w:cols>
          <w:pgMar w:left="220" w:top="140" w:right="219" w:bottom="1440" w:gutter="0" w:footer="0" w:header="0"/>
        </w:sectPr>
      </w:pPr>
    </w:p>
    <w:bookmarkStart w:id="135" w:name="page136"/>
    <w:bookmarkEnd w:id="1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 (continued)</w:t>
      </w:r>
    </w:p>
    <w:p>
      <w:pPr>
        <w:spacing w:after="0" w:line="292"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color w:val="auto"/>
        </w:rPr>
        <w:t>For banks and financial institutions, only independently rated parties with a minimum rating of "B+" are accepted. The Directors recognize that this is an area in which they may need to develop specific policies should the Company become exposed to further financial risks as the business develops.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and December 31, 2018, cash and cash equivalents and short term investments were placed at the following banks: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c>
          <w:tcPr>
            <w:tcW w:w="120" w:type="dxa"/>
            <w:vAlign w:val="bottom"/>
          </w:tcPr>
          <w:p>
            <w:pPr>
              <w:spacing w:after="0"/>
              <w:rPr>
                <w:sz w:val="11"/>
                <w:szCs w:val="11"/>
                <w:color w:val="auto"/>
              </w:rPr>
            </w:pPr>
          </w:p>
        </w:tc>
        <w:tc>
          <w:tcPr>
            <w:tcW w:w="1260" w:type="dxa"/>
            <w:vAlign w:val="bottom"/>
            <w:gridSpan w:val="2"/>
          </w:tcPr>
          <w:p>
            <w:pPr>
              <w:ind w:left="400"/>
              <w:spacing w:after="0"/>
              <w:rPr>
                <w:sz w:val="20"/>
                <w:szCs w:val="20"/>
                <w:color w:val="auto"/>
              </w:rPr>
            </w:pPr>
            <w:r>
              <w:rPr>
                <w:rFonts w:ascii="Arial" w:cs="Arial" w:eastAsia="Arial" w:hAnsi="Arial"/>
                <w:sz w:val="11"/>
                <w:szCs w:val="11"/>
                <w:b w:val="1"/>
                <w:bCs w:val="1"/>
                <w:color w:val="auto"/>
              </w:rPr>
              <w:t>Credit</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c>
          <w:tcPr>
            <w:tcW w:w="100" w:type="dxa"/>
            <w:vAlign w:val="bottom"/>
          </w:tcPr>
          <w:p>
            <w:pPr>
              <w:spacing w:after="0"/>
              <w:rPr>
                <w:sz w:val="11"/>
                <w:szCs w:val="11"/>
                <w:color w:val="auto"/>
              </w:rPr>
            </w:pPr>
          </w:p>
        </w:tc>
        <w:tc>
          <w:tcPr>
            <w:tcW w:w="1140" w:type="dxa"/>
            <w:vAlign w:val="bottom"/>
          </w:tcPr>
          <w:p>
            <w:pPr>
              <w:ind w:left="400"/>
              <w:spacing w:after="0"/>
              <w:rPr>
                <w:sz w:val="20"/>
                <w:szCs w:val="20"/>
                <w:color w:val="auto"/>
              </w:rPr>
            </w:pPr>
            <w:r>
              <w:rPr>
                <w:rFonts w:ascii="Arial" w:cs="Arial" w:eastAsia="Arial" w:hAnsi="Arial"/>
                <w:sz w:val="11"/>
                <w:szCs w:val="11"/>
                <w:b w:val="1"/>
                <w:bCs w:val="1"/>
                <w:color w:val="auto"/>
              </w:rPr>
              <w:t>Credit</w:t>
            </w:r>
          </w:p>
        </w:tc>
        <w:tc>
          <w:tcPr>
            <w:tcW w:w="0" w:type="dxa"/>
            <w:vAlign w:val="bottom"/>
          </w:tcPr>
          <w:p>
            <w:pPr>
              <w:spacing w:after="0"/>
              <w:rPr>
                <w:sz w:val="1"/>
                <w:szCs w:val="1"/>
                <w:color w:val="auto"/>
              </w:rPr>
            </w:pPr>
          </w:p>
        </w:tc>
      </w:tr>
      <w:tr>
        <w:trPr>
          <w:trHeight w:val="157"/>
        </w:trPr>
        <w:tc>
          <w:tcPr>
            <w:tcW w:w="6520" w:type="dxa"/>
            <w:vAlign w:val="bottom"/>
            <w:vMerge w:val="continue"/>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20" w:type="dxa"/>
            <w:vAlign w:val="bottom"/>
          </w:tcPr>
          <w:p>
            <w:pPr>
              <w:spacing w:after="0"/>
              <w:rPr>
                <w:sz w:val="13"/>
                <w:szCs w:val="13"/>
                <w:color w:val="auto"/>
              </w:rPr>
            </w:pPr>
          </w:p>
        </w:tc>
        <w:tc>
          <w:tcPr>
            <w:tcW w:w="1260" w:type="dxa"/>
            <w:vAlign w:val="bottom"/>
            <w:gridSpan w:val="2"/>
          </w:tcPr>
          <w:p>
            <w:pPr>
              <w:ind w:left="420"/>
              <w:spacing w:after="0"/>
              <w:rPr>
                <w:sz w:val="20"/>
                <w:szCs w:val="20"/>
                <w:color w:val="auto"/>
              </w:rPr>
            </w:pPr>
            <w:r>
              <w:rPr>
                <w:rFonts w:ascii="Arial" w:cs="Arial" w:eastAsia="Arial" w:hAnsi="Arial"/>
                <w:sz w:val="11"/>
                <w:szCs w:val="11"/>
                <w:b w:val="1"/>
                <w:bCs w:val="1"/>
                <w:color w:val="auto"/>
              </w:rPr>
              <w:t>rating</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00" w:type="dxa"/>
            <w:vAlign w:val="bottom"/>
          </w:tcPr>
          <w:p>
            <w:pPr>
              <w:spacing w:after="0"/>
              <w:rPr>
                <w:sz w:val="13"/>
                <w:szCs w:val="13"/>
                <w:color w:val="auto"/>
              </w:rPr>
            </w:pPr>
          </w:p>
        </w:tc>
        <w:tc>
          <w:tcPr>
            <w:tcW w:w="1140" w:type="dxa"/>
            <w:vAlign w:val="bottom"/>
          </w:tcPr>
          <w:p>
            <w:pPr>
              <w:ind w:left="420"/>
              <w:spacing w:after="0"/>
              <w:rPr>
                <w:sz w:val="20"/>
                <w:szCs w:val="20"/>
                <w:color w:val="auto"/>
              </w:rPr>
            </w:pPr>
            <w:r>
              <w:rPr>
                <w:rFonts w:ascii="Arial" w:cs="Arial" w:eastAsia="Arial" w:hAnsi="Arial"/>
                <w:sz w:val="11"/>
                <w:szCs w:val="11"/>
                <w:b w:val="1"/>
                <w:bCs w:val="1"/>
                <w:color w:val="auto"/>
              </w:rPr>
              <w:t>rating</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£'000</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£'000</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Banks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Royal Bank of Scotland</w:t>
            </w: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A1</w:t>
            </w: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Lloyds Bank</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8,355</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Aa3</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15,862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Aa3</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Citibank</w:t>
            </w: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6,529</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Aa3</w:t>
            </w: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3,135</w:t>
            </w: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Barclays</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1,968</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A1</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Wells Fargo</w:t>
            </w: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Aa1</w:t>
            </w: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Aa1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Close Brothers</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5,970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Aa3</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520" w:type="dxa"/>
            <w:vAlign w:val="bottom"/>
          </w:tcPr>
          <w:p>
            <w:pPr>
              <w:ind w:left="2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22,934</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19,784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6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Short Term Investments</w:t>
            </w: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c>
          <w:tcPr>
            <w:tcW w:w="120" w:type="dxa"/>
            <w:vAlign w:val="bottom"/>
          </w:tcPr>
          <w:p>
            <w:pPr>
              <w:spacing w:after="0"/>
              <w:rPr>
                <w:sz w:val="24"/>
                <w:szCs w:val="24"/>
                <w:color w:val="auto"/>
              </w:rPr>
            </w:pPr>
          </w:p>
        </w:tc>
        <w:tc>
          <w:tcPr>
            <w:tcW w:w="1260" w:type="dxa"/>
            <w:vAlign w:val="bottom"/>
            <w:gridSpan w:val="2"/>
          </w:tcPr>
          <w:p>
            <w:pPr>
              <w:ind w:left="400"/>
              <w:spacing w:after="0"/>
              <w:rPr>
                <w:sz w:val="20"/>
                <w:szCs w:val="20"/>
                <w:color w:val="auto"/>
              </w:rPr>
            </w:pPr>
            <w:r>
              <w:rPr>
                <w:rFonts w:ascii="Arial" w:cs="Arial" w:eastAsia="Arial" w:hAnsi="Arial"/>
                <w:sz w:val="11"/>
                <w:szCs w:val="11"/>
                <w:b w:val="1"/>
                <w:bCs w:val="1"/>
                <w:color w:val="auto"/>
              </w:rPr>
              <w:t>Credit</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c>
          <w:tcPr>
            <w:tcW w:w="10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11"/>
                <w:szCs w:val="11"/>
                <w:b w:val="1"/>
                <w:bCs w:val="1"/>
                <w:color w:val="auto"/>
              </w:rPr>
              <w:t>Credit</w:t>
            </w:r>
          </w:p>
        </w:tc>
        <w:tc>
          <w:tcPr>
            <w:tcW w:w="0" w:type="dxa"/>
            <w:vAlign w:val="bottom"/>
          </w:tcPr>
          <w:p>
            <w:pPr>
              <w:spacing w:after="0"/>
              <w:rPr>
                <w:sz w:val="1"/>
                <w:szCs w:val="1"/>
                <w:color w:val="auto"/>
              </w:rPr>
            </w:pPr>
          </w:p>
        </w:tc>
      </w:tr>
      <w:tr>
        <w:trPr>
          <w:trHeight w:val="157"/>
        </w:trPr>
        <w:tc>
          <w:tcPr>
            <w:tcW w:w="6520" w:type="dxa"/>
            <w:vAlign w:val="bottom"/>
            <w:vMerge w:val="continue"/>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20" w:type="dxa"/>
            <w:vAlign w:val="bottom"/>
          </w:tcPr>
          <w:p>
            <w:pPr>
              <w:spacing w:after="0"/>
              <w:rPr>
                <w:sz w:val="13"/>
                <w:szCs w:val="13"/>
                <w:color w:val="auto"/>
              </w:rPr>
            </w:pPr>
          </w:p>
        </w:tc>
        <w:tc>
          <w:tcPr>
            <w:tcW w:w="1260" w:type="dxa"/>
            <w:vAlign w:val="bottom"/>
            <w:gridSpan w:val="2"/>
          </w:tcPr>
          <w:p>
            <w:pPr>
              <w:ind w:left="420"/>
              <w:spacing w:after="0"/>
              <w:rPr>
                <w:sz w:val="20"/>
                <w:szCs w:val="20"/>
                <w:color w:val="auto"/>
              </w:rPr>
            </w:pPr>
            <w:r>
              <w:rPr>
                <w:rFonts w:ascii="Arial" w:cs="Arial" w:eastAsia="Arial" w:hAnsi="Arial"/>
                <w:sz w:val="11"/>
                <w:szCs w:val="11"/>
                <w:b w:val="1"/>
                <w:bCs w:val="1"/>
                <w:color w:val="auto"/>
              </w:rPr>
              <w:t>rating</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00" w:type="dxa"/>
            <w:vAlign w:val="bottom"/>
          </w:tcPr>
          <w:p>
            <w:pPr>
              <w:spacing w:after="0"/>
              <w:rPr>
                <w:sz w:val="13"/>
                <w:szCs w:val="13"/>
                <w:color w:val="auto"/>
              </w:rPr>
            </w:pPr>
          </w:p>
        </w:tc>
        <w:tc>
          <w:tcPr>
            <w:tcW w:w="1140" w:type="dxa"/>
            <w:vAlign w:val="bottom"/>
          </w:tcPr>
          <w:p>
            <w:pPr>
              <w:ind w:left="400"/>
              <w:spacing w:after="0"/>
              <w:rPr>
                <w:sz w:val="20"/>
                <w:szCs w:val="20"/>
                <w:color w:val="auto"/>
              </w:rPr>
            </w:pPr>
            <w:r>
              <w:rPr>
                <w:rFonts w:ascii="Arial" w:cs="Arial" w:eastAsia="Arial" w:hAnsi="Arial"/>
                <w:sz w:val="11"/>
                <w:szCs w:val="11"/>
                <w:b w:val="1"/>
                <w:bCs w:val="1"/>
                <w:color w:val="auto"/>
              </w:rPr>
              <w:t>rating</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17"/>
                <w:szCs w:val="17"/>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£'000</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£'000</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Banks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Royal Bank of Scotland</w:t>
            </w: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5,616</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A1</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9,186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Lloyds Bank</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Aa3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Aa3</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Standard Chartered</w:t>
            </w: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A1</w:t>
            </w:r>
          </w:p>
        </w:tc>
        <w:tc>
          <w:tcPr>
            <w:tcW w:w="1140" w:type="dxa"/>
            <w:vAlign w:val="bottom"/>
          </w:tcPr>
          <w:p>
            <w:pPr>
              <w:jc w:val="right"/>
              <w:ind w:right="53"/>
              <w:spacing w:after="0"/>
              <w:rPr>
                <w:sz w:val="20"/>
                <w:szCs w:val="20"/>
                <w:color w:val="auto"/>
              </w:rPr>
            </w:pPr>
            <w:r>
              <w:rPr>
                <w:rFonts w:ascii="Arial" w:cs="Arial" w:eastAsia="Arial" w:hAnsi="Arial"/>
                <w:sz w:val="14"/>
                <w:szCs w:val="14"/>
                <w:color w:val="auto"/>
              </w:rPr>
              <w:t>15,450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Citibank</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Aa3</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7,053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A1</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Barclays</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2,207</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A1</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11,663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7,823</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44,919</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ind w:left="340" w:hanging="334"/>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Management of capital</w:t>
      </w:r>
    </w:p>
    <w:p>
      <w:pPr>
        <w:spacing w:after="0" w:line="227"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The Company considers capital to be its equity reserves. At the current stage of the Company's life cycle, the Company's objective in managing its capital is to ensure funds raised meet the research and operating requirements until the next development stage of the Company's suite of projects.</w:t>
      </w:r>
    </w:p>
    <w:p>
      <w:pPr>
        <w:spacing w:after="0" w:line="194"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The Company ensures it is meeting its objectives by reviewing its Key Performance Indicators to ensure the research activities are progressing in line with expectations, costs are controlled and unused funds are placed on deposit to conserve resources and increase returns on surplus cash held.</w:t>
      </w:r>
    </w:p>
    <w:p>
      <w:pPr>
        <w:spacing w:after="0" w:line="86" w:lineRule="exact"/>
        <w:rPr>
          <w:sz w:val="20"/>
          <w:szCs w:val="20"/>
          <w:color w:val="auto"/>
        </w:rPr>
      </w:pPr>
    </w:p>
    <w:p>
      <w:pPr>
        <w:ind w:left="700" w:hanging="694"/>
        <w:spacing w:after="0"/>
        <w:tabs>
          <w:tab w:leader="none" w:pos="7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Interest rate risk</w:t>
      </w:r>
    </w:p>
    <w:p>
      <w:pPr>
        <w:spacing w:after="0" w:line="11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As of December 31, 2019, the Company had cash deposits of £22.9 million (2018: £19.8 million) and short term investments of £7.8 million (2018: £44.9 million). The rates of interest received during 2019 ranged between 0.0% and 2.87%. A 0.25% increase in interest rates would not have a material impact on finance income. The Company's exposure to interest rate risk, which is the risk that the interest received will fluctuate as a result of changes in market interest rates on classes of financial assets and financial liabilities, was as follows: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40"/>
          </w:cols>
          <w:pgMar w:left="220" w:top="140" w:right="239" w:bottom="1440" w:gutter="0" w:footer="0" w:header="0"/>
        </w:sectPr>
      </w:pPr>
    </w:p>
    <w:bookmarkStart w:id="136" w:name="page137"/>
    <w:bookmarkEnd w:id="1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 (continued)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520" w:type="dxa"/>
            <w:vAlign w:val="bottom"/>
          </w:tcPr>
          <w:p>
            <w:pPr>
              <w:spacing w:after="0"/>
              <w:rPr>
                <w:sz w:val="13"/>
                <w:szCs w:val="13"/>
                <w:color w:val="auto"/>
              </w:rPr>
            </w:pPr>
          </w:p>
        </w:tc>
        <w:tc>
          <w:tcPr>
            <w:tcW w:w="244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1"/>
                <w:szCs w:val="11"/>
                <w:b w:val="1"/>
                <w:bCs w:val="1"/>
                <w:color w:val="auto"/>
              </w:rPr>
              <w:t>December 31, 2018</w:t>
            </w:r>
          </w:p>
        </w:tc>
      </w:tr>
      <w:tr>
        <w:trPr>
          <w:trHeight w:val="136"/>
        </w:trPr>
        <w:tc>
          <w:tcPr>
            <w:tcW w:w="6520" w:type="dxa"/>
            <w:vAlign w:val="bottom"/>
          </w:tcPr>
          <w:p>
            <w:pPr>
              <w:spacing w:after="0"/>
              <w:rPr>
                <w:sz w:val="11"/>
                <w:szCs w:val="1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Floating</w:t>
            </w: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Fixed</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Floating</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Fixed</w:t>
            </w:r>
          </w:p>
        </w:tc>
      </w:tr>
      <w:tr>
        <w:trPr>
          <w:trHeight w:val="157"/>
        </w:trPr>
        <w:tc>
          <w:tcPr>
            <w:tcW w:w="65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 rate</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 rate</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 rate</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interest rate</w:t>
            </w:r>
          </w:p>
        </w:tc>
      </w:tr>
      <w:tr>
        <w:trPr>
          <w:trHeight w:val="196"/>
        </w:trPr>
        <w:tc>
          <w:tcPr>
            <w:tcW w:w="65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Cash deposits</w:t>
            </w:r>
          </w:p>
        </w:tc>
        <w:tc>
          <w:tcPr>
            <w:tcW w:w="1160" w:type="dxa"/>
            <w:vAlign w:val="bottom"/>
          </w:tcPr>
          <w:p>
            <w:pPr>
              <w:jc w:val="right"/>
              <w:ind w:right="56"/>
              <w:spacing w:after="0"/>
              <w:rPr>
                <w:sz w:val="20"/>
                <w:szCs w:val="20"/>
                <w:color w:val="auto"/>
              </w:rPr>
            </w:pPr>
            <w:r>
              <w:rPr>
                <w:rFonts w:ascii="Arial" w:cs="Arial" w:eastAsia="Arial" w:hAnsi="Arial"/>
                <w:sz w:val="14"/>
                <w:szCs w:val="14"/>
                <w:color w:val="auto"/>
              </w:rPr>
              <w:t>10,006</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4"/>
                <w:szCs w:val="14"/>
                <w:color w:val="auto"/>
              </w:rPr>
              <w:t>12,928</w:t>
            </w:r>
          </w:p>
        </w:tc>
        <w:tc>
          <w:tcPr>
            <w:tcW w:w="10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4"/>
                <w:szCs w:val="14"/>
                <w:color w:val="auto"/>
              </w:rPr>
              <w:t>15,082</w:t>
            </w: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Arial" w:cs="Arial" w:eastAsia="Arial" w:hAnsi="Arial"/>
                <w:sz w:val="14"/>
                <w:szCs w:val="14"/>
                <w:color w:val="auto"/>
              </w:rPr>
              <w:t>4,702</w:t>
            </w: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7,823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44,919</w:t>
            </w:r>
          </w:p>
        </w:tc>
      </w:tr>
      <w:tr>
        <w:trPr>
          <w:trHeight w:val="195"/>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1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color w:val="auto"/>
              </w:rPr>
              <w:t>10,006</w:t>
            </w:r>
          </w:p>
        </w:tc>
        <w:tc>
          <w:tcPr>
            <w:tcW w:w="12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20,751</w:t>
            </w:r>
          </w:p>
        </w:tc>
        <w:tc>
          <w:tcPr>
            <w:tcW w:w="1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color w:val="auto"/>
              </w:rPr>
              <w:t>15,082</w:t>
            </w:r>
          </w:p>
        </w:tc>
        <w:tc>
          <w:tcPr>
            <w:tcW w:w="1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49,621</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700" w:hanging="694"/>
        <w:spacing w:after="0"/>
        <w:tabs>
          <w:tab w:leader="none" w:pos="7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Liquidity risk</w:t>
      </w:r>
    </w:p>
    <w:p>
      <w:pPr>
        <w:spacing w:after="0" w:line="227"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Company periodically prepares working capital forecasts for the foreseeable future, allowing an assessment of the cash requirements of the Company, to manage liquidity risk. The following table provides an analysis of the Company's financial liabilities. The carrying value of all balances approximates to their fair value. The Company's maturity analysis for the derivative financial instrument from the issue of warrants is given in note 18.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6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BETWEEN</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BETWEEN</w:t>
            </w:r>
          </w:p>
        </w:tc>
        <w:tc>
          <w:tcPr>
            <w:tcW w:w="1140" w:type="dxa"/>
            <w:vAlign w:val="bottom"/>
          </w:tcPr>
          <w:p>
            <w:pPr>
              <w:spacing w:after="0"/>
              <w:rPr>
                <w:sz w:val="11"/>
                <w:szCs w:val="11"/>
                <w:color w:val="auto"/>
              </w:rPr>
            </w:pPr>
          </w:p>
        </w:tc>
      </w:tr>
      <w:tr>
        <w:trPr>
          <w:trHeight w:val="129"/>
        </w:trPr>
        <w:tc>
          <w:tcPr>
            <w:tcW w:w="6520" w:type="dxa"/>
            <w:vAlign w:val="bottom"/>
          </w:tcPr>
          <w:p>
            <w:pPr>
              <w:spacing w:after="0"/>
              <w:rPr>
                <w:sz w:val="11"/>
                <w:szCs w:val="1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LESS THAN</w:t>
            </w: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1 AND 2</w:t>
            </w:r>
          </w:p>
        </w:tc>
        <w:tc>
          <w:tcPr>
            <w:tcW w:w="12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2 AND 5</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OVER</w:t>
            </w:r>
          </w:p>
        </w:tc>
      </w:tr>
      <w:tr>
        <w:trPr>
          <w:trHeight w:val="157"/>
        </w:trPr>
        <w:tc>
          <w:tcPr>
            <w:tcW w:w="65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 YEAR</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YEARS</w:t>
            </w: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YEARS</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5 YEARS</w:t>
            </w:r>
          </w:p>
        </w:tc>
      </w:tr>
      <w:tr>
        <w:trPr>
          <w:trHeight w:val="196"/>
        </w:trPr>
        <w:tc>
          <w:tcPr>
            <w:tcW w:w="65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 2019</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Trade payables</w:t>
            </w: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1,455</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4"/>
              <w:spacing w:after="0"/>
              <w:rPr>
                <w:sz w:val="20"/>
                <w:szCs w:val="20"/>
                <w:color w:val="auto"/>
              </w:rPr>
            </w:pPr>
            <w:r>
              <w:rPr>
                <w:rFonts w:ascii="Arial" w:cs="Arial" w:eastAsia="Arial" w:hAnsi="Arial"/>
                <w:sz w:val="14"/>
                <w:szCs w:val="14"/>
                <w:color w:val="auto"/>
              </w:rPr>
              <w:t>—</w:t>
            </w: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Accruals</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6,806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w:t>
            </w: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4"/>
              <w:spacing w:after="0"/>
              <w:rPr>
                <w:sz w:val="20"/>
                <w:szCs w:val="20"/>
                <w:color w:val="auto"/>
              </w:rPr>
            </w:pPr>
            <w:r>
              <w:rPr>
                <w:rFonts w:ascii="Arial" w:cs="Arial" w:eastAsia="Arial" w:hAnsi="Arial"/>
                <w:sz w:val="14"/>
                <w:szCs w:val="14"/>
                <w:color w:val="auto"/>
              </w:rPr>
              <w:t>—</w:t>
            </w: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contingent liability</w:t>
            </w:r>
            <w:r>
              <w:rPr>
                <w:rFonts w:ascii="Arial" w:cs="Arial" w:eastAsia="Arial" w:hAnsi="Arial"/>
                <w:sz w:val="11"/>
                <w:szCs w:val="11"/>
                <w:b w:val="1"/>
                <w:bCs w:val="1"/>
                <w:color w:val="auto"/>
                <w:vertAlign w:val="superscript"/>
              </w:rPr>
              <w:t>(1)</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1,807</w:t>
            </w:r>
          </w:p>
        </w:tc>
      </w:tr>
      <w:tr>
        <w:trPr>
          <w:trHeight w:val="195"/>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8,737</w:t>
            </w:r>
          </w:p>
        </w:tc>
        <w:tc>
          <w:tcPr>
            <w:tcW w:w="120" w:type="dxa"/>
            <w:vAlign w:val="bottom"/>
          </w:tcPr>
          <w:p>
            <w:pPr>
              <w:spacing w:after="0"/>
              <w:rPr>
                <w:sz w:val="16"/>
                <w:szCs w:val="16"/>
                <w:color w:val="auto"/>
              </w:rPr>
            </w:pPr>
          </w:p>
        </w:tc>
        <w:tc>
          <w:tcPr>
            <w:tcW w:w="1160" w:type="dxa"/>
            <w:vAlign w:val="bottom"/>
          </w:tcPr>
          <w:p>
            <w:pPr>
              <w:jc w:val="right"/>
              <w:ind w:right="55"/>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6"/>
                <w:szCs w:val="16"/>
                <w:color w:val="auto"/>
              </w:rPr>
            </w:pP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4"/>
              <w:spacing w:after="0"/>
              <w:rPr>
                <w:sz w:val="20"/>
                <w:szCs w:val="20"/>
                <w:color w:val="auto"/>
              </w:rPr>
            </w:pPr>
            <w:r>
              <w:rPr>
                <w:rFonts w:ascii="Arial" w:cs="Arial" w:eastAsia="Arial" w:hAnsi="Arial"/>
                <w:sz w:val="14"/>
                <w:szCs w:val="14"/>
                <w:color w:val="auto"/>
              </w:rPr>
              <w:t>1,807</w:t>
            </w:r>
          </w:p>
        </w:tc>
      </w:tr>
      <w:tr>
        <w:trPr>
          <w:trHeight w:val="20"/>
        </w:trPr>
        <w:tc>
          <w:tcPr>
            <w:tcW w:w="6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520" w:hanging="514"/>
        <w:spacing w:after="0"/>
        <w:tabs>
          <w:tab w:leader="none" w:pos="520" w:val="left"/>
        </w:tabs>
        <w:numPr>
          <w:ilvl w:val="0"/>
          <w:numId w:val="85"/>
        </w:numPr>
        <w:rPr>
          <w:rFonts w:ascii="Arial" w:cs="Arial" w:eastAsia="Arial" w:hAnsi="Arial"/>
          <w:sz w:val="11"/>
          <w:szCs w:val="11"/>
          <w:color w:val="auto"/>
        </w:rPr>
      </w:pPr>
      <w:r>
        <w:rPr>
          <w:rFonts w:ascii="Arial" w:cs="Arial" w:eastAsia="Arial" w:hAnsi="Arial"/>
          <w:sz w:val="11"/>
          <w:szCs w:val="11"/>
          <w:color w:val="auto"/>
        </w:rPr>
        <w:t>This table includes the undiscounted amount of the assumed contingent liability. See note 20.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6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BETWEEN</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BETWEEN</w:t>
            </w:r>
          </w:p>
        </w:tc>
        <w:tc>
          <w:tcPr>
            <w:tcW w:w="1140" w:type="dxa"/>
            <w:vAlign w:val="bottom"/>
          </w:tcPr>
          <w:p>
            <w:pPr>
              <w:spacing w:after="0"/>
              <w:rPr>
                <w:sz w:val="11"/>
                <w:szCs w:val="11"/>
                <w:color w:val="auto"/>
              </w:rPr>
            </w:pPr>
          </w:p>
        </w:tc>
      </w:tr>
      <w:tr>
        <w:trPr>
          <w:trHeight w:val="129"/>
        </w:trPr>
        <w:tc>
          <w:tcPr>
            <w:tcW w:w="6520" w:type="dxa"/>
            <w:vAlign w:val="bottom"/>
          </w:tcPr>
          <w:p>
            <w:pPr>
              <w:spacing w:after="0"/>
              <w:rPr>
                <w:sz w:val="11"/>
                <w:szCs w:val="1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LESS THAN</w:t>
            </w: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1 AND 2</w:t>
            </w:r>
          </w:p>
        </w:tc>
        <w:tc>
          <w:tcPr>
            <w:tcW w:w="1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2 AND 5</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OVER</w:t>
            </w:r>
          </w:p>
        </w:tc>
      </w:tr>
      <w:tr>
        <w:trPr>
          <w:trHeight w:val="157"/>
        </w:trPr>
        <w:tc>
          <w:tcPr>
            <w:tcW w:w="65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 YEAR</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YEARS</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YEARS</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5 YEARS</w:t>
            </w:r>
          </w:p>
        </w:tc>
      </w:tr>
      <w:tr>
        <w:trPr>
          <w:trHeight w:val="196"/>
        </w:trPr>
        <w:tc>
          <w:tcPr>
            <w:tcW w:w="65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 2018</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Trade payables</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2,839</w:t>
            </w:r>
          </w:p>
        </w:tc>
        <w:tc>
          <w:tcPr>
            <w:tcW w:w="12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w:t>
            </w: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payables</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Accruals</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w:t>
            </w:r>
          </w:p>
        </w:tc>
      </w:tr>
      <w:tr>
        <w:trPr>
          <w:trHeight w:val="22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contingent liability</w:t>
            </w:r>
            <w:r>
              <w:rPr>
                <w:rFonts w:ascii="Arial" w:cs="Arial" w:eastAsia="Arial" w:hAnsi="Arial"/>
                <w:sz w:val="11"/>
                <w:szCs w:val="11"/>
                <w:b w:val="1"/>
                <w:bCs w:val="1"/>
                <w:color w:val="auto"/>
                <w:vertAlign w:val="superscript"/>
              </w:rPr>
              <w:t>(1)</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1,807</w:t>
            </w:r>
          </w:p>
        </w:tc>
      </w:tr>
      <w:tr>
        <w:trPr>
          <w:trHeight w:val="195"/>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7,733</w:t>
            </w:r>
          </w:p>
        </w:tc>
        <w:tc>
          <w:tcPr>
            <w:tcW w:w="120" w:type="dxa"/>
            <w:vAlign w:val="bottom"/>
          </w:tcPr>
          <w:p>
            <w:pPr>
              <w:spacing w:after="0"/>
              <w:rPr>
                <w:sz w:val="16"/>
                <w:szCs w:val="16"/>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1,807</w:t>
            </w:r>
          </w:p>
        </w:tc>
      </w:tr>
      <w:tr>
        <w:trPr>
          <w:trHeight w:val="20"/>
        </w:trPr>
        <w:tc>
          <w:tcPr>
            <w:tcW w:w="6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520" w:hanging="514"/>
        <w:spacing w:after="0"/>
        <w:tabs>
          <w:tab w:leader="none" w:pos="5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This table includes the undiscounted amount of the assumed contingent liability. See note 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60"/>
          </w:cols>
          <w:pgMar w:left="220" w:top="140" w:right="219" w:bottom="1440" w:gutter="0" w:footer="0" w:header="0"/>
        </w:sectPr>
      </w:pPr>
    </w:p>
    <w:bookmarkStart w:id="137" w:name="page138"/>
    <w:bookmarkEnd w:id="1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 Fair value estimation</w:t>
      </w:r>
    </w:p>
    <w:p>
      <w:pPr>
        <w:spacing w:after="0" w:line="245"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color w:val="auto"/>
        </w:rPr>
        <w:t>The carrying amounts of cash and cash equivalents, receivables, accounts payable and accrued liabilities approximate to fair value due to their short-term nature. The carrying amount of the assumed contingent liability approximates to fair value as the underlying assumptions are currently similar.</w:t>
      </w:r>
    </w:p>
    <w:p>
      <w:pPr>
        <w:spacing w:after="0" w:line="194"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For financial instruments that are measured in the Consolidated Statement of Financial Position at fair value, IFRS 7 requires disclosure of fair value measurements by level of the following fair value measurement hierarchy:</w:t>
      </w:r>
    </w:p>
    <w:p>
      <w:pPr>
        <w:spacing w:after="0" w:line="194" w:lineRule="exact"/>
        <w:rPr>
          <w:sz w:val="20"/>
          <w:szCs w:val="20"/>
          <w:color w:val="auto"/>
        </w:rPr>
      </w:pPr>
    </w:p>
    <w:p>
      <w:pPr>
        <w:ind w:left="520" w:hanging="255"/>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Quoted prices (unadjusted) in active markets for identical assets or liabilities (level 1);</w:t>
      </w:r>
    </w:p>
    <w:p>
      <w:pPr>
        <w:spacing w:after="0" w:line="226" w:lineRule="exact"/>
        <w:rPr>
          <w:rFonts w:ascii="Arial" w:cs="Arial" w:eastAsia="Arial" w:hAnsi="Arial"/>
          <w:sz w:val="14"/>
          <w:szCs w:val="14"/>
          <w:color w:val="auto"/>
        </w:rPr>
      </w:pPr>
    </w:p>
    <w:p>
      <w:pPr>
        <w:ind w:left="520" w:hanging="255"/>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Inputs other than quoted prices included within level 1 that are observable for the asset or liability, either directly or indirectly (level 2); and</w:t>
      </w:r>
    </w:p>
    <w:p>
      <w:pPr>
        <w:spacing w:after="0" w:line="226" w:lineRule="exact"/>
        <w:rPr>
          <w:rFonts w:ascii="Arial" w:cs="Arial" w:eastAsia="Arial" w:hAnsi="Arial"/>
          <w:sz w:val="14"/>
          <w:szCs w:val="14"/>
          <w:color w:val="auto"/>
        </w:rPr>
      </w:pPr>
    </w:p>
    <w:p>
      <w:pPr>
        <w:ind w:left="520" w:hanging="255"/>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Inputs for the asset or liability that are not based on observable market data (level 3).</w:t>
      </w:r>
    </w:p>
    <w:p>
      <w:pPr>
        <w:spacing w:after="0" w:line="227"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For the year ended December 31, 2019, and 2018, fair value adjustments to financial instruments measure at fair value through profit and loss resulted in the recognition of finance income of £1.6 million in 2019 and a finance loss of £1.2 million in 2018.</w:t>
      </w:r>
    </w:p>
    <w:p>
      <w:pPr>
        <w:spacing w:after="0" w:line="19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ascertain the fair value of an instrument are observable, the instrument is included in level 2. If one or more of the significant inputs are not based on observable market data, the instrument is included in level 3.</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20" w:type="dxa"/>
            <w:vAlign w:val="bottom"/>
          </w:tcPr>
          <w:p>
            <w:pPr>
              <w:spacing w:after="0"/>
              <w:rPr>
                <w:sz w:val="13"/>
                <w:szCs w:val="13"/>
                <w:color w:val="auto"/>
              </w:rPr>
            </w:pPr>
          </w:p>
        </w:tc>
        <w:tc>
          <w:tcPr>
            <w:tcW w:w="116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Level 3</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6"/>
        </w:trPr>
        <w:tc>
          <w:tcPr>
            <w:tcW w:w="90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 2019</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 financial instrument</w:t>
            </w: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20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4"/>
                <w:szCs w:val="14"/>
                <w:color w:val="auto"/>
              </w:rPr>
              <w:t>Movements in Level 3 items during the years ended December 31, 2019, and 2018 are as follows: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9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9020" w:type="dxa"/>
            <w:vAlign w:val="bottom"/>
          </w:tcPr>
          <w:p>
            <w:pPr>
              <w:ind w:left="20"/>
              <w:spacing w:after="0"/>
              <w:rPr>
                <w:sz w:val="20"/>
                <w:szCs w:val="20"/>
                <w:color w:val="auto"/>
              </w:rPr>
            </w:pPr>
            <w:r>
              <w:rPr>
                <w:rFonts w:ascii="Arial" w:cs="Arial" w:eastAsia="Arial" w:hAnsi="Arial"/>
                <w:sz w:val="14"/>
                <w:szCs w:val="14"/>
                <w:b w:val="1"/>
                <w:bCs w:val="1"/>
                <w:color w:val="auto"/>
              </w:rPr>
              <w:t>Derivative financial instrument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6"/>
        </w:trPr>
        <w:tc>
          <w:tcPr>
            <w:tcW w:w="90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January 1</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2,492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21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value adjustments recognized in profit and loss</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(1,597)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01"/>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w:t>
            </w:r>
          </w:p>
        </w:tc>
        <w:tc>
          <w:tcPr>
            <w:tcW w:w="11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Further details relating to the derivative financial instrument are set out in notes 4 and 18 of these financial statements.</w:t>
      </w:r>
    </w:p>
    <w:p>
      <w:pPr>
        <w:spacing w:after="0" w:line="227"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In determining the fair value of the derivative financial instrument, the Company applied the Black Scholes model; key inputs include the share price at reporting date, estimations on timelines, volatility and risk-free rates. These assumptions and the impact of changes in these assumptions, where material, are disclosed in note 18.</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20"/>
          </w:cols>
          <w:pgMar w:left="220" w:top="140" w:right="259" w:bottom="1440" w:gutter="0" w:footer="0" w:header="0"/>
        </w:sectPr>
      </w:pPr>
    </w:p>
    <w:bookmarkStart w:id="138" w:name="page139"/>
    <w:bookmarkEnd w:id="1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3.3 Change in liabilities arising from financing activities</w:t>
      </w:r>
    </w:p>
    <w:p>
      <w:pPr>
        <w:spacing w:after="0" w:line="245"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The Company has provided a reconciliation so that changes in liabilities arising from financing activities, including both changes arising from cash flows and non-cash changes can be evaluated.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0" w:type="dxa"/>
            <w:vAlign w:val="bottom"/>
          </w:tcPr>
          <w:p>
            <w:pPr>
              <w:spacing w:after="0"/>
              <w:rPr>
                <w:sz w:val="13"/>
                <w:szCs w:val="13"/>
                <w:color w:val="auto"/>
              </w:rPr>
            </w:pPr>
          </w:p>
        </w:tc>
        <w:tc>
          <w:tcPr>
            <w:tcW w:w="99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99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Derivative financial</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996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instrument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9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January 1</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value adjustments - non cash</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December 31</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20"/>
        </w:trPr>
        <w:tc>
          <w:tcPr>
            <w:tcW w:w="10040" w:type="dxa"/>
            <w:vAlign w:val="bottom"/>
            <w:gridSpan w:val="2"/>
            <w:vMerge w:val="restart"/>
          </w:tcPr>
          <w:p>
            <w:pPr>
              <w:spacing w:after="0"/>
              <w:rPr>
                <w:sz w:val="20"/>
                <w:szCs w:val="20"/>
                <w:color w:val="auto"/>
              </w:rPr>
            </w:pPr>
            <w:r>
              <w:rPr>
                <w:rFonts w:ascii="Arial" w:cs="Arial" w:eastAsia="Arial" w:hAnsi="Arial"/>
                <w:sz w:val="14"/>
                <w:szCs w:val="14"/>
                <w:color w:val="auto"/>
              </w:rPr>
              <w:t>See note 18 for information relating to the derivative financial instrument.</w:t>
            </w: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8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996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Lease liability</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9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January 1</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4"/>
                <w:szCs w:val="14"/>
                <w:color w:val="auto"/>
              </w:rPr>
              <w:t>Capitalization of rental leases - non cash</w:t>
            </w:r>
          </w:p>
        </w:tc>
        <w:tc>
          <w:tcPr>
            <w:tcW w:w="1360" w:type="dxa"/>
            <w:vAlign w:val="bottom"/>
          </w:tcPr>
          <w:p>
            <w:pPr>
              <w:jc w:val="right"/>
              <w:ind w:right="55"/>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9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lease liability - cash</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9960" w:type="dxa"/>
            <w:vAlign w:val="bottom"/>
          </w:tcPr>
          <w:p>
            <w:pPr>
              <w:ind w:left="20"/>
              <w:spacing w:after="0"/>
              <w:rPr>
                <w:sz w:val="20"/>
                <w:szCs w:val="20"/>
                <w:color w:val="auto"/>
              </w:rPr>
            </w:pPr>
            <w:r>
              <w:rPr>
                <w:rFonts w:ascii="Arial" w:cs="Arial" w:eastAsia="Arial" w:hAnsi="Arial"/>
                <w:sz w:val="14"/>
                <w:szCs w:val="14"/>
                <w:color w:val="auto"/>
              </w:rPr>
              <w:t>At December 31</w:t>
            </w: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See note 14 and note 2.17 for information relating to the capitalized leases.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Critical accounting estimates and judgments</w:t>
      </w:r>
    </w:p>
    <w:p>
      <w:pPr>
        <w:spacing w:after="0" w:line="24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preparation of financial statements in conformity with IFRS requires the use of accounting estimates and assumptions that affect the reported amounts of assets and liabilities at the date of the financial statements and the reported amounts of income and expenses during the reporting period. Although these estimates are based on management's best knowledge of current events and actions, actual results ultimately may differ from those estimates. IFRS also requires management to exercise its judgment in the process of applying the Company's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 areas involving a higher degree of judgment or complexity, or areas where assumptions and estimates are significant to the consolidated financial statements are as follows:</w:t>
      </w:r>
    </w:p>
    <w:p>
      <w:pPr>
        <w:spacing w:after="0" w:line="119" w:lineRule="exact"/>
        <w:rPr>
          <w:sz w:val="20"/>
          <w:szCs w:val="20"/>
          <w:color w:val="auto"/>
        </w:rPr>
      </w:pPr>
    </w:p>
    <w:p>
      <w:pPr>
        <w:ind w:left="340" w:hanging="334"/>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Assumed contingent liability</w:t>
      </w:r>
    </w:p>
    <w:p>
      <w:pPr>
        <w:spacing w:after="0" w:line="11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Company has a material liability for the future payment of royalties and milestones associated with contractual liabilities on ensifentrine, acquired as part of the acquisition of Rhinopharma. The estimation of the amounts and timing of future cashflows requires the forecast of royalties payable and the estimation of the likelihood that the regulatory approval milestone will be achieved (see notes 2.12 and 20). The estimates for the assumed contingent liability are based on a discounted cash flow model. Key estimates included the calculation of deferred consideration are:</w:t>
      </w:r>
    </w:p>
    <w:p>
      <w:pPr>
        <w:spacing w:after="0" w:line="202" w:lineRule="exact"/>
        <w:rPr>
          <w:sz w:val="20"/>
          <w:szCs w:val="20"/>
          <w:color w:val="auto"/>
        </w:rPr>
      </w:pPr>
    </w:p>
    <w:p>
      <w:pPr>
        <w:ind w:left="520" w:hanging="255"/>
        <w:spacing w:after="0"/>
        <w:tabs>
          <w:tab w:leader="none" w:pos="5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development, regulatory and marketing risks associated with progressing the product to market approval in key target territories;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market size and product acceptance by clinicians, patients and reimbursement bodies;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gross and net selling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60"/>
          </w:cols>
          <w:pgMar w:left="220" w:top="140" w:right="219" w:bottom="1440" w:gutter="0" w:footer="0" w:header="0"/>
        </w:sectPr>
      </w:pPr>
    </w:p>
    <w:bookmarkStart w:id="139" w:name="page140"/>
    <w:bookmarkEnd w:id="1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 and judgments (continued)</w:t>
      </w:r>
    </w:p>
    <w:p>
      <w:pPr>
        <w:spacing w:after="0" w:line="292" w:lineRule="exact"/>
        <w:rPr>
          <w:sz w:val="20"/>
          <w:szCs w:val="20"/>
          <w:color w:val="auto"/>
        </w:rPr>
      </w:pPr>
    </w:p>
    <w:p>
      <w:pPr>
        <w:ind w:left="520" w:hanging="255"/>
        <w:spacing w:after="0"/>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launch of competitive products;</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probabilities of success; and</w:t>
      </w:r>
    </w:p>
    <w:p>
      <w:pPr>
        <w:spacing w:after="0" w:line="119" w:lineRule="exact"/>
        <w:rPr>
          <w:rFonts w:ascii="Arial" w:cs="Arial" w:eastAsia="Arial" w:hAnsi="Arial"/>
          <w:sz w:val="14"/>
          <w:szCs w:val="14"/>
          <w:color w:val="auto"/>
        </w:rPr>
      </w:pPr>
    </w:p>
    <w:p>
      <w:pPr>
        <w:ind w:left="520" w:hanging="255"/>
        <w:spacing w:after="0"/>
        <w:tabs>
          <w:tab w:leader="none" w:pos="5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time to crystallization of contingent consideration.</w:t>
      </w:r>
    </w:p>
    <w:p>
      <w:pPr>
        <w:spacing w:after="0" w:line="292" w:lineRule="exact"/>
        <w:rPr>
          <w:sz w:val="20"/>
          <w:szCs w:val="20"/>
          <w:color w:val="auto"/>
        </w:rPr>
      </w:pPr>
    </w:p>
    <w:p>
      <w:pPr>
        <w:jc w:val="both"/>
        <w:ind w:right="180"/>
        <w:spacing w:after="0" w:line="265" w:lineRule="auto"/>
        <w:rPr>
          <w:sz w:val="20"/>
          <w:szCs w:val="20"/>
          <w:color w:val="auto"/>
        </w:rPr>
      </w:pPr>
      <w:r>
        <w:rPr>
          <w:rFonts w:ascii="Arial" w:cs="Arial" w:eastAsia="Arial" w:hAnsi="Arial"/>
          <w:sz w:val="14"/>
          <w:szCs w:val="14"/>
          <w:color w:val="auto"/>
        </w:rPr>
        <w:t>When there is a change in the expected cash flows or probabilities of success, the assumed contingent liability is re-measured with the change in value recognized in the IP R&amp;D asset it relates to. This is a change in accounting policy for the year ended December 1, 2019 (see 2.17). The assumed contingent liability is measured at amortized cost with the discount unwinding in finance expense throughout the year. Actual outcomes could differ significantly from the estimates made.</w:t>
      </w:r>
    </w:p>
    <w:p>
      <w:pPr>
        <w:spacing w:after="0" w:line="7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Company has judged that the probabilities of success will change when it moves from one stage of clinical development to another. Management have determined that, for the purposes of assessing probabilities of success, the Company will move from Phase 2 to Phase 3 after an End of Phase 2 Meeting with the Food and Drug Administration ("FDA") in the US that provides confidence over ensifentrine's historical development program and planned Phase 3 program. A remeasurement of the liability at this time is likely to result in a significant increase in both the liability and the corresponding IP R&amp;D asset.The Company has previously announced that it expects to meet with the FDA in the first half of 2020. The Company notes that there is no guarantee that the meeting will take place in the timeframe anticipated or that there will be a successful outcome.</w:t>
      </w:r>
    </w:p>
    <w:p>
      <w:pPr>
        <w:spacing w:after="0" w:line="7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Should the probabilities of success and estimates of cash flows change there will be a material increase in the assumed contingent liability and corresponding IP R&amp;D asset. The amount will be dependent on feedback from the FDA and the probabilities of success applied. Should the Company determine that it has moved from Phase 2 to Phase 3 then the value of the liability could increase by between £15 million and £30 million; the increase in the value of the liability will give rise to an approximately equivalent increase in the value of the IP R&amp;D asset, as described further in Note 2.7.</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value of the assumed contingent liability as of December 31, 2019 amounted to £1.1 million. (2018: £1.0 million).</w:t>
      </w:r>
    </w:p>
    <w:p>
      <w:pPr>
        <w:spacing w:after="0" w:line="119" w:lineRule="exact"/>
        <w:rPr>
          <w:sz w:val="20"/>
          <w:szCs w:val="20"/>
          <w:color w:val="auto"/>
        </w:rPr>
      </w:pPr>
    </w:p>
    <w:p>
      <w:pPr>
        <w:ind w:left="340" w:hanging="334"/>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Valuation of the Derivative Financial Liability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In July 2016, the Company issued 31,115,926 units to new and existing investors at the placing price of £1.4365 per unit. Each unit comprises one ordinary share and one warrant.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warrants entitle the investors to subscribe for in aggregate a maximum of 12,401,262 ordinary shares.</w:t>
      </w:r>
    </w:p>
    <w:p>
      <w:pPr>
        <w:spacing w:after="0" w:line="227"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In accordance with IAS 32 and the Company’s accounting policy, as disclosed in note 2.14, the Company classified the warrants as a derivative financial liability to be presented on the Company's Consolidated Statement of Financial Position.</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fair value of these warrants is determined by applying the Black-Scholes model. Assumptions are made on inputs such as term, volatility and risk free rate in order to determine the fair value per warrant. For further details see note 18.</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Earnings per share</w:t>
      </w:r>
    </w:p>
    <w:p>
      <w:pPr>
        <w:spacing w:after="0" w:line="245"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Basic loss per ordinary share of 30.3p (2018: 18.9p and 2017: 23.4p) for the Company is calculated by dividing the loss for the year ended December 31, 2019 by the weighted average number of ordinary shares in issue of 105,326,638 as of December 31, 2019 (2018: 105,110,504 and 2017: 87,748,031). Potential ordinary shares are not treated as dilutive as the entity is loss making and such shares would be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Segmental reporting</w:t>
      </w:r>
    </w:p>
    <w:p>
      <w:pPr>
        <w:spacing w:after="0" w:line="137"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 Company’s activities are covered by one operating and reporting segment: Drug Development. There have been no changes to management’s assessment of the operating and reporting segment of the Company during the year.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All non-current assets are based in the United Kingdom.</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20"/>
          </w:cols>
          <w:pgMar w:left="220" w:top="140" w:right="259" w:bottom="1440" w:gutter="0" w:footer="0" w:header="0"/>
        </w:sectPr>
      </w:pPr>
    </w:p>
    <w:bookmarkStart w:id="140" w:name="page141"/>
    <w:bookmarkEnd w:id="1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Operating loss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14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 ended</w:t>
            </w:r>
          </w:p>
        </w:tc>
        <w:tc>
          <w:tcPr>
            <w:tcW w:w="1020" w:type="dxa"/>
            <w:vAlign w:val="bottom"/>
          </w:tcPr>
          <w:p>
            <w:pPr>
              <w:jc w:val="right"/>
              <w:ind w:right="131"/>
              <w:spacing w:after="0"/>
              <w:rPr>
                <w:sz w:val="20"/>
                <w:szCs w:val="20"/>
                <w:color w:val="auto"/>
              </w:rPr>
            </w:pPr>
            <w:r>
              <w:rPr>
                <w:rFonts w:ascii="Arial" w:cs="Arial" w:eastAsia="Arial" w:hAnsi="Arial"/>
                <w:sz w:val="11"/>
                <w:szCs w:val="11"/>
                <w:b w:val="1"/>
                <w:bCs w:val="1"/>
                <w:color w:val="auto"/>
              </w:rPr>
              <w:t>Year ended</w:t>
            </w:r>
          </w:p>
        </w:tc>
      </w:tr>
      <w:tr>
        <w:trPr>
          <w:trHeight w:val="129"/>
        </w:trPr>
        <w:tc>
          <w:tcPr>
            <w:tcW w:w="814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December 31,</w:t>
            </w: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jc w:val="right"/>
              <w:ind w:right="71"/>
              <w:spacing w:after="0"/>
              <w:rPr>
                <w:sz w:val="20"/>
                <w:szCs w:val="20"/>
                <w:color w:val="auto"/>
              </w:rPr>
            </w:pPr>
            <w:r>
              <w:rPr>
                <w:rFonts w:ascii="Arial" w:cs="Arial" w:eastAsia="Arial" w:hAnsi="Arial"/>
                <w:sz w:val="11"/>
                <w:szCs w:val="11"/>
                <w:b w:val="1"/>
                <w:bCs w:val="1"/>
                <w:color w:val="auto"/>
              </w:rPr>
              <w:t>December 31,</w:t>
            </w:r>
          </w:p>
        </w:tc>
      </w:tr>
      <w:tr>
        <w:trPr>
          <w:trHeight w:val="157"/>
        </w:trPr>
        <w:tc>
          <w:tcPr>
            <w:tcW w:w="8140" w:type="dxa"/>
            <w:vAlign w:val="bottom"/>
          </w:tcPr>
          <w:p>
            <w:pPr>
              <w:spacing w:after="0"/>
              <w:rPr>
                <w:sz w:val="13"/>
                <w:szCs w:val="13"/>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1"/>
                <w:szCs w:val="11"/>
                <w:b w:val="1"/>
                <w:bCs w:val="1"/>
                <w:color w:val="auto"/>
              </w:rPr>
              <w:t>2017</w:t>
            </w:r>
          </w:p>
        </w:tc>
      </w:tr>
      <w:tr>
        <w:trPr>
          <w:trHeight w:val="196"/>
        </w:trPr>
        <w:tc>
          <w:tcPr>
            <w:tcW w:w="814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Operating Loss is stated after charging / (crediting):</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Research and development costs: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benefits (note 8)</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4,688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3,435</w:t>
            </w: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Amortization of patents (note 12)</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111</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professional consulting and listing fees</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331</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research and development expenses</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28,149</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15,688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19,840</w:t>
            </w:r>
          </w:p>
        </w:tc>
      </w:tr>
      <w:tr>
        <w:trPr>
          <w:trHeight w:val="20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costs</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33,476</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19,294</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23,717</w:t>
            </w:r>
          </w:p>
        </w:tc>
      </w:tr>
      <w:tr>
        <w:trPr>
          <w:trHeight w:val="200"/>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General and administrative costs: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benefits (note 8)</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3,093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3,240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2,857</w:t>
            </w: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Legal, professional consulting and listing fees</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2,155</w:t>
            </w: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1,296</w:t>
            </w: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2,045</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computer software (note 12)</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w:t>
            </w: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Depreciation of property, plant and equipment (note 13)</w:t>
            </w: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7</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of right-of-use assets (note 14)</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Operating lease charge — land and buildings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1"/>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294</w:t>
            </w:r>
          </w:p>
        </w:tc>
      </w:tr>
      <w:tr>
        <w:trPr>
          <w:trHeight w:val="22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 (gain) on variations in foreign exchange rate</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36</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general and administrative expenses</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1,612</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1,373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795</w:t>
            </w:r>
          </w:p>
        </w:tc>
      </w:tr>
      <w:tr>
        <w:trPr>
          <w:trHeight w:val="196"/>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general and administrative costs</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7,607</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6,297</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6,039</w:t>
            </w:r>
          </w:p>
        </w:tc>
      </w:tr>
      <w:tr>
        <w:trPr>
          <w:trHeight w:val="201"/>
        </w:trPr>
        <w:tc>
          <w:tcPr>
            <w:tcW w:w="814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41,083</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25,591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29,756</w:t>
            </w:r>
          </w:p>
        </w:tc>
      </w:tr>
      <w:tr>
        <w:trPr>
          <w:trHeight w:val="20"/>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1440"/>
          </w:cols>
          <w:pgMar w:left="220" w:top="140" w:right="23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Directors' emoluments and staff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347345</wp:posOffset>
            </wp:positionV>
            <wp:extent cx="7274560" cy="14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7274560" cy="14351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average number of employees (excluding directors) of the Company during the year:</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and administrative</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424815</wp:posOffset>
            </wp:positionV>
            <wp:extent cx="72745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Aggregate emoluments of directors: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Salaries and other short-term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Social security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Incremental payment for additional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pension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directors' emoluments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payment charge</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Directors' emoluments including share-based payment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424815</wp:posOffset>
            </wp:positionV>
            <wp:extent cx="72745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Aggregate executive officers costs: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Wages and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Social security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payment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pension costs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executive officers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424815</wp:posOffset>
            </wp:positionV>
            <wp:extent cx="72745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Aggregate other staff costs: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Wages and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Social security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payment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2745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pension costs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other staff costs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Company considers key management personnel to comprise directors and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 ended</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r>
      <w:tr>
        <w:trPr>
          <w:trHeight w:val="15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2017</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7</w:t>
            </w:r>
          </w:p>
        </w:tc>
      </w:tr>
      <w:tr>
        <w:trPr>
          <w:trHeight w:val="221"/>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5</w:t>
            </w:r>
          </w:p>
        </w:tc>
      </w:tr>
      <w:tr>
        <w:trPr>
          <w:trHeight w:val="196"/>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12</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7"/>
        </w:trPr>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 ended</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r>
      <w:tr>
        <w:trPr>
          <w:trHeight w:val="15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2017</w:t>
            </w:r>
          </w:p>
        </w:tc>
      </w:tr>
      <w:tr>
        <w:trPr>
          <w:trHeight w:val="191"/>
        </w:trPr>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428"/>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897</w:t>
            </w:r>
          </w:p>
        </w:tc>
      </w:tr>
      <w:tr>
        <w:trPr>
          <w:trHeight w:val="216"/>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103</w:t>
            </w:r>
          </w:p>
        </w:tc>
      </w:tr>
      <w:tr>
        <w:trPr>
          <w:trHeight w:val="216"/>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221"/>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w:t>
            </w:r>
          </w:p>
        </w:tc>
      </w:tr>
      <w:tr>
        <w:trPr>
          <w:trHeight w:val="190"/>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6"/>
                <w:szCs w:val="16"/>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6"/>
                <w:szCs w:val="16"/>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1,017</w:t>
            </w:r>
          </w:p>
        </w:tc>
      </w:tr>
      <w:tr>
        <w:trPr>
          <w:trHeight w:val="221"/>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1,337</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1,037</w:t>
            </w:r>
          </w:p>
        </w:tc>
      </w:tr>
      <w:tr>
        <w:trPr>
          <w:trHeight w:val="196"/>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2,297</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2,054</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7"/>
        </w:trPr>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 ended</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r>
      <w:tr>
        <w:trPr>
          <w:trHeight w:val="15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2017</w:t>
            </w:r>
          </w:p>
        </w:tc>
      </w:tr>
      <w:tr>
        <w:trPr>
          <w:trHeight w:val="191"/>
        </w:trPr>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428"/>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864</w:t>
            </w:r>
          </w:p>
        </w:tc>
      </w:tr>
      <w:tr>
        <w:trPr>
          <w:trHeight w:val="216"/>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81</w:t>
            </w:r>
          </w:p>
        </w:tc>
      </w:tr>
      <w:tr>
        <w:trPr>
          <w:trHeight w:val="216"/>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1,332</w:t>
            </w:r>
          </w:p>
        </w:tc>
      </w:tr>
      <w:tr>
        <w:trPr>
          <w:trHeight w:val="221"/>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17</w:t>
            </w:r>
          </w:p>
        </w:tc>
      </w:tr>
      <w:tr>
        <w:trPr>
          <w:trHeight w:val="206"/>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1,728</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2,294</w:t>
            </w:r>
          </w:p>
        </w:tc>
      </w:tr>
      <w:tr>
        <w:trPr>
          <w:trHeight w:val="20"/>
        </w:trPr>
        <w:tc>
          <w:tcPr>
            <w:tcW w:w="12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7"/>
        </w:trPr>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 ended</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r>
      <w:tr>
        <w:trPr>
          <w:trHeight w:val="15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2017</w:t>
            </w:r>
          </w:p>
        </w:tc>
      </w:tr>
      <w:tr>
        <w:trPr>
          <w:trHeight w:val="191"/>
        </w:trPr>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428"/>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2,788</w:t>
            </w:r>
          </w:p>
        </w:tc>
        <w:tc>
          <w:tcPr>
            <w:tcW w:w="10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1,622</w:t>
            </w:r>
          </w:p>
        </w:tc>
        <w:tc>
          <w:tcPr>
            <w:tcW w:w="12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1,272</w:t>
            </w:r>
          </w:p>
        </w:tc>
      </w:tr>
      <w:tr>
        <w:trPr>
          <w:trHeight w:val="216"/>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101</w:t>
            </w:r>
          </w:p>
        </w:tc>
      </w:tr>
      <w:tr>
        <w:trPr>
          <w:trHeight w:val="216"/>
        </w:trPr>
        <w:tc>
          <w:tcPr>
            <w:tcW w:w="1160" w:type="dxa"/>
            <w:vAlign w:val="bottom"/>
          </w:tcPr>
          <w:p>
            <w:pPr>
              <w:jc w:val="right"/>
              <w:ind w:right="53"/>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4"/>
                <w:szCs w:val="14"/>
                <w:color w:val="auto"/>
              </w:rPr>
              <w:t>550</w:t>
            </w:r>
          </w:p>
        </w:tc>
      </w:tr>
      <w:tr>
        <w:trPr>
          <w:trHeight w:val="221"/>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21</w:t>
            </w:r>
          </w:p>
        </w:tc>
      </w:tr>
      <w:tr>
        <w:trPr>
          <w:trHeight w:val="196"/>
        </w:trPr>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3,864</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2,601</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1,944</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68" w:lineRule="exact"/>
        <w:rPr>
          <w:sz w:val="20"/>
          <w:szCs w:val="20"/>
          <w:color w:val="auto"/>
        </w:rPr>
      </w:pPr>
    </w:p>
    <w:p>
      <w:pPr>
        <w:sectPr>
          <w:pgSz w:w="11900" w:h="16838" w:orient="portrait"/>
          <w:cols w:equalWidth="0" w:num="2">
            <w:col w:w="7080" w:space="720"/>
            <w:col w:w="3660"/>
          </w:cols>
          <w:pgMar w:left="220" w:top="140" w:right="219" w:bottom="1440" w:gutter="0" w:footer="0" w:header="0"/>
        </w:sectPr>
      </w:pP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The Company operates defined contribution pension schemes for its employees and executive director. The total pension cost during the year ended December 31, 2019 was £77 thousand (2018: £63 thousand and 2017: £55 thousand). There were no prepaid or accrued contributions to the scheme at December 31, 2019 (2018 and 2017: £nil).</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460"/>
          </w:cols>
          <w:pgMar w:left="220" w:top="140" w:right="219" w:bottom="1440" w:gutter="0" w:footer="0" w:header="0"/>
          <w:type w:val="continuous"/>
        </w:sectPr>
      </w:pPr>
    </w:p>
    <w:bookmarkStart w:id="142" w:name="page143"/>
    <w:bookmarkEnd w:id="1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Finance income and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5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 ended</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c>
          <w:tcPr>
            <w:tcW w:w="0" w:type="dxa"/>
            <w:vAlign w:val="bottom"/>
          </w:tcPr>
          <w:p>
            <w:pPr>
              <w:spacing w:after="0"/>
              <w:rPr>
                <w:sz w:val="1"/>
                <w:szCs w:val="1"/>
                <w:color w:val="auto"/>
              </w:rPr>
            </w:pPr>
          </w:p>
        </w:tc>
      </w:tr>
      <w:tr>
        <w:trPr>
          <w:trHeight w:val="157"/>
        </w:trPr>
        <w:tc>
          <w:tcPr>
            <w:tcW w:w="5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2017</w:t>
            </w:r>
          </w:p>
        </w:tc>
        <w:tc>
          <w:tcPr>
            <w:tcW w:w="0" w:type="dxa"/>
            <w:vAlign w:val="bottom"/>
          </w:tcPr>
          <w:p>
            <w:pPr>
              <w:spacing w:after="0"/>
              <w:rPr>
                <w:sz w:val="1"/>
                <w:szCs w:val="1"/>
                <w:color w:val="auto"/>
              </w:rPr>
            </w:pPr>
          </w:p>
        </w:tc>
      </w:tr>
      <w:tr>
        <w:trPr>
          <w:trHeight w:val="191"/>
        </w:trPr>
        <w:tc>
          <w:tcPr>
            <w:tcW w:w="55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Finance income:</w:t>
            </w: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received on cash balances</w:t>
            </w:r>
          </w:p>
        </w:tc>
        <w:tc>
          <w:tcPr>
            <w:tcW w:w="34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861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4"/>
                <w:szCs w:val="14"/>
                <w:color w:val="auto"/>
              </w:rPr>
              <w:t>Foreign exchange gain on translating foreign currency denominated balances</w:t>
            </w:r>
          </w:p>
        </w:tc>
        <w:tc>
          <w:tcPr>
            <w:tcW w:w="22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1,922</w:t>
            </w:r>
          </w:p>
        </w:tc>
        <w:tc>
          <w:tcPr>
            <w:tcW w:w="1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adjustment on derivative financial instruments (note 18)</w:t>
            </w:r>
          </w:p>
        </w:tc>
        <w:tc>
          <w:tcPr>
            <w:tcW w:w="34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1,597</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6,650</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finance income</w:t>
            </w:r>
          </w:p>
        </w:tc>
        <w:tc>
          <w:tcPr>
            <w:tcW w:w="34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2,783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7,018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Year ended</w:t>
            </w: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c>
          <w:tcPr>
            <w:tcW w:w="0" w:type="dxa"/>
            <w:vAlign w:val="bottom"/>
          </w:tcPr>
          <w:p>
            <w:pPr>
              <w:spacing w:after="0"/>
              <w:rPr>
                <w:sz w:val="1"/>
                <w:szCs w:val="1"/>
                <w:color w:val="auto"/>
              </w:rPr>
            </w:pPr>
          </w:p>
        </w:tc>
      </w:tr>
      <w:tr>
        <w:trPr>
          <w:trHeight w:val="157"/>
        </w:trPr>
        <w:tc>
          <w:tcPr>
            <w:tcW w:w="5560" w:type="dxa"/>
            <w:vAlign w:val="bottom"/>
            <w:tcBorders>
              <w:bottom w:val="single" w:sz="8" w:color="CCEEFF"/>
            </w:tcBorders>
          </w:tcPr>
          <w:p>
            <w:pPr>
              <w:spacing w:after="0"/>
              <w:rPr>
                <w:sz w:val="13"/>
                <w:szCs w:val="13"/>
                <w:color w:val="auto"/>
              </w:rPr>
            </w:pPr>
          </w:p>
        </w:tc>
        <w:tc>
          <w:tcPr>
            <w:tcW w:w="224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2017</w:t>
            </w:r>
          </w:p>
        </w:tc>
        <w:tc>
          <w:tcPr>
            <w:tcW w:w="0" w:type="dxa"/>
            <w:vAlign w:val="bottom"/>
          </w:tcPr>
          <w:p>
            <w:pPr>
              <w:spacing w:after="0"/>
              <w:rPr>
                <w:sz w:val="1"/>
                <w:szCs w:val="1"/>
                <w:color w:val="auto"/>
              </w:rPr>
            </w:pPr>
          </w:p>
        </w:tc>
      </w:tr>
      <w:tr>
        <w:trPr>
          <w:trHeight w:val="200"/>
        </w:trPr>
        <w:tc>
          <w:tcPr>
            <w:tcW w:w="55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12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Finance expense:</w:t>
            </w:r>
          </w:p>
        </w:tc>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adjustment on derivative financial instruments (note 18)</w:t>
            </w:r>
          </w:p>
        </w:tc>
        <w:tc>
          <w:tcPr>
            <w:tcW w:w="2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1,219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560" w:type="dxa"/>
            <w:vAlign w:val="bottom"/>
          </w:tcPr>
          <w:p>
            <w:pPr>
              <w:ind w:left="20"/>
              <w:spacing w:after="0"/>
              <w:rPr>
                <w:sz w:val="20"/>
                <w:szCs w:val="20"/>
                <w:color w:val="auto"/>
              </w:rPr>
            </w:pPr>
            <w:r>
              <w:rPr>
                <w:rFonts w:ascii="Arial" w:cs="Arial" w:eastAsia="Arial" w:hAnsi="Arial"/>
                <w:sz w:val="14"/>
                <w:szCs w:val="14"/>
                <w:color w:val="auto"/>
              </w:rPr>
              <w:t>Interest on discounted lease liability</w:t>
            </w:r>
          </w:p>
        </w:tc>
        <w:tc>
          <w:tcPr>
            <w:tcW w:w="3400" w:type="dxa"/>
            <w:vAlign w:val="bottom"/>
            <w:gridSpan w:val="2"/>
          </w:tcPr>
          <w:p>
            <w:pPr>
              <w:jc w:val="right"/>
              <w:ind w:right="57"/>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loss on translating foreign currency denominated balances</w:t>
            </w:r>
          </w:p>
        </w:tc>
        <w:tc>
          <w:tcPr>
            <w:tcW w:w="34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2,392</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Unwinding of discount factor related to the assumed contingent arrangement (note 20)</w:t>
            </w:r>
          </w:p>
        </w:tc>
        <w:tc>
          <w:tcPr>
            <w:tcW w:w="2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finance expense</w:t>
            </w:r>
          </w:p>
        </w:tc>
        <w:tc>
          <w:tcPr>
            <w:tcW w:w="34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1,325</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2,465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868"/>
              <w:spacing w:after="0"/>
              <w:rPr>
                <w:sz w:val="20"/>
                <w:szCs w:val="20"/>
                <w:color w:val="auto"/>
              </w:rPr>
            </w:pPr>
            <w:r>
              <w:rPr>
                <w:rFonts w:ascii="Arial" w:cs="Arial" w:eastAsia="Arial" w:hAnsi="Arial"/>
                <w:sz w:val="14"/>
                <w:szCs w:val="14"/>
                <w:color w:val="auto"/>
              </w:rPr>
              <w:t>142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40" w:right="21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Taxation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460" w:type="dxa"/>
            <w:vAlign w:val="bottom"/>
          </w:tcPr>
          <w:p>
            <w:pPr>
              <w:spacing w:after="0"/>
              <w:rPr>
                <w:sz w:val="11"/>
                <w:szCs w:val="1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Year ended</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Year ended</w:t>
            </w:r>
          </w:p>
        </w:tc>
      </w:tr>
      <w:tr>
        <w:trPr>
          <w:trHeight w:val="157"/>
        </w:trPr>
        <w:tc>
          <w:tcPr>
            <w:tcW w:w="746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2019</w:t>
            </w:r>
          </w:p>
        </w:tc>
        <w:tc>
          <w:tcPr>
            <w:tcW w:w="1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2018</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2017</w:t>
            </w:r>
          </w:p>
        </w:tc>
      </w:tr>
      <w:tr>
        <w:trPr>
          <w:trHeight w:val="196"/>
        </w:trPr>
        <w:tc>
          <w:tcPr>
            <w:tcW w:w="746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Analysis of tax credit for the year</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Current tax:</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1"/>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U.K. tax credit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w:t>
            </w: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U.S. tax charge</w:t>
            </w:r>
          </w:p>
        </w:tc>
        <w:tc>
          <w:tcPr>
            <w:tcW w:w="1260" w:type="dxa"/>
            <w:vAlign w:val="bottom"/>
          </w:tcPr>
          <w:p>
            <w:pPr>
              <w:jc w:val="right"/>
              <w:ind w:right="54"/>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240" w:type="dxa"/>
            <w:vAlign w:val="bottom"/>
          </w:tcPr>
          <w:p>
            <w:pPr>
              <w:jc w:val="right"/>
              <w:ind w:right="34"/>
              <w:spacing w:after="0"/>
              <w:rPr>
                <w:sz w:val="20"/>
                <w:szCs w:val="20"/>
                <w:color w:val="auto"/>
              </w:rPr>
            </w:pPr>
            <w:r>
              <w:rPr>
                <w:rFonts w:ascii="Arial" w:cs="Arial" w:eastAsia="Arial" w:hAnsi="Arial"/>
                <w:sz w:val="14"/>
                <w:szCs w:val="14"/>
                <w:color w:val="auto"/>
              </w:rPr>
              <w:t>306</w:t>
            </w:r>
          </w:p>
        </w:tc>
      </w:tr>
      <w:tr>
        <w:trPr>
          <w:trHeight w:val="221"/>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in respect of prior periods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5"/>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Total tax credit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(7,265)</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(4,232)</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(4,706)</w:t>
            </w:r>
          </w:p>
        </w:tc>
      </w:tr>
      <w:tr>
        <w:trPr>
          <w:trHeight w:val="20"/>
        </w:trPr>
        <w:tc>
          <w:tcPr>
            <w:tcW w:w="7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difference between the total tax shown above and the amount calculated by applying the standard rate of tax to the loss before tax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Factors affecting the tax credit for the year</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4"/>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on ordinary activities before taxation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(39,206)</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(25,203)</w:t>
            </w:r>
          </w:p>
        </w:tc>
      </w:tr>
      <w:tr>
        <w:trPr>
          <w:trHeight w:val="232"/>
        </w:trPr>
        <w:tc>
          <w:tcPr>
            <w:tcW w:w="74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Multiplied by standard rate of corporation tax of 19% (2018: 19% and 2017: 19.25%)</w:t>
            </w:r>
          </w:p>
        </w:tc>
        <w:tc>
          <w:tcPr>
            <w:tcW w:w="1260" w:type="dxa"/>
            <w:vAlign w:val="bottom"/>
          </w:tcPr>
          <w:p>
            <w:pPr>
              <w:jc w:val="right"/>
              <w:spacing w:after="0"/>
              <w:rPr>
                <w:sz w:val="20"/>
                <w:szCs w:val="20"/>
                <w:color w:val="auto"/>
              </w:rPr>
            </w:pPr>
            <w:r>
              <w:rPr>
                <w:rFonts w:ascii="Arial" w:cs="Arial" w:eastAsia="Arial" w:hAnsi="Arial"/>
                <w:sz w:val="14"/>
                <w:szCs w:val="14"/>
                <w:color w:val="auto"/>
              </w:rPr>
              <w:t>(7,449)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(4,585)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(4,852)</w:t>
            </w:r>
          </w:p>
        </w:tc>
      </w:tr>
      <w:tr>
        <w:trPr>
          <w:trHeight w:val="221"/>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Effects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Non-deductible expenses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675</w:t>
            </w:r>
          </w:p>
        </w:tc>
      </w:tr>
      <w:tr>
        <w:trPr>
          <w:trHeight w:val="221"/>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adjustment on derivative financial instruments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Research and development incentive</w:t>
            </w:r>
          </w:p>
        </w:tc>
        <w:tc>
          <w:tcPr>
            <w:tcW w:w="1260" w:type="dxa"/>
            <w:vAlign w:val="bottom"/>
          </w:tcPr>
          <w:p>
            <w:pPr>
              <w:jc w:val="right"/>
              <w:spacing w:after="0"/>
              <w:rPr>
                <w:sz w:val="20"/>
                <w:szCs w:val="20"/>
                <w:color w:val="auto"/>
              </w:rPr>
            </w:pPr>
            <w:r>
              <w:rPr>
                <w:rFonts w:ascii="Arial" w:cs="Arial" w:eastAsia="Arial" w:hAnsi="Arial"/>
                <w:sz w:val="14"/>
                <w:szCs w:val="14"/>
                <w:color w:val="auto"/>
              </w:rPr>
              <w:t>(3,119)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(2,116)</w:t>
            </w:r>
          </w:p>
        </w:tc>
      </w:tr>
      <w:tr>
        <w:trPr>
          <w:trHeight w:val="221"/>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Temporary differences not recognized</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Difference in overseas tax rates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21"/>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losses carried forward not recognized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2,739</w:t>
            </w:r>
          </w:p>
        </w:tc>
      </w:tr>
      <w:tr>
        <w:trPr>
          <w:trHeight w:val="21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Adjustment in respect of prior periods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01"/>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tax credit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(4,706)</w:t>
            </w:r>
          </w:p>
        </w:tc>
      </w:tr>
      <w:tr>
        <w:trPr>
          <w:trHeight w:val="20"/>
        </w:trPr>
        <w:tc>
          <w:tcPr>
            <w:tcW w:w="7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U.K. corporation tax is charged at 19% (2018: 19.00% and 2017: 19.25%) and U.S. federal and state tax at 27.6% (2018: 27.6% and 2017: 35%).</w:t>
      </w:r>
    </w:p>
    <w:p>
      <w:pPr>
        <w:spacing w:after="0" w:line="227"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The following tables represent deferred tax balances recognized in the Consolidated Statement of Financial Position. There were no movements in either the deferred tax asset or the deferred tax liability.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920" w:type="dxa"/>
            <w:vAlign w:val="bottom"/>
          </w:tcPr>
          <w:p>
            <w:pPr>
              <w:spacing w:after="0"/>
              <w:rPr>
                <w:sz w:val="11"/>
                <w:szCs w:val="11"/>
                <w:color w:val="auto"/>
              </w:rPr>
            </w:pPr>
          </w:p>
        </w:tc>
        <w:tc>
          <w:tcPr>
            <w:tcW w:w="1380" w:type="dxa"/>
            <w:vAlign w:val="bottom"/>
            <w:gridSpan w:val="2"/>
          </w:tcPr>
          <w:p>
            <w:pPr>
              <w:ind w:left="120"/>
              <w:spacing w:after="0"/>
              <w:rPr>
                <w:sz w:val="20"/>
                <w:szCs w:val="20"/>
                <w:color w:val="auto"/>
              </w:rPr>
            </w:pPr>
            <w:r>
              <w:rPr>
                <w:rFonts w:ascii="Arial" w:cs="Arial" w:eastAsia="Arial" w:hAnsi="Arial"/>
                <w:sz w:val="11"/>
                <w:szCs w:val="11"/>
                <w:b w:val="1"/>
                <w:bCs w:val="1"/>
                <w:color w:val="auto"/>
              </w:rPr>
              <w:t>As at December 31,</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As at December 31,</w:t>
            </w:r>
          </w:p>
        </w:tc>
      </w:tr>
      <w:tr>
        <w:trPr>
          <w:trHeight w:val="157"/>
        </w:trPr>
        <w:tc>
          <w:tcPr>
            <w:tcW w:w="8920" w:type="dxa"/>
            <w:vAlign w:val="bottom"/>
          </w:tcPr>
          <w:p>
            <w:pPr>
              <w:spacing w:after="0"/>
              <w:rPr>
                <w:sz w:val="13"/>
                <w:szCs w:val="13"/>
                <w:color w:val="auto"/>
              </w:rPr>
            </w:pPr>
          </w:p>
        </w:tc>
        <w:tc>
          <w:tcPr>
            <w:tcW w:w="1280" w:type="dxa"/>
            <w:vAlign w:val="bottom"/>
            <w:tcBorders>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2018</w:t>
            </w:r>
          </w:p>
        </w:tc>
      </w:tr>
      <w:tr>
        <w:trPr>
          <w:trHeight w:val="196"/>
        </w:trPr>
        <w:tc>
          <w:tcPr>
            <w:tcW w:w="892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£'000s</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8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2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250</w:t>
            </w:r>
          </w:p>
        </w:tc>
      </w:tr>
      <w:tr>
        <w:trPr>
          <w:trHeight w:val="21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liabilities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201"/>
        </w:trPr>
        <w:tc>
          <w:tcPr>
            <w:tcW w:w="8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balances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360"/>
        <w:spacing w:after="0" w:line="273" w:lineRule="auto"/>
        <w:rPr>
          <w:sz w:val="20"/>
          <w:szCs w:val="20"/>
          <w:color w:val="auto"/>
        </w:rPr>
      </w:pPr>
      <w:r>
        <w:rPr>
          <w:rFonts w:ascii="Arial" w:cs="Arial" w:eastAsia="Arial" w:hAnsi="Arial"/>
          <w:sz w:val="14"/>
          <w:szCs w:val="14"/>
          <w:color w:val="auto"/>
        </w:rPr>
        <w:t>The deferred tax liability relates to the difference between the accounting and tax bases of the IP R&amp;D intangible asset. A deferred tax asset relating to UK tax losses has been recognized and offset against the liability.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that may affect future tax charges</w:t>
      </w:r>
    </w:p>
    <w:p>
      <w:pPr>
        <w:spacing w:after="0" w:line="245"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The Company has U.K. tax losses available for offset against future profits in the United Kingdom. However an additional deferred tax asset has not been recognized in respect of such items due to uncertainty of future profit streams. As of December 31, 2019, the unrecognized deferred tax asset at 17% is estimated to be £9.27 million (2018: £6.65 million at 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60"/>
          </w:cols>
          <w:pgMar w:left="220" w:top="140" w:right="21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Goodwill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700" w:type="dxa"/>
            <w:vAlign w:val="bottom"/>
          </w:tcPr>
          <w:p>
            <w:pPr>
              <w:spacing w:after="0"/>
              <w:rPr>
                <w:sz w:val="11"/>
                <w:szCs w:val="11"/>
                <w:color w:val="auto"/>
              </w:rPr>
            </w:pPr>
          </w:p>
        </w:tc>
        <w:tc>
          <w:tcPr>
            <w:tcW w:w="1500" w:type="dxa"/>
            <w:vAlign w:val="bottom"/>
            <w:gridSpan w:val="2"/>
          </w:tcPr>
          <w:p>
            <w:pPr>
              <w:ind w:left="160"/>
              <w:spacing w:after="0"/>
              <w:rPr>
                <w:sz w:val="20"/>
                <w:szCs w:val="20"/>
                <w:color w:val="auto"/>
              </w:rPr>
            </w:pPr>
            <w:r>
              <w:rPr>
                <w:rFonts w:ascii="Arial" w:cs="Arial" w:eastAsia="Arial" w:hAnsi="Arial"/>
                <w:sz w:val="11"/>
                <w:szCs w:val="11"/>
                <w:b w:val="1"/>
                <w:bCs w:val="1"/>
                <w:color w:val="auto"/>
              </w:rPr>
              <w:t>As of December 31,</w:t>
            </w:r>
          </w:p>
        </w:tc>
        <w:tc>
          <w:tcPr>
            <w:tcW w:w="1240" w:type="dxa"/>
            <w:vAlign w:val="bottom"/>
          </w:tcPr>
          <w:p>
            <w:pPr>
              <w:jc w:val="right"/>
              <w:ind w:right="39"/>
              <w:spacing w:after="0"/>
              <w:rPr>
                <w:sz w:val="20"/>
                <w:szCs w:val="20"/>
                <w:color w:val="auto"/>
              </w:rPr>
            </w:pPr>
            <w:r>
              <w:rPr>
                <w:rFonts w:ascii="Arial" w:cs="Arial" w:eastAsia="Arial" w:hAnsi="Arial"/>
                <w:sz w:val="11"/>
                <w:szCs w:val="11"/>
                <w:b w:val="1"/>
                <w:bCs w:val="1"/>
                <w:color w:val="auto"/>
              </w:rPr>
              <w:t>As of December 31,</w:t>
            </w:r>
          </w:p>
        </w:tc>
      </w:tr>
      <w:tr>
        <w:trPr>
          <w:trHeight w:val="157"/>
        </w:trPr>
        <w:tc>
          <w:tcPr>
            <w:tcW w:w="8700" w:type="dxa"/>
            <w:vAlign w:val="bottom"/>
          </w:tcPr>
          <w:p>
            <w:pPr>
              <w:spacing w:after="0"/>
              <w:rPr>
                <w:sz w:val="13"/>
                <w:szCs w:val="13"/>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2018</w:t>
            </w:r>
          </w:p>
        </w:tc>
      </w:tr>
      <w:tr>
        <w:trPr>
          <w:trHeight w:val="196"/>
        </w:trPr>
        <w:tc>
          <w:tcPr>
            <w:tcW w:w="87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14"/>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at January 1 and December 31</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441</w:t>
            </w:r>
          </w:p>
        </w:tc>
      </w:tr>
    </w:tbl>
    <w:p>
      <w:pPr>
        <w:spacing w:after="0" w:line="200" w:lineRule="exact"/>
        <w:rPr>
          <w:sz w:val="20"/>
          <w:szCs w:val="20"/>
          <w:color w:val="auto"/>
        </w:rPr>
      </w:pPr>
    </w:p>
    <w:p>
      <w:pPr>
        <w:spacing w:after="0" w:line="295" w:lineRule="exact"/>
        <w:rPr>
          <w:sz w:val="20"/>
          <w:szCs w:val="20"/>
          <w:color w:val="auto"/>
        </w:rPr>
      </w:pPr>
    </w:p>
    <w:p>
      <w:pPr>
        <w:jc w:val="both"/>
        <w:ind w:right="100"/>
        <w:spacing w:after="0" w:line="273" w:lineRule="auto"/>
        <w:rPr>
          <w:sz w:val="20"/>
          <w:szCs w:val="20"/>
          <w:color w:val="auto"/>
        </w:rPr>
      </w:pPr>
      <w:r>
        <w:rPr>
          <w:rFonts w:ascii="Arial" w:cs="Arial" w:eastAsia="Arial" w:hAnsi="Arial"/>
          <w:sz w:val="14"/>
          <w:szCs w:val="14"/>
          <w:color w:val="auto"/>
        </w:rPr>
        <w:t>Goodwill represents the excess of the purchase price over the fair value of the net assets acquired in connection with the acquisition of Rhinopharma in September 2006. Goodwill is not amortized, but is tested annually for impairment.</w:t>
      </w:r>
    </w:p>
    <w:p>
      <w:pPr>
        <w:spacing w:after="0" w:line="194"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The Company has one CGU so goodwill is tested for impairment together with its intangible assets. It was tested with reference to the Company's market capitalization as of December 31, 2019, the date of testing of IP R&amp;D and goodwill impairment. The market capitalization of the Company was approximately £65.3 million as of December 31, 2019, (2018: 92.2 million) compared to the Company's net assets of £33.9 million (2018: £63.4 million). Therefore, no impairment was required.</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Company notes that after the reduction in its share price since December 31, 2018, and before the increase by December 31, 2019, at various points in the three months to March 31, 2019, the market value of the Company was less than its net book value. The Company therefore carried out an impairment review as at March 31, 2019. From market research the Company assessed, among other inputs, potential patient numbers from likely physician prescribing patterns, price points, the time from possible launch to peak sales, script rejection, attrition rates and probability of success. The Company also carried out a sensitivity analysis on key assumptions and assessed that a reasonable change in these assumptions would not lead to the value in use falling below net book value. Consequently, management determined that the Company's value in use exceeded the carrying value of the Company's assets and that no impairment was required.</w:t>
      </w:r>
    </w:p>
    <w:p>
      <w:pPr>
        <w:spacing w:after="0" w:line="16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At various other points in the year ended December 31, 2019, the market value of the Company was less than its net book value. Consequently, management re-performed the impairment review quarterly, and identified no changes to market conditions, the competitive landscape, market research insights or other factors that would change its conclusions. As a result, management determined that the Company's value in use exceeded the carrying value of the Company's assets and that no impairment was required at those dates.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40"/>
          </w:cols>
          <w:pgMar w:left="220" w:top="140" w:right="23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 (continued)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Intangible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323"/>
              <w:spacing w:after="0"/>
              <w:rPr>
                <w:sz w:val="20"/>
                <w:szCs w:val="20"/>
                <w:color w:val="auto"/>
              </w:rPr>
            </w:pPr>
            <w:r>
              <w:rPr>
                <w:rFonts w:ascii="Arial" w:cs="Arial" w:eastAsia="Arial" w:hAnsi="Arial"/>
                <w:sz w:val="11"/>
                <w:szCs w:val="11"/>
                <w:b w:val="1"/>
                <w:bCs w:val="1"/>
                <w:color w:val="auto"/>
              </w:rPr>
              <w:t>Computer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57"/>
        </w:trPr>
        <w:tc>
          <w:tcPr>
            <w:tcW w:w="5160" w:type="dxa"/>
            <w:vAlign w:val="bottom"/>
          </w:tcPr>
          <w:p>
            <w:pPr>
              <w:spacing w:after="0"/>
              <w:rPr>
                <w:sz w:val="13"/>
                <w:szCs w:val="13"/>
                <w:color w:val="auto"/>
              </w:rPr>
            </w:pPr>
          </w:p>
        </w:tc>
        <w:tc>
          <w:tcPr>
            <w:tcW w:w="1000" w:type="dxa"/>
            <w:vAlign w:val="bottom"/>
            <w:tcBorders>
              <w:bottom w:val="single" w:sz="8" w:color="auto"/>
            </w:tcBorders>
          </w:tcPr>
          <w:p>
            <w:pPr>
              <w:jc w:val="center"/>
              <w:ind w:left="463"/>
              <w:spacing w:after="0"/>
              <w:rPr>
                <w:sz w:val="20"/>
                <w:szCs w:val="20"/>
                <w:color w:val="auto"/>
              </w:rPr>
            </w:pPr>
            <w:r>
              <w:rPr>
                <w:rFonts w:ascii="Arial" w:cs="Arial" w:eastAsia="Arial" w:hAnsi="Arial"/>
                <w:sz w:val="11"/>
                <w:szCs w:val="11"/>
                <w:b w:val="1"/>
                <w:bCs w:val="1"/>
                <w:color w:val="auto"/>
              </w:rPr>
              <w:t>IP R&amp;D</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ind w:left="323"/>
              <w:spacing w:after="0"/>
              <w:rPr>
                <w:sz w:val="20"/>
                <w:szCs w:val="20"/>
                <w:color w:val="auto"/>
              </w:rPr>
            </w:pPr>
            <w:r>
              <w:rPr>
                <w:rFonts w:ascii="Arial" w:cs="Arial" w:eastAsia="Arial" w:hAnsi="Arial"/>
                <w:sz w:val="11"/>
                <w:szCs w:val="11"/>
                <w:b w:val="1"/>
                <w:bCs w:val="1"/>
                <w:color w:val="auto"/>
              </w:rPr>
              <w:t>software</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b w:val="1"/>
                <w:bCs w:val="1"/>
                <w:color w:val="auto"/>
              </w:rPr>
              <w:t>Patents</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Total</w:t>
            </w:r>
          </w:p>
        </w:tc>
      </w:tr>
      <w:tr>
        <w:trPr>
          <w:trHeight w:val="196"/>
        </w:trPr>
        <w:tc>
          <w:tcPr>
            <w:tcW w:w="5160" w:type="dxa"/>
            <w:vAlign w:val="bottom"/>
          </w:tcPr>
          <w:p>
            <w:pPr>
              <w:spacing w:after="0"/>
              <w:rPr>
                <w:sz w:val="17"/>
                <w:szCs w:val="17"/>
                <w:color w:val="auto"/>
              </w:rPr>
            </w:pPr>
          </w:p>
        </w:tc>
        <w:tc>
          <w:tcPr>
            <w:tcW w:w="1000" w:type="dxa"/>
            <w:vAlign w:val="bottom"/>
          </w:tcPr>
          <w:p>
            <w:pPr>
              <w:jc w:val="center"/>
              <w:ind w:left="463"/>
              <w:spacing w:after="0"/>
              <w:rPr>
                <w:sz w:val="20"/>
                <w:szCs w:val="20"/>
                <w:color w:val="auto"/>
              </w:rPr>
            </w:pPr>
            <w:r>
              <w:rPr>
                <w:rFonts w:ascii="Arial" w:cs="Arial" w:eastAsia="Arial" w:hAnsi="Arial"/>
                <w:sz w:val="11"/>
                <w:szCs w:val="11"/>
                <w:b w:val="1"/>
                <w:bCs w:val="1"/>
                <w:color w:val="auto"/>
              </w:rPr>
              <w:t>£'000s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left="323"/>
              <w:spacing w:after="0"/>
              <w:rPr>
                <w:sz w:val="20"/>
                <w:szCs w:val="20"/>
                <w:color w:val="auto"/>
              </w:rPr>
            </w:pPr>
            <w:r>
              <w:rPr>
                <w:rFonts w:ascii="Arial" w:cs="Arial" w:eastAsia="Arial" w:hAnsi="Arial"/>
                <w:sz w:val="11"/>
                <w:szCs w:val="11"/>
                <w:b w:val="1"/>
                <w:bCs w:val="1"/>
                <w:color w:val="auto"/>
              </w:rPr>
              <w:t>£'000s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left="443"/>
              <w:spacing w:after="0"/>
              <w:rPr>
                <w:sz w:val="20"/>
                <w:szCs w:val="20"/>
                <w:color w:val="auto"/>
              </w:rPr>
            </w:pPr>
            <w:r>
              <w:rPr>
                <w:rFonts w:ascii="Arial" w:cs="Arial" w:eastAsia="Arial" w:hAnsi="Arial"/>
                <w:sz w:val="11"/>
                <w:szCs w:val="11"/>
                <w:b w:val="1"/>
                <w:bCs w:val="1"/>
                <w:color w:val="auto"/>
              </w:rPr>
              <w:t>£'000s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At January 1, 2018 (Restated)</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1,953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2,691</w:t>
            </w:r>
          </w:p>
        </w:tc>
      </w:tr>
      <w:tr>
        <w:trPr>
          <w:trHeight w:val="221"/>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740" w:type="dxa"/>
            <w:vAlign w:val="bottom"/>
            <w:gridSpan w:val="3"/>
            <w:shd w:val="clear" w:color="auto" w:fill="CCEEFF"/>
          </w:tcPr>
          <w:p>
            <w:pPr>
              <w:jc w:val="right"/>
              <w:ind w:right="1303"/>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255</w:t>
            </w:r>
          </w:p>
        </w:tc>
      </w:tr>
      <w:tr>
        <w:trPr>
          <w:trHeight w:val="21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Disposals</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 December 31, 2018 (Restated)</w:t>
            </w: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1,953</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2,940</w:t>
            </w:r>
          </w:p>
        </w:tc>
      </w:tr>
      <w:tr>
        <w:trPr>
          <w:trHeight w:val="206"/>
        </w:trPr>
        <w:tc>
          <w:tcPr>
            <w:tcW w:w="61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amortization</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1"/>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At January 1, 2018</w:t>
            </w:r>
          </w:p>
        </w:tc>
        <w:tc>
          <w:tcPr>
            <w:tcW w:w="1740" w:type="dxa"/>
            <w:vAlign w:val="bottom"/>
            <w:gridSpan w:val="3"/>
            <w:shd w:val="clear" w:color="auto" w:fill="CCEEFF"/>
          </w:tcPr>
          <w:p>
            <w:pPr>
              <w:jc w:val="right"/>
              <w:ind w:right="1303"/>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238</w:t>
            </w: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Charge for year</w:t>
            </w:r>
          </w:p>
        </w:tc>
        <w:tc>
          <w:tcPr>
            <w:tcW w:w="1740" w:type="dxa"/>
            <w:vAlign w:val="bottom"/>
            <w:gridSpan w:val="3"/>
          </w:tcPr>
          <w:p>
            <w:pPr>
              <w:jc w:val="right"/>
              <w:ind w:right="1303"/>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90</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At December 31, 2018</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322</w:t>
            </w:r>
          </w:p>
        </w:tc>
      </w:tr>
      <w:tr>
        <w:trPr>
          <w:trHeight w:val="212"/>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4"/>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At December 31, 2018 (Restated)</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1,953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7"/>
                <w:szCs w:val="17"/>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2,618</w:t>
            </w: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502"/>
        </w:trPr>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left="323"/>
              <w:spacing w:after="0"/>
              <w:rPr>
                <w:sz w:val="20"/>
                <w:szCs w:val="20"/>
                <w:color w:val="auto"/>
              </w:rPr>
            </w:pPr>
            <w:r>
              <w:rPr>
                <w:rFonts w:ascii="Arial" w:cs="Arial" w:eastAsia="Arial" w:hAnsi="Arial"/>
                <w:sz w:val="11"/>
                <w:szCs w:val="11"/>
                <w:b w:val="1"/>
                <w:bCs w:val="1"/>
                <w:color w:val="auto"/>
              </w:rPr>
              <w:t>Computer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7"/>
        </w:trPr>
        <w:tc>
          <w:tcPr>
            <w:tcW w:w="5160" w:type="dxa"/>
            <w:vAlign w:val="bottom"/>
          </w:tcPr>
          <w:p>
            <w:pPr>
              <w:spacing w:after="0"/>
              <w:rPr>
                <w:sz w:val="13"/>
                <w:szCs w:val="13"/>
                <w:color w:val="auto"/>
              </w:rPr>
            </w:pPr>
          </w:p>
        </w:tc>
        <w:tc>
          <w:tcPr>
            <w:tcW w:w="1000" w:type="dxa"/>
            <w:vAlign w:val="bottom"/>
            <w:tcBorders>
              <w:bottom w:val="single" w:sz="8" w:color="auto"/>
            </w:tcBorders>
          </w:tcPr>
          <w:p>
            <w:pPr>
              <w:jc w:val="center"/>
              <w:ind w:left="463"/>
              <w:spacing w:after="0"/>
              <w:rPr>
                <w:sz w:val="20"/>
                <w:szCs w:val="20"/>
                <w:color w:val="auto"/>
              </w:rPr>
            </w:pPr>
            <w:r>
              <w:rPr>
                <w:rFonts w:ascii="Arial" w:cs="Arial" w:eastAsia="Arial" w:hAnsi="Arial"/>
                <w:sz w:val="11"/>
                <w:szCs w:val="11"/>
                <w:b w:val="1"/>
                <w:bCs w:val="1"/>
                <w:color w:val="auto"/>
              </w:rPr>
              <w:t>IP R&amp;D</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ind w:left="323"/>
              <w:spacing w:after="0"/>
              <w:rPr>
                <w:sz w:val="20"/>
                <w:szCs w:val="20"/>
                <w:color w:val="auto"/>
              </w:rPr>
            </w:pPr>
            <w:r>
              <w:rPr>
                <w:rFonts w:ascii="Arial" w:cs="Arial" w:eastAsia="Arial" w:hAnsi="Arial"/>
                <w:sz w:val="11"/>
                <w:szCs w:val="11"/>
                <w:b w:val="1"/>
                <w:bCs w:val="1"/>
                <w:color w:val="auto"/>
              </w:rPr>
              <w:t>software</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b w:val="1"/>
                <w:bCs w:val="1"/>
                <w:color w:val="auto"/>
              </w:rPr>
              <w:t>Patents</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Total</w:t>
            </w:r>
          </w:p>
        </w:tc>
      </w:tr>
      <w:tr>
        <w:trPr>
          <w:trHeight w:val="196"/>
        </w:trPr>
        <w:tc>
          <w:tcPr>
            <w:tcW w:w="5160" w:type="dxa"/>
            <w:vAlign w:val="bottom"/>
          </w:tcPr>
          <w:p>
            <w:pPr>
              <w:spacing w:after="0"/>
              <w:rPr>
                <w:sz w:val="17"/>
                <w:szCs w:val="17"/>
                <w:color w:val="auto"/>
              </w:rPr>
            </w:pPr>
          </w:p>
        </w:tc>
        <w:tc>
          <w:tcPr>
            <w:tcW w:w="1000" w:type="dxa"/>
            <w:vAlign w:val="bottom"/>
          </w:tcPr>
          <w:p>
            <w:pPr>
              <w:jc w:val="center"/>
              <w:ind w:left="463"/>
              <w:spacing w:after="0"/>
              <w:rPr>
                <w:sz w:val="20"/>
                <w:szCs w:val="20"/>
                <w:color w:val="auto"/>
              </w:rPr>
            </w:pPr>
            <w:r>
              <w:rPr>
                <w:rFonts w:ascii="Arial" w:cs="Arial" w:eastAsia="Arial" w:hAnsi="Arial"/>
                <w:sz w:val="11"/>
                <w:szCs w:val="11"/>
                <w:b w:val="1"/>
                <w:bCs w:val="1"/>
                <w:color w:val="auto"/>
              </w:rPr>
              <w:t>£'000s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left="323"/>
              <w:spacing w:after="0"/>
              <w:rPr>
                <w:sz w:val="20"/>
                <w:szCs w:val="20"/>
                <w:color w:val="auto"/>
              </w:rPr>
            </w:pPr>
            <w:r>
              <w:rPr>
                <w:rFonts w:ascii="Arial" w:cs="Arial" w:eastAsia="Arial" w:hAnsi="Arial"/>
                <w:sz w:val="11"/>
                <w:szCs w:val="11"/>
                <w:b w:val="1"/>
                <w:bCs w:val="1"/>
                <w:color w:val="auto"/>
              </w:rPr>
              <w:t>£'000s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left="443"/>
              <w:spacing w:after="0"/>
              <w:rPr>
                <w:sz w:val="20"/>
                <w:szCs w:val="20"/>
                <w:color w:val="auto"/>
              </w:rPr>
            </w:pPr>
            <w:r>
              <w:rPr>
                <w:rFonts w:ascii="Arial" w:cs="Arial" w:eastAsia="Arial" w:hAnsi="Arial"/>
                <w:sz w:val="11"/>
                <w:szCs w:val="11"/>
                <w:b w:val="1"/>
                <w:bCs w:val="1"/>
                <w:color w:val="auto"/>
              </w:rPr>
              <w:t>£'000s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At January 1, 2019</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1,953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2,940</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245</w:t>
            </w:r>
          </w:p>
        </w:tc>
      </w:tr>
      <w:tr>
        <w:trPr>
          <w:trHeight w:val="19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At December 31, 2019</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3,185</w:t>
            </w:r>
          </w:p>
        </w:tc>
      </w:tr>
      <w:tr>
        <w:trPr>
          <w:trHeight w:val="212"/>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amortization</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At January 1, 2019</w:t>
            </w:r>
          </w:p>
        </w:tc>
        <w:tc>
          <w:tcPr>
            <w:tcW w:w="1740" w:type="dxa"/>
            <w:vAlign w:val="bottom"/>
            <w:gridSpan w:val="3"/>
          </w:tcPr>
          <w:p>
            <w:pPr>
              <w:jc w:val="right"/>
              <w:ind w:right="1303"/>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322</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 for year</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106</w:t>
            </w:r>
          </w:p>
        </w:tc>
      </w:tr>
      <w:tr>
        <w:trPr>
          <w:trHeight w:val="19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At December 31, 2019</w:t>
            </w: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428</w:t>
            </w:r>
          </w:p>
        </w:tc>
      </w:tr>
      <w:tr>
        <w:trPr>
          <w:trHeight w:val="212"/>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4"/>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At December 31, 2019</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1,953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7"/>
                <w:szCs w:val="17"/>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2,757</w:t>
            </w: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comprise patents, computer software and an IP R&amp;D asset that arose on the acquisition of Rhinopharma and investment in patents to protect ensifentrine.</w:t>
      </w:r>
    </w:p>
    <w:p>
      <w:pPr>
        <w:spacing w:after="0" w:line="227"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IP R&amp;D asset acquired through the business combination was initially recognized at fair value. Subsequent movements in the assumed contingent liability that relate to changes in estimated cash flows or probabilities of success are recognized as additions to the IP R&amp;D asset that it relates to. This is a change in accounting policy (see note 2.17). The asset is not amortized and is tested annually for impairment.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Patents are amortized over a period of ten years and are tested annually for impairment.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are tested for impairment with goodwill, as the Company has only one CGU. See note 11 for information about the impairment review.</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60"/>
          </w:cols>
          <w:pgMar w:left="220" w:top="140" w:right="219" w:bottom="1440" w:gutter="0" w:footer="0" w:header="0"/>
        </w:sectPr>
      </w:pPr>
    </w:p>
    <w:bookmarkStart w:id="146" w:name="page147"/>
    <w:bookmarkEnd w:id="1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Property, plant and equipment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1120" w:type="dxa"/>
            <w:vAlign w:val="bottom"/>
          </w:tcPr>
          <w:p>
            <w:pPr>
              <w:jc w:val="center"/>
              <w:ind w:left="323"/>
              <w:spacing w:after="0"/>
              <w:rPr>
                <w:sz w:val="20"/>
                <w:szCs w:val="20"/>
                <w:color w:val="auto"/>
              </w:rPr>
            </w:pPr>
            <w:r>
              <w:rPr>
                <w:rFonts w:ascii="Arial" w:cs="Arial" w:eastAsia="Arial" w:hAnsi="Arial"/>
                <w:sz w:val="11"/>
                <w:szCs w:val="11"/>
                <w:b w:val="1"/>
                <w:bCs w:val="1"/>
                <w:color w:val="auto"/>
              </w:rPr>
              <w:t>Computer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57"/>
        </w:trPr>
        <w:tc>
          <w:tcPr>
            <w:tcW w:w="8360" w:type="dxa"/>
            <w:vAlign w:val="bottom"/>
          </w:tcPr>
          <w:p>
            <w:pPr>
              <w:spacing w:after="0"/>
              <w:rPr>
                <w:sz w:val="13"/>
                <w:szCs w:val="13"/>
                <w:color w:val="auto"/>
              </w:rPr>
            </w:pPr>
          </w:p>
        </w:tc>
        <w:tc>
          <w:tcPr>
            <w:tcW w:w="1120" w:type="dxa"/>
            <w:vAlign w:val="bottom"/>
            <w:tcBorders>
              <w:bottom w:val="single" w:sz="8" w:color="auto"/>
            </w:tcBorders>
          </w:tcPr>
          <w:p>
            <w:pPr>
              <w:jc w:val="center"/>
              <w:ind w:left="343"/>
              <w:spacing w:after="0"/>
              <w:rPr>
                <w:sz w:val="20"/>
                <w:szCs w:val="20"/>
                <w:color w:val="auto"/>
              </w:rPr>
            </w:pPr>
            <w:r>
              <w:rPr>
                <w:rFonts w:ascii="Arial" w:cs="Arial" w:eastAsia="Arial" w:hAnsi="Arial"/>
                <w:sz w:val="11"/>
                <w:szCs w:val="11"/>
                <w:b w:val="1"/>
                <w:bCs w:val="1"/>
                <w:color w:val="auto"/>
              </w:rPr>
              <w:t>hardware</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Total</w:t>
            </w:r>
          </w:p>
        </w:tc>
      </w:tr>
      <w:tr>
        <w:trPr>
          <w:trHeight w:val="196"/>
        </w:trPr>
        <w:tc>
          <w:tcPr>
            <w:tcW w:w="8360" w:type="dxa"/>
            <w:vAlign w:val="bottom"/>
          </w:tcPr>
          <w:p>
            <w:pPr>
              <w:spacing w:after="0"/>
              <w:rPr>
                <w:sz w:val="17"/>
                <w:szCs w:val="17"/>
                <w:color w:val="auto"/>
              </w:rPr>
            </w:pPr>
          </w:p>
        </w:tc>
        <w:tc>
          <w:tcPr>
            <w:tcW w:w="1120" w:type="dxa"/>
            <w:vAlign w:val="bottom"/>
          </w:tcPr>
          <w:p>
            <w:pPr>
              <w:jc w:val="center"/>
              <w:ind w:left="343"/>
              <w:spacing w:after="0"/>
              <w:rPr>
                <w:sz w:val="20"/>
                <w:szCs w:val="20"/>
                <w:color w:val="auto"/>
              </w:rPr>
            </w:pPr>
            <w:r>
              <w:rPr>
                <w:rFonts w:ascii="Arial" w:cs="Arial" w:eastAsia="Arial" w:hAnsi="Arial"/>
                <w:sz w:val="11"/>
                <w:szCs w:val="11"/>
                <w:b w:val="1"/>
                <w:bCs w:val="1"/>
                <w:color w:val="auto"/>
              </w:rPr>
              <w:t>£'000s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491"/>
              <w:spacing w:after="0"/>
              <w:rPr>
                <w:sz w:val="20"/>
                <w:szCs w:val="20"/>
                <w:color w:val="auto"/>
              </w:rPr>
            </w:pPr>
            <w:r>
              <w:rPr>
                <w:rFonts w:ascii="Arial" w:cs="Arial" w:eastAsia="Arial" w:hAnsi="Arial"/>
                <w:sz w:val="11"/>
                <w:szCs w:val="11"/>
                <w:b w:val="1"/>
                <w:bCs w:val="1"/>
                <w:color w:val="auto"/>
              </w:rPr>
              <w:t>£'000s</w:t>
            </w:r>
          </w:p>
        </w:tc>
      </w:tr>
      <w:tr>
        <w:trPr>
          <w:trHeight w:val="220"/>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4"/>
                <w:szCs w:val="14"/>
                <w:color w:val="auto"/>
              </w:rPr>
              <w:t>At January 1, 2018</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26</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w:t>
            </w:r>
          </w:p>
        </w:tc>
      </w:tr>
      <w:tr>
        <w:trPr>
          <w:trHeight w:val="19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At December 31, 2018</w:t>
            </w: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39</w:t>
            </w:r>
          </w:p>
        </w:tc>
      </w:tr>
      <w:tr>
        <w:trPr>
          <w:trHeight w:val="212"/>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depreciation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0"/>
        </w:trPr>
        <w:tc>
          <w:tcPr>
            <w:tcW w:w="9480" w:type="dxa"/>
            <w:vAlign w:val="bottom"/>
            <w:gridSpan w:val="2"/>
          </w:tcPr>
          <w:p>
            <w:pPr>
              <w:ind w:left="20"/>
              <w:spacing w:after="0"/>
              <w:rPr>
                <w:sz w:val="20"/>
                <w:szCs w:val="20"/>
                <w:color w:val="auto"/>
              </w:rPr>
            </w:pPr>
            <w:r>
              <w:rPr>
                <w:rFonts w:ascii="Arial" w:cs="Arial" w:eastAsia="Arial" w:hAnsi="Arial"/>
                <w:sz w:val="14"/>
                <w:szCs w:val="14"/>
                <w:color w:val="auto"/>
              </w:rPr>
              <w:t>At January 1, 2018</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10</w:t>
            </w: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 for the year</w:t>
            </w: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r>
      <w:tr>
        <w:trPr>
          <w:trHeight w:val="196"/>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At December 31, 2018</w:t>
            </w: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w:t>
            </w:r>
          </w:p>
        </w:tc>
      </w:tr>
      <w:tr>
        <w:trPr>
          <w:trHeight w:val="212"/>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4"/>
        </w:trPr>
        <w:tc>
          <w:tcPr>
            <w:tcW w:w="9480" w:type="dxa"/>
            <w:vAlign w:val="bottom"/>
            <w:gridSpan w:val="2"/>
          </w:tcPr>
          <w:p>
            <w:pPr>
              <w:ind w:left="20"/>
              <w:spacing w:after="0"/>
              <w:rPr>
                <w:sz w:val="20"/>
                <w:szCs w:val="20"/>
                <w:color w:val="auto"/>
              </w:rPr>
            </w:pPr>
            <w:r>
              <w:rPr>
                <w:rFonts w:ascii="Arial" w:cs="Arial" w:eastAsia="Arial" w:hAnsi="Arial"/>
                <w:sz w:val="14"/>
                <w:szCs w:val="14"/>
                <w:color w:val="auto"/>
              </w:rPr>
              <w:t>At December 31, 2018</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480" w:type="dxa"/>
            <w:vAlign w:val="bottom"/>
          </w:tcPr>
          <w:p>
            <w:pPr>
              <w:jc w:val="right"/>
              <w:ind w:right="31"/>
              <w:spacing w:after="0"/>
              <w:rPr>
                <w:sz w:val="20"/>
                <w:szCs w:val="20"/>
                <w:color w:val="auto"/>
              </w:rPr>
            </w:pPr>
            <w:r>
              <w:rPr>
                <w:rFonts w:ascii="Arial" w:cs="Arial" w:eastAsia="Arial" w:hAnsi="Arial"/>
                <w:sz w:val="14"/>
                <w:szCs w:val="14"/>
                <w:color w:val="auto"/>
              </w:rPr>
              <w:t>21</w:t>
            </w:r>
          </w:p>
        </w:tc>
      </w:tr>
      <w:tr>
        <w:trPr>
          <w:trHeight w:val="20"/>
        </w:trPr>
        <w:tc>
          <w:tcPr>
            <w:tcW w:w="8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140" w:right="219" w:bottom="1440" w:gutter="0" w:footer="0" w:header="0"/>
        </w:sectPr>
      </w:pPr>
    </w:p>
    <w:p>
      <w:pPr>
        <w:spacing w:after="0" w:line="264" w:lineRule="exact"/>
        <w:rPr>
          <w:sz w:val="20"/>
          <w:szCs w:val="20"/>
          <w:color w:val="auto"/>
        </w:rPr>
      </w:pPr>
    </w:p>
    <w:p>
      <w:pPr>
        <w:ind w:left="8840"/>
        <w:spacing w:after="0"/>
        <w:rPr>
          <w:sz w:val="20"/>
          <w:szCs w:val="20"/>
          <w:color w:val="auto"/>
        </w:rPr>
      </w:pPr>
      <w:r>
        <w:rPr>
          <w:rFonts w:ascii="Arial" w:cs="Arial" w:eastAsia="Arial" w:hAnsi="Arial"/>
          <w:sz w:val="11"/>
          <w:szCs w:val="11"/>
          <w:b w:val="1"/>
          <w:bCs w:val="1"/>
          <w:color w:val="auto"/>
        </w:rPr>
        <w:t>Computer</w:t>
      </w:r>
    </w:p>
    <w:p>
      <w:pPr>
        <w:spacing w:after="0" w:line="17" w:lineRule="exact"/>
        <w:rPr>
          <w:sz w:val="20"/>
          <w:szCs w:val="20"/>
          <w:color w:val="auto"/>
        </w:rPr>
      </w:pPr>
    </w:p>
    <w:p>
      <w:pPr>
        <w:ind w:left="8860"/>
        <w:spacing w:after="0"/>
        <w:rPr>
          <w:sz w:val="20"/>
          <w:szCs w:val="20"/>
          <w:color w:val="auto"/>
        </w:rPr>
      </w:pPr>
      <w:r>
        <w:rPr>
          <w:rFonts w:ascii="Arial" w:cs="Arial" w:eastAsia="Arial" w:hAnsi="Arial"/>
          <w:sz w:val="11"/>
          <w:szCs w:val="11"/>
          <w:b w:val="1"/>
          <w:bCs w:val="1"/>
          <w:color w:val="auto"/>
        </w:rPr>
        <w:t>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13335</wp:posOffset>
            </wp:positionV>
            <wp:extent cx="95123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951230" cy="6985"/>
                    </a:xfrm>
                    <a:prstGeom prst="rect">
                      <a:avLst/>
                    </a:prstGeom>
                    <a:noFill/>
                  </pic:spPr>
                </pic:pic>
              </a:graphicData>
            </a:graphic>
          </wp:anchor>
        </w:drawing>
      </w:r>
    </w:p>
    <w:p>
      <w:pPr>
        <w:spacing w:after="0" w:line="55" w:lineRule="exact"/>
        <w:rPr>
          <w:sz w:val="20"/>
          <w:szCs w:val="20"/>
          <w:color w:val="auto"/>
        </w:rPr>
      </w:pPr>
    </w:p>
    <w:p>
      <w:pPr>
        <w:ind w:left="8940"/>
        <w:spacing w:after="0"/>
        <w:rPr>
          <w:sz w:val="20"/>
          <w:szCs w:val="20"/>
          <w:color w:val="auto"/>
        </w:rPr>
      </w:pPr>
      <w:r>
        <w:rPr>
          <w:rFonts w:ascii="Arial" w:cs="Arial" w:eastAsia="Arial" w:hAnsi="Arial"/>
          <w:sz w:val="11"/>
          <w:szCs w:val="11"/>
          <w:b w:val="1"/>
          <w:bCs w:val="1"/>
          <w:color w:val="auto"/>
        </w:rPr>
        <w:t>£'000s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22225</wp:posOffset>
            </wp:positionV>
            <wp:extent cx="93726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937260" cy="698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£'000s</w:t>
      </w:r>
    </w:p>
    <w:p>
      <w:pPr>
        <w:spacing w:after="0" w:line="45" w:lineRule="exact"/>
        <w:rPr>
          <w:sz w:val="20"/>
          <w:szCs w:val="20"/>
          <w:color w:val="auto"/>
        </w:rPr>
      </w:pPr>
    </w:p>
    <w:p>
      <w:pPr>
        <w:sectPr>
          <w:pgSz w:w="11900" w:h="16838" w:orient="portrait"/>
          <w:cols w:equalWidth="0" w:num="2">
            <w:col w:w="9800" w:space="720"/>
            <w:col w:w="940"/>
          </w:cols>
          <w:pgMar w:left="220" w:top="140" w:right="2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46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4"/>
                <w:szCs w:val="14"/>
                <w:color w:val="auto"/>
              </w:rPr>
              <w:t>At January 1, 2019</w:t>
            </w:r>
          </w:p>
        </w:tc>
        <w:tc>
          <w:tcPr>
            <w:tcW w:w="6140" w:type="dxa"/>
            <w:vAlign w:val="bottom"/>
            <w:gridSpan w:val="2"/>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46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6"/>
        </w:trPr>
        <w:tc>
          <w:tcPr>
            <w:tcW w:w="3720" w:type="dxa"/>
            <w:vAlign w:val="bottom"/>
          </w:tcPr>
          <w:p>
            <w:pPr>
              <w:ind w:left="20"/>
              <w:spacing w:after="0"/>
              <w:rPr>
                <w:sz w:val="20"/>
                <w:szCs w:val="20"/>
                <w:color w:val="auto"/>
              </w:rPr>
            </w:pPr>
            <w:r>
              <w:rPr>
                <w:rFonts w:ascii="Arial" w:cs="Arial" w:eastAsia="Arial" w:hAnsi="Arial"/>
                <w:sz w:val="14"/>
                <w:szCs w:val="14"/>
                <w:color w:val="auto"/>
              </w:rPr>
              <w:t>At December 31, 2019</w:t>
            </w:r>
          </w:p>
        </w:tc>
        <w:tc>
          <w:tcPr>
            <w:tcW w:w="6140" w:type="dxa"/>
            <w:vAlign w:val="bottom"/>
            <w:gridSpan w:val="2"/>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 depreciation</w:t>
            </w:r>
          </w:p>
        </w:tc>
        <w:tc>
          <w:tcPr>
            <w:tcW w:w="46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4"/>
                <w:szCs w:val="14"/>
                <w:color w:val="auto"/>
              </w:rPr>
              <w:t>At January 1, 2019</w:t>
            </w:r>
          </w:p>
        </w:tc>
        <w:tc>
          <w:tcPr>
            <w:tcW w:w="6140" w:type="dxa"/>
            <w:vAlign w:val="bottom"/>
            <w:gridSpan w:val="2"/>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 for the year</w:t>
            </w:r>
          </w:p>
        </w:tc>
        <w:tc>
          <w:tcPr>
            <w:tcW w:w="46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3720" w:type="dxa"/>
            <w:vAlign w:val="bottom"/>
          </w:tcPr>
          <w:p>
            <w:pPr>
              <w:ind w:left="20"/>
              <w:spacing w:after="0"/>
              <w:rPr>
                <w:sz w:val="20"/>
                <w:szCs w:val="20"/>
                <w:color w:val="auto"/>
              </w:rPr>
            </w:pPr>
            <w:r>
              <w:rPr>
                <w:rFonts w:ascii="Arial" w:cs="Arial" w:eastAsia="Arial" w:hAnsi="Arial"/>
                <w:sz w:val="14"/>
                <w:szCs w:val="14"/>
                <w:color w:val="auto"/>
              </w:rPr>
              <w:t>At December 31, 2019</w:t>
            </w:r>
          </w:p>
        </w:tc>
        <w:tc>
          <w:tcPr>
            <w:tcW w:w="6140" w:type="dxa"/>
            <w:vAlign w:val="bottom"/>
            <w:gridSpan w:val="2"/>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2"/>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46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20" w:type="dxa"/>
            <w:vAlign w:val="bottom"/>
          </w:tcPr>
          <w:p>
            <w:pPr>
              <w:ind w:left="20"/>
              <w:spacing w:after="0"/>
              <w:rPr>
                <w:sz w:val="20"/>
                <w:szCs w:val="20"/>
                <w:color w:val="auto"/>
              </w:rPr>
            </w:pPr>
            <w:r>
              <w:rPr>
                <w:rFonts w:ascii="Arial" w:cs="Arial" w:eastAsia="Arial" w:hAnsi="Arial"/>
                <w:sz w:val="14"/>
                <w:szCs w:val="14"/>
                <w:color w:val="auto"/>
              </w:rPr>
              <w:t>At December 31, 2019</w:t>
            </w:r>
          </w:p>
        </w:tc>
        <w:tc>
          <w:tcPr>
            <w:tcW w:w="6140" w:type="dxa"/>
            <w:vAlign w:val="bottom"/>
            <w:gridSpan w:val="2"/>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640" w:type="dxa"/>
            <w:vAlign w:val="bottom"/>
            <w:vMerge w:val="restart"/>
          </w:tcPr>
          <w:p>
            <w:pPr>
              <w:jc w:val="right"/>
              <w:ind w:right="2428"/>
              <w:spacing w:after="0"/>
              <w:rPr>
                <w:sz w:val="20"/>
                <w:szCs w:val="20"/>
                <w:color w:val="auto"/>
              </w:rPr>
            </w:pPr>
            <w:r>
              <w:rPr>
                <w:rFonts w:ascii="Arial" w:cs="Arial" w:eastAsia="Arial" w:hAnsi="Arial"/>
                <w:sz w:val="14"/>
                <w:szCs w:val="14"/>
                <w:color w:val="auto"/>
              </w:rPr>
              <w:t>146</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7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40" w:right="219" w:bottom="1440" w:gutter="0" w:footer="0" w:header="0"/>
          <w:type w:val="continuous"/>
        </w:sectPr>
      </w:pPr>
    </w:p>
    <w:bookmarkStart w:id="147" w:name="page148"/>
    <w:bookmarkEnd w:id="1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Right-of-use assets - property leases</w:t>
      </w:r>
    </w:p>
    <w:p>
      <w:pPr>
        <w:spacing w:after="0" w:line="137" w:lineRule="exact"/>
        <w:rPr>
          <w:sz w:val="20"/>
          <w:szCs w:val="20"/>
          <w:color w:val="auto"/>
        </w:rPr>
      </w:pPr>
    </w:p>
    <w:p>
      <w:pPr>
        <w:ind w:right="540"/>
        <w:spacing w:after="0" w:line="273" w:lineRule="auto"/>
        <w:rPr>
          <w:sz w:val="20"/>
          <w:szCs w:val="20"/>
          <w:color w:val="auto"/>
        </w:rPr>
      </w:pPr>
      <w:r>
        <w:rPr>
          <w:rFonts w:ascii="Arial" w:cs="Arial" w:eastAsia="Arial" w:hAnsi="Arial"/>
          <w:sz w:val="14"/>
          <w:szCs w:val="14"/>
          <w:color w:val="auto"/>
        </w:rPr>
        <w:t>The right-of-use asset relates to rented office space in London and New York where the Company generally enters in to leases for terms of less than three years. Before the adoption of IFRS 16 these leases were classified as operating leases.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Statement of Financial Position shows the following amounts relating to leases: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8340" w:type="dxa"/>
            <w:vAlign w:val="bottom"/>
          </w:tcPr>
          <w:p>
            <w:pPr>
              <w:spacing w:after="0"/>
              <w:rPr>
                <w:sz w:val="11"/>
                <w:szCs w:val="11"/>
                <w:color w:val="auto"/>
              </w:rPr>
            </w:pPr>
          </w:p>
        </w:tc>
        <w:tc>
          <w:tcPr>
            <w:tcW w:w="1620" w:type="dxa"/>
            <w:vAlign w:val="bottom"/>
            <w:gridSpan w:val="2"/>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Pr>
          <w:p>
            <w:pPr>
              <w:spacing w:after="0"/>
              <w:rPr>
                <w:sz w:val="11"/>
                <w:szCs w:val="11"/>
                <w:color w:val="auto"/>
              </w:rPr>
            </w:pPr>
          </w:p>
        </w:tc>
      </w:tr>
      <w:tr>
        <w:trPr>
          <w:trHeight w:val="157"/>
        </w:trPr>
        <w:tc>
          <w:tcPr>
            <w:tcW w:w="8340" w:type="dxa"/>
            <w:vAlign w:val="bottom"/>
          </w:tcPr>
          <w:p>
            <w:pPr>
              <w:spacing w:after="0"/>
              <w:rPr>
                <w:sz w:val="13"/>
                <w:szCs w:val="13"/>
                <w:color w:val="auto"/>
              </w:rPr>
            </w:pPr>
          </w:p>
        </w:tc>
        <w:tc>
          <w:tcPr>
            <w:tcW w:w="15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rPr>
              <w:t>As of January 1, 2019*</w:t>
            </w:r>
          </w:p>
        </w:tc>
      </w:tr>
      <w:tr>
        <w:trPr>
          <w:trHeight w:val="196"/>
        </w:trPr>
        <w:tc>
          <w:tcPr>
            <w:tcW w:w="834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480" w:type="dxa"/>
            <w:vAlign w:val="bottom"/>
          </w:tcPr>
          <w:p>
            <w:pPr>
              <w:jc w:val="right"/>
              <w:ind w:right="512"/>
              <w:spacing w:after="0"/>
              <w:rPr>
                <w:sz w:val="20"/>
                <w:szCs w:val="20"/>
                <w:color w:val="auto"/>
              </w:rPr>
            </w:pPr>
            <w:r>
              <w:rPr>
                <w:rFonts w:ascii="Arial" w:cs="Arial" w:eastAsia="Arial" w:hAnsi="Arial"/>
                <w:sz w:val="11"/>
                <w:szCs w:val="11"/>
                <w:b w:val="1"/>
                <w:bCs w:val="1"/>
                <w:color w:val="auto"/>
              </w:rPr>
              <w:t>£'000s</w:t>
            </w: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Right-of-use assets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Right-of-use assets</w:t>
            </w: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971</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326</w:t>
            </w:r>
          </w:p>
        </w:tc>
      </w:tr>
      <w:tr>
        <w:trPr>
          <w:trHeight w:val="196"/>
        </w:trPr>
        <w:tc>
          <w:tcPr>
            <w:tcW w:w="83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971</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liabilities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0"/>
        </w:trPr>
        <w:tc>
          <w:tcPr>
            <w:tcW w:w="8340" w:type="dxa"/>
            <w:vAlign w:val="bottom"/>
          </w:tcPr>
          <w:p>
            <w:pPr>
              <w:ind w:left="20"/>
              <w:spacing w:after="0"/>
              <w:rPr>
                <w:sz w:val="20"/>
                <w:szCs w:val="20"/>
                <w:color w:val="auto"/>
              </w:rPr>
            </w:pPr>
            <w:r>
              <w:rPr>
                <w:rFonts w:ascii="Arial" w:cs="Arial" w:eastAsia="Arial" w:hAnsi="Arial"/>
                <w:sz w:val="14"/>
                <w:szCs w:val="14"/>
                <w:color w:val="auto"/>
              </w:rPr>
              <w:t>Current</w:t>
            </w:r>
          </w:p>
        </w:tc>
        <w:tc>
          <w:tcPr>
            <w:tcW w:w="150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 Current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r>
      <w:tr>
        <w:trPr>
          <w:trHeight w:val="196"/>
        </w:trPr>
        <w:tc>
          <w:tcPr>
            <w:tcW w:w="834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Additions to the right-of-use assets were £1,047,000 and were recognized when the Company was reasonably certain to extend the leases. The additions related to both of the Company's office locations, both of which agreements have similar terms and conditions.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To calculate the value of the lease liabilities the Company applied a discount rate of 8%.</w:t>
      </w:r>
    </w:p>
    <w:p>
      <w:pPr>
        <w:spacing w:after="0" w:line="98"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The leases end in 2021 and 2022 and include options to extend them. The Company has determined it is not yet reasonably certain to operate the option to extend the leases and so has recognized lease payments only to these points in its calculation of the lease liabilities.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The right-of-use lease assets are depreciated over the term of the leases.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Statement of Comprehensive Income includes the following amounts relating to leases: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8340" w:type="dxa"/>
            <w:vAlign w:val="bottom"/>
          </w:tcPr>
          <w:p>
            <w:pPr>
              <w:spacing w:after="0"/>
              <w:rPr>
                <w:sz w:val="11"/>
                <w:szCs w:val="11"/>
                <w:color w:val="auto"/>
              </w:rPr>
            </w:pPr>
          </w:p>
        </w:tc>
        <w:tc>
          <w:tcPr>
            <w:tcW w:w="1620" w:type="dxa"/>
            <w:vAlign w:val="bottom"/>
            <w:gridSpan w:val="2"/>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1480" w:type="dxa"/>
            <w:vAlign w:val="bottom"/>
          </w:tcPr>
          <w:p>
            <w:pPr>
              <w:ind w:left="40"/>
              <w:spacing w:after="0"/>
              <w:rPr>
                <w:sz w:val="20"/>
                <w:szCs w:val="20"/>
                <w:color w:val="auto"/>
              </w:rPr>
            </w:pPr>
            <w:r>
              <w:rPr>
                <w:rFonts w:ascii="Arial" w:cs="Arial" w:eastAsia="Arial" w:hAnsi="Arial"/>
                <w:sz w:val="11"/>
                <w:szCs w:val="11"/>
                <w:b w:val="1"/>
                <w:bCs w:val="1"/>
                <w:color w:val="auto"/>
              </w:rPr>
              <w:t>Year ended December 31,</w:t>
            </w:r>
          </w:p>
        </w:tc>
      </w:tr>
      <w:tr>
        <w:trPr>
          <w:trHeight w:val="157"/>
        </w:trPr>
        <w:tc>
          <w:tcPr>
            <w:tcW w:w="8340" w:type="dxa"/>
            <w:vAlign w:val="bottom"/>
          </w:tcPr>
          <w:p>
            <w:pPr>
              <w:spacing w:after="0"/>
              <w:rPr>
                <w:sz w:val="13"/>
                <w:szCs w:val="13"/>
                <w:color w:val="auto"/>
              </w:rPr>
            </w:pPr>
          </w:p>
        </w:tc>
        <w:tc>
          <w:tcPr>
            <w:tcW w:w="15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2018</w:t>
            </w:r>
          </w:p>
        </w:tc>
      </w:tr>
      <w:tr>
        <w:trPr>
          <w:trHeight w:val="196"/>
        </w:trPr>
        <w:tc>
          <w:tcPr>
            <w:tcW w:w="834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charge of right-of-use assets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Right-of-use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w:t>
            </w:r>
          </w:p>
        </w:tc>
      </w:tr>
      <w:tr>
        <w:trPr>
          <w:trHeight w:val="196"/>
        </w:trPr>
        <w:tc>
          <w:tcPr>
            <w:tcW w:w="83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(including finance cost)</w:t>
            </w:r>
          </w:p>
        </w:tc>
        <w:tc>
          <w:tcPr>
            <w:tcW w:w="15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w:t>
            </w:r>
          </w:p>
        </w:tc>
      </w:tr>
      <w:tr>
        <w:trPr>
          <w:trHeight w:val="204"/>
        </w:trPr>
        <w:tc>
          <w:tcPr>
            <w:tcW w:w="8340" w:type="dxa"/>
            <w:vAlign w:val="bottom"/>
          </w:tcPr>
          <w:p>
            <w:pPr>
              <w:ind w:left="20"/>
              <w:spacing w:after="0"/>
              <w:rPr>
                <w:sz w:val="20"/>
                <w:szCs w:val="20"/>
                <w:color w:val="auto"/>
              </w:rPr>
            </w:pPr>
            <w:r>
              <w:rPr>
                <w:rFonts w:ascii="Arial" w:cs="Arial" w:eastAsia="Arial" w:hAnsi="Arial"/>
                <w:sz w:val="14"/>
                <w:szCs w:val="14"/>
                <w:color w:val="auto"/>
              </w:rPr>
              <w:t>Expense relating to short-term leases (included in general and administrative expenses)</w:t>
            </w:r>
          </w:p>
        </w:tc>
        <w:tc>
          <w:tcPr>
            <w:tcW w:w="1500" w:type="dxa"/>
            <w:vAlign w:val="bottom"/>
          </w:tcPr>
          <w:p>
            <w:pPr>
              <w:jc w:val="right"/>
              <w:ind w:right="54"/>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1480" w:type="dxa"/>
            <w:vAlign w:val="bottom"/>
          </w:tcPr>
          <w:p>
            <w:pPr>
              <w:ind w:left="1220"/>
              <w:spacing w:after="0"/>
              <w:rPr>
                <w:sz w:val="20"/>
                <w:szCs w:val="20"/>
                <w:color w:val="auto"/>
              </w:rPr>
            </w:pPr>
            <w:r>
              <w:rPr>
                <w:rFonts w:ascii="Arial" w:cs="Arial" w:eastAsia="Arial" w:hAnsi="Arial"/>
                <w:sz w:val="14"/>
                <w:szCs w:val="14"/>
                <w:color w:val="auto"/>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total cash outflow for leases in 2019 was £492,000.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60"/>
          </w:cols>
          <w:pgMar w:left="220" w:top="140" w:right="219" w:bottom="1440" w:gutter="0" w:footer="0" w:header="0"/>
        </w:sectPr>
      </w:pPr>
    </w:p>
    <w:bookmarkStart w:id="148" w:name="page149"/>
    <w:bookmarkEnd w:id="1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Prepayments and other receivables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0" w:type="dxa"/>
            <w:vAlign w:val="bottom"/>
            <w:gridSpan w:val="7"/>
          </w:tcPr>
          <w:p>
            <w:pPr>
              <w:ind w:left="40"/>
              <w:spacing w:after="0"/>
              <w:rPr>
                <w:sz w:val="20"/>
                <w:szCs w:val="20"/>
                <w:color w:val="auto"/>
              </w:rPr>
            </w:pPr>
            <w:r>
              <w:rPr>
                <w:rFonts w:ascii="Arial" w:cs="Arial" w:eastAsia="Arial" w:hAnsi="Arial"/>
                <w:sz w:val="11"/>
                <w:szCs w:val="11"/>
                <w:b w:val="1"/>
                <w:bCs w:val="1"/>
                <w:color w:val="auto"/>
              </w:rPr>
              <w:t>As of December 31,   As of December 31,</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00" w:type="dxa"/>
            <w:vAlign w:val="bottom"/>
            <w:gridSpan w:val="4"/>
          </w:tcPr>
          <w:p>
            <w:pPr>
              <w:jc w:val="right"/>
              <w:ind w:right="275"/>
              <w:spacing w:after="0"/>
              <w:rPr>
                <w:sz w:val="20"/>
                <w:szCs w:val="20"/>
                <w:color w:val="auto"/>
              </w:rPr>
            </w:pPr>
            <w:r>
              <w:rPr>
                <w:rFonts w:ascii="Arial" w:cs="Arial" w:eastAsia="Arial" w:hAnsi="Arial"/>
                <w:sz w:val="11"/>
                <w:szCs w:val="11"/>
                <w:b w:val="1"/>
                <w:bCs w:val="1"/>
                <w:color w:val="auto"/>
              </w:rPr>
              <w:t>2019</w:t>
            </w:r>
          </w:p>
        </w:tc>
        <w:tc>
          <w:tcPr>
            <w:tcW w:w="1340" w:type="dxa"/>
            <w:vAlign w:val="bottom"/>
            <w:gridSpan w:val="3"/>
          </w:tcPr>
          <w:p>
            <w:pPr>
              <w:jc w:val="right"/>
              <w:ind w:right="355"/>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Borders>
              <w:top w:val="single" w:sz="8" w:color="auto"/>
            </w:tcBorders>
            <w:gridSpan w:val="3"/>
          </w:tcPr>
          <w:p>
            <w:pPr>
              <w:jc w:val="center"/>
              <w:ind w:left="38"/>
              <w:spacing w:after="0"/>
              <w:rPr>
                <w:sz w:val="20"/>
                <w:szCs w:val="20"/>
                <w:color w:val="auto"/>
              </w:rPr>
            </w:pPr>
            <w:r>
              <w:rPr>
                <w:rFonts w:ascii="Arial" w:cs="Arial" w:eastAsia="Arial" w:hAnsi="Arial"/>
                <w:sz w:val="11"/>
                <w:szCs w:val="11"/>
                <w:b w:val="1"/>
                <w:bCs w:val="1"/>
                <w:color w:val="auto"/>
              </w:rPr>
              <w:t>£'000s</w:t>
            </w: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rPr>
              <w:t>£'000s</w:t>
            </w:r>
          </w:p>
        </w:tc>
        <w:tc>
          <w:tcPr>
            <w:tcW w:w="0" w:type="dxa"/>
            <w:vAlign w:val="bottom"/>
          </w:tcPr>
          <w:p>
            <w:pPr>
              <w:spacing w:after="0"/>
              <w:rPr>
                <w:sz w:val="1"/>
                <w:szCs w:val="1"/>
                <w:color w:val="auto"/>
              </w:rPr>
            </w:pPr>
          </w:p>
        </w:tc>
      </w:tr>
      <w:tr>
        <w:trPr>
          <w:trHeight w:val="220"/>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Prepayments</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1340" w:type="dxa"/>
            <w:vAlign w:val="bottom"/>
            <w:gridSpan w:val="3"/>
            <w:shd w:val="clear" w:color="auto" w:fill="CCEEFF"/>
          </w:tcPr>
          <w:p>
            <w:pPr>
              <w:jc w:val="right"/>
              <w:ind w:right="15"/>
              <w:spacing w:after="0"/>
              <w:rPr>
                <w:sz w:val="20"/>
                <w:szCs w:val="20"/>
                <w:color w:val="auto"/>
              </w:rPr>
            </w:pPr>
            <w:r>
              <w:rPr>
                <w:rFonts w:ascii="Arial" w:cs="Arial" w:eastAsia="Arial" w:hAnsi="Arial"/>
                <w:sz w:val="14"/>
                <w:szCs w:val="14"/>
                <w:color w:val="auto"/>
              </w:rPr>
              <w:t>1,362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 receivables</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1,461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1,101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 prepayments and other receivables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1340" w:type="dxa"/>
            <w:vAlign w:val="bottom"/>
            <w:gridSpan w:val="3"/>
            <w:shd w:val="clear" w:color="auto" w:fill="CCEEFF"/>
          </w:tcPr>
          <w:p>
            <w:pPr>
              <w:jc w:val="right"/>
              <w:ind w:right="15"/>
              <w:spacing w:after="0"/>
              <w:rPr>
                <w:sz w:val="20"/>
                <w:szCs w:val="20"/>
                <w:color w:val="auto"/>
              </w:rPr>
            </w:pPr>
            <w:r>
              <w:rPr>
                <w:rFonts w:ascii="Arial" w:cs="Arial" w:eastAsia="Arial" w:hAnsi="Arial"/>
                <w:sz w:val="14"/>
                <w:szCs w:val="14"/>
                <w:color w:val="auto"/>
              </w:rPr>
              <w:t>2,463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The prepayments balance includes prepayments for insurance and clinical activities.</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400" w:type="dxa"/>
            <w:vAlign w:val="bottom"/>
            <w:gridSpan w:val="3"/>
            <w:vMerge w:val="continue"/>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16. Share Capital</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400" w:type="dxa"/>
            <w:vAlign w:val="bottom"/>
            <w:gridSpan w:val="3"/>
          </w:tcPr>
          <w:p>
            <w:pPr>
              <w:spacing w:after="0"/>
              <w:rPr>
                <w:sz w:val="20"/>
                <w:szCs w:val="20"/>
                <w:color w:val="auto"/>
              </w:rPr>
            </w:pPr>
            <w:r>
              <w:rPr>
                <w:rFonts w:ascii="Arial" w:cs="Arial" w:eastAsia="Arial" w:hAnsi="Arial"/>
                <w:sz w:val="14"/>
                <w:szCs w:val="14"/>
                <w:color w:val="auto"/>
              </w:rPr>
              <w:t>The movements in the Company's share capital are summarized below:</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5"/>
          </w:tcPr>
          <w:p>
            <w:pPr>
              <w:jc w:val="center"/>
              <w:ind w:right="515"/>
              <w:spacing w:after="0"/>
              <w:rPr>
                <w:sz w:val="20"/>
                <w:szCs w:val="20"/>
                <w:color w:val="auto"/>
              </w:rPr>
            </w:pPr>
            <w:r>
              <w:rPr>
                <w:rFonts w:ascii="Arial" w:cs="Arial" w:eastAsia="Arial" w:hAnsi="Arial"/>
                <w:sz w:val="13"/>
                <w:szCs w:val="13"/>
                <w:b w:val="1"/>
                <w:bCs w:val="1"/>
                <w:color w:val="auto"/>
                <w:w w:val="98"/>
              </w:rPr>
              <w:t>Number of</w:t>
            </w:r>
          </w:p>
        </w:tc>
        <w:tc>
          <w:tcPr>
            <w:tcW w:w="136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8"/>
              </w:rPr>
              <w:t>Share Capital</w:t>
            </w:r>
          </w:p>
        </w:tc>
        <w:tc>
          <w:tcPr>
            <w:tcW w:w="0" w:type="dxa"/>
            <w:vAlign w:val="bottom"/>
          </w:tcPr>
          <w:p>
            <w:pPr>
              <w:spacing w:after="0"/>
              <w:rPr>
                <w:sz w:val="1"/>
                <w:szCs w:val="1"/>
                <w:color w:val="auto"/>
              </w:rPr>
            </w:pPr>
          </w:p>
        </w:tc>
      </w:tr>
      <w:tr>
        <w:trPr>
          <w:trHeight w:val="17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Date</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511"/>
              <w:spacing w:after="0"/>
              <w:rPr>
                <w:sz w:val="20"/>
                <w:szCs w:val="20"/>
                <w:color w:val="auto"/>
              </w:rPr>
            </w:pPr>
            <w:r>
              <w:rPr>
                <w:rFonts w:ascii="Arial" w:cs="Arial" w:eastAsia="Arial" w:hAnsi="Arial"/>
                <w:sz w:val="13"/>
                <w:szCs w:val="13"/>
                <w:b w:val="1"/>
                <w:bCs w:val="1"/>
                <w:color w:val="auto"/>
                <w:w w:val="97"/>
              </w:rPr>
              <w:t>Description</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ind w:left="835"/>
              <w:spacing w:after="0"/>
              <w:rPr>
                <w:sz w:val="20"/>
                <w:szCs w:val="20"/>
                <w:color w:val="auto"/>
              </w:rPr>
            </w:pPr>
            <w:r>
              <w:rPr>
                <w:rFonts w:ascii="Arial" w:cs="Arial" w:eastAsia="Arial" w:hAnsi="Arial"/>
                <w:sz w:val="13"/>
                <w:szCs w:val="13"/>
                <w:b w:val="1"/>
                <w:bCs w:val="1"/>
                <w:color w:val="auto"/>
              </w:rPr>
              <w:t>shares</w:t>
            </w:r>
          </w:p>
        </w:tc>
        <w:tc>
          <w:tcPr>
            <w:tcW w:w="4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amounts in £'000s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400" w:type="dxa"/>
            <w:vAlign w:val="bottom"/>
            <w:gridSpan w:val="3"/>
            <w:shd w:val="clear" w:color="auto" w:fill="CCEEFF"/>
          </w:tcPr>
          <w:p>
            <w:pPr>
              <w:jc w:val="center"/>
              <w:ind w:right="680"/>
              <w:spacing w:after="0"/>
              <w:rPr>
                <w:sz w:val="20"/>
                <w:szCs w:val="20"/>
                <w:color w:val="auto"/>
              </w:rPr>
            </w:pPr>
            <w:r>
              <w:rPr>
                <w:rFonts w:ascii="Arial" w:cs="Arial" w:eastAsia="Arial" w:hAnsi="Arial"/>
                <w:sz w:val="14"/>
                <w:szCs w:val="14"/>
                <w:b w:val="1"/>
                <w:bCs w:val="1"/>
                <w:color w:val="auto"/>
              </w:rPr>
              <w:t>January 1, 2018</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b w:val="1"/>
                <w:bCs w:val="1"/>
                <w:color w:val="auto"/>
              </w:rPr>
              <w:t>105,017,401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5,251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3"/>
          </w:tcPr>
          <w:p>
            <w:pPr>
              <w:jc w:val="center"/>
              <w:ind w:right="680"/>
              <w:spacing w:after="0"/>
              <w:rPr>
                <w:sz w:val="20"/>
                <w:szCs w:val="20"/>
                <w:color w:val="auto"/>
              </w:rPr>
            </w:pPr>
            <w:r>
              <w:rPr>
                <w:rFonts w:ascii="Arial" w:cs="Arial" w:eastAsia="Arial" w:hAnsi="Arial"/>
                <w:sz w:val="14"/>
                <w:szCs w:val="14"/>
                <w:color w:val="auto"/>
              </w:rPr>
              <w:t>August 9, 2018</w:t>
            </w:r>
          </w:p>
        </w:tc>
        <w:tc>
          <w:tcPr>
            <w:tcW w:w="1840" w:type="dxa"/>
            <w:vAlign w:val="bottom"/>
            <w:gridSpan w:val="2"/>
          </w:tcPr>
          <w:p>
            <w:pPr>
              <w:jc w:val="center"/>
              <w:ind w:right="700"/>
              <w:spacing w:after="0"/>
              <w:rPr>
                <w:sz w:val="20"/>
                <w:szCs w:val="20"/>
                <w:color w:val="auto"/>
              </w:rPr>
            </w:pPr>
            <w:r>
              <w:rPr>
                <w:rFonts w:ascii="Arial" w:cs="Arial" w:eastAsia="Arial" w:hAnsi="Arial"/>
                <w:sz w:val="14"/>
                <w:szCs w:val="14"/>
                <w:color w:val="auto"/>
              </w:rPr>
              <w:t>Vesting of RSUs</w:t>
            </w:r>
          </w:p>
        </w:tc>
        <w:tc>
          <w:tcPr>
            <w:tcW w:w="136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4"/>
                <w:szCs w:val="14"/>
                <w:color w:val="auto"/>
              </w:rPr>
              <w:t>58,112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3"/>
          </w:tcPr>
          <w:p>
            <w:pPr>
              <w:jc w:val="right"/>
              <w:ind w:right="35"/>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gridSpan w:val="3"/>
            <w:shd w:val="clear" w:color="auto" w:fill="CCEEFF"/>
          </w:tcPr>
          <w:p>
            <w:pPr>
              <w:jc w:val="center"/>
              <w:ind w:right="700"/>
              <w:spacing w:after="0"/>
              <w:rPr>
                <w:sz w:val="20"/>
                <w:szCs w:val="20"/>
                <w:color w:val="auto"/>
              </w:rPr>
            </w:pPr>
            <w:r>
              <w:rPr>
                <w:rFonts w:ascii="Arial" w:cs="Arial" w:eastAsia="Arial" w:hAnsi="Arial"/>
                <w:sz w:val="14"/>
                <w:szCs w:val="14"/>
                <w:color w:val="auto"/>
              </w:rPr>
              <w:t>September 20, 2018</w:t>
            </w:r>
          </w:p>
        </w:tc>
        <w:tc>
          <w:tcPr>
            <w:tcW w:w="1840" w:type="dxa"/>
            <w:vAlign w:val="bottom"/>
            <w:gridSpan w:val="2"/>
            <w:shd w:val="clear" w:color="auto" w:fill="CCEEFF"/>
          </w:tcPr>
          <w:p>
            <w:pPr>
              <w:jc w:val="center"/>
              <w:ind w:right="700"/>
              <w:spacing w:after="0"/>
              <w:rPr>
                <w:sz w:val="20"/>
                <w:szCs w:val="20"/>
                <w:color w:val="auto"/>
              </w:rPr>
            </w:pPr>
            <w:r>
              <w:rPr>
                <w:rFonts w:ascii="Arial" w:cs="Arial" w:eastAsia="Arial" w:hAnsi="Arial"/>
                <w:sz w:val="14"/>
                <w:szCs w:val="14"/>
                <w:color w:val="auto"/>
              </w:rPr>
              <w:t>Vesting of RSUs</w:t>
            </w:r>
          </w:p>
        </w:tc>
        <w:tc>
          <w:tcPr>
            <w:tcW w:w="1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251,125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As at December 31, 2018</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105,326,638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rPr>
              <w:t>5,266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gridSpan w:val="3"/>
            <w:shd w:val="clear" w:color="auto" w:fill="CCEEFF"/>
          </w:tcPr>
          <w:p>
            <w:pPr>
              <w:jc w:val="center"/>
              <w:ind w:right="680"/>
              <w:spacing w:after="0"/>
              <w:rPr>
                <w:sz w:val="20"/>
                <w:szCs w:val="20"/>
                <w:color w:val="auto"/>
              </w:rPr>
            </w:pPr>
            <w:r>
              <w:rPr>
                <w:rFonts w:ascii="Arial" w:cs="Arial" w:eastAsia="Arial" w:hAnsi="Arial"/>
                <w:sz w:val="14"/>
                <w:szCs w:val="14"/>
                <w:b w:val="1"/>
                <w:bCs w:val="1"/>
                <w:color w:val="auto"/>
              </w:rPr>
              <w:t>As at December 31, 2019</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b w:val="1"/>
                <w:bCs w:val="1"/>
                <w:color w:val="auto"/>
              </w:rPr>
              <w:t>105,326,638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5,266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940"/>
        <w:spacing w:after="0" w:line="273" w:lineRule="auto"/>
        <w:rPr>
          <w:sz w:val="20"/>
          <w:szCs w:val="20"/>
          <w:color w:val="auto"/>
        </w:rPr>
      </w:pPr>
      <w:r>
        <w:rPr>
          <w:rFonts w:ascii="Arial" w:cs="Arial" w:eastAsia="Arial" w:hAnsi="Arial"/>
          <w:sz w:val="14"/>
          <w:szCs w:val="14"/>
          <w:color w:val="auto"/>
        </w:rPr>
        <w:t>The total number of authorized ordinary shares, with a nominal value of £0.05 each, is 200,000,000 (share capital of £10,000,000). All 105,326,638 ordinary shares at December 31, 2019 are allotted, unrestricted, called up and fully paid. All issued shares rank pari passu.</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During 2018, the Company issued 309,237 ordinary shares upon vesting of employee restricted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60"/>
          </w:cols>
          <w:pgMar w:left="220" w:top="140" w:right="219" w:bottom="1440" w:gutter="0" w:footer="0" w:header="0"/>
        </w:sectPr>
      </w:pPr>
    </w:p>
    <w:bookmarkStart w:id="149" w:name="page150"/>
    <w:bookmarkEnd w:id="1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Share-based payments charge</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Company operates various share based payment incentive schemes for its staff.</w:t>
      </w:r>
    </w:p>
    <w:p>
      <w:pPr>
        <w:spacing w:after="0" w:line="227"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In accordance with IFRS 2 "Share Based Payments," the cost of equity-settled transactions is measured by reference to their fair value at the date at which they are granted. Where equity-settled transactions were entered into with third party service providers, fair value is determined by reference to the value of the services provided. For other equity-settled transactions fair value is determined using the Black-Scholes model. The cost of equity-settled transactions is recognized over the period until the award vests. No expense is recognized for awards that do not ultimately vest. At each reporting date, the cumulative expense recognized for equity-based transactions reflects the extent to which the vesting period has expired and the number of awards that, in the opinion of the Directors at that date, will ultimately vest.</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costs of equity-settled share-based payments to employees are recognized in the Statement of Comprehensive Income, together with a corresponding increase in equity during the vesting period. During the twelve months ended December 31, 2019, the Company recognized a share-based payment expense of £2.44 million (2018: £2.90 million). The charge is included within both general and administrative costs as well as in research and development costs and represents the current year's allocation of the expense for relevant share options.</w:t>
      </w:r>
    </w:p>
    <w:p>
      <w:pPr>
        <w:spacing w:after="0" w:line="202"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The Company operates an Unapproved Share Option Scheme under which options were issued before 31 December 2016. The Company also operates a tax efficient EMI Option Scheme under which options were issued before 31 December 2016. In 2017 the Company commenced the 2017 Incentive Award Plan under which the Company grants share options and Restricted Stock Units ("RSUs") to employees and directors.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Since 2017 options are issued with an exercise price at the share price the evening before the date of issue. They vest over terms of one to four years.</w:t>
      </w:r>
    </w:p>
    <w:p>
      <w:pPr>
        <w:spacing w:after="0" w:line="227"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RSUs also vest over terms of one to four years. In the year ended December 31, 2019, the Company modified the terms of all the RSUs issued prior January 1, 2019, to include a market based performance condition. The Company's share price must be maintained above £2 for thirty days for the RSUs to vest, in addition to the existing service condition. The RSUs vest after a five year term irrespective of whether the £2 market condition was met. This modification did not result in an increase in the fair value of the RSUs. The RSUs issued in the year ended December 31, 2019, also include the same market condition and five year term.</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In the year ended December 31, 2019, under the 2017 Incentive Award Plan, the Company granted 5,569,050 (2018: 2,090,847) share options and 740,496 RSUs (2018: 273,390).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total fair values of the options and RSUs were estimated using the Black-Scholes option-pricing model for equity-settled transactions and amounted to £2.25 million (2018:</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£2.32 million). The cost is amortized over the vesting period of the options and RSUs on a straight-line basis.The following assumptions were used for the Black-Scholes valuation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of share options and RSUs granted in 2018 and 2019. For the options granted under the Unapproved Scheme the table indicates the ranges used in determining the fair-market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values, aligning with the various dates of the underlying grants. The volatility is calculated using historical weekly averages of the Company's share price over a period that is in line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with the expected life of the options and RSUs.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60"/>
          </w:cols>
          <w:pgMar w:left="220" w:top="140" w:right="219" w:bottom="1440" w:gutter="0" w:footer="0" w:header="0"/>
        </w:sectPr>
      </w:pPr>
    </w:p>
    <w:bookmarkStart w:id="150" w:name="page151"/>
    <w:bookmarkEnd w:id="1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Share-based payments charge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ind w:left="560"/>
              <w:spacing w:after="0"/>
              <w:rPr>
                <w:sz w:val="20"/>
                <w:szCs w:val="20"/>
                <w:color w:val="auto"/>
              </w:rPr>
            </w:pPr>
            <w:r>
              <w:rPr>
                <w:rFonts w:ascii="Arial" w:cs="Arial" w:eastAsia="Arial" w:hAnsi="Arial"/>
                <w:sz w:val="14"/>
                <w:szCs w:val="14"/>
                <w:b w:val="1"/>
                <w:bCs w:val="1"/>
                <w:color w:val="auto"/>
              </w:rPr>
              <w:t>Unapproved</w:t>
            </w:r>
          </w:p>
        </w:tc>
        <w:tc>
          <w:tcPr>
            <w:tcW w:w="2200" w:type="dxa"/>
            <w:vAlign w:val="bottom"/>
          </w:tcPr>
          <w:p>
            <w:pPr>
              <w:spacing w:after="0"/>
              <w:rPr>
                <w:sz w:val="14"/>
                <w:szCs w:val="14"/>
                <w:color w:val="auto"/>
              </w:rPr>
            </w:pPr>
          </w:p>
        </w:tc>
      </w:tr>
      <w:tr>
        <w:trPr>
          <w:trHeight w:val="19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Issued in 2018</w:t>
            </w:r>
          </w:p>
        </w:tc>
        <w:tc>
          <w:tcPr>
            <w:tcW w:w="10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Scheme</w:t>
            </w:r>
          </w:p>
        </w:tc>
        <w:tc>
          <w:tcPr>
            <w:tcW w:w="10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Restricted Stock Units</w:t>
            </w:r>
          </w:p>
        </w:tc>
      </w:tr>
      <w:tr>
        <w:trPr>
          <w:trHeight w:val="201"/>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 granted</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2,090,847</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273,390</w:t>
            </w:r>
          </w:p>
        </w:tc>
      </w:tr>
      <w:tr>
        <w:trPr>
          <w:trHeight w:val="210"/>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Risk-free interest rate</w:t>
            </w: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1.08% - 1.22%</w:t>
            </w:r>
          </w:p>
        </w:tc>
        <w:tc>
          <w:tcPr>
            <w:tcW w:w="100" w:type="dxa"/>
            <w:vAlign w:val="bottom"/>
          </w:tcPr>
          <w:p>
            <w:pPr>
              <w:spacing w:after="0"/>
              <w:rPr>
                <w:sz w:val="18"/>
                <w:szCs w:val="18"/>
                <w:color w:val="auto"/>
              </w:rPr>
            </w:pPr>
          </w:p>
        </w:tc>
        <w:tc>
          <w:tcPr>
            <w:tcW w:w="2200" w:type="dxa"/>
            <w:vAlign w:val="bottom"/>
          </w:tcPr>
          <w:p>
            <w:pPr>
              <w:jc w:val="right"/>
              <w:ind w:right="88"/>
              <w:spacing w:after="0"/>
              <w:rPr>
                <w:sz w:val="20"/>
                <w:szCs w:val="20"/>
                <w:color w:val="auto"/>
              </w:rPr>
            </w:pPr>
            <w:r>
              <w:rPr>
                <w:rFonts w:ascii="Arial" w:cs="Arial" w:eastAsia="Arial" w:hAnsi="Arial"/>
                <w:sz w:val="14"/>
                <w:szCs w:val="14"/>
                <w:color w:val="auto"/>
              </w:rPr>
              <w:t>1.08% - 1.22%</w:t>
            </w:r>
          </w:p>
        </w:tc>
      </w:tr>
      <w:tr>
        <w:trPr>
          <w:trHeight w:val="221"/>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life of options</w:t>
            </w:r>
          </w:p>
        </w:tc>
        <w:tc>
          <w:tcPr>
            <w:tcW w:w="2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5.5 - 7 years</w:t>
            </w:r>
          </w:p>
        </w:tc>
        <w:tc>
          <w:tcPr>
            <w:tcW w:w="2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5.5 - 7 years</w:t>
            </w:r>
          </w:p>
        </w:tc>
      </w:tr>
      <w:tr>
        <w:trPr>
          <w:trHeight w:val="210"/>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Annualized volatility</w:t>
            </w: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69.88% -71.35%</w:t>
            </w:r>
          </w:p>
        </w:tc>
        <w:tc>
          <w:tcPr>
            <w:tcW w:w="100" w:type="dxa"/>
            <w:vAlign w:val="bottom"/>
          </w:tcPr>
          <w:p>
            <w:pPr>
              <w:spacing w:after="0"/>
              <w:rPr>
                <w:sz w:val="18"/>
                <w:szCs w:val="18"/>
                <w:color w:val="auto"/>
              </w:rPr>
            </w:pPr>
          </w:p>
        </w:tc>
        <w:tc>
          <w:tcPr>
            <w:tcW w:w="2200" w:type="dxa"/>
            <w:vAlign w:val="bottom"/>
          </w:tcPr>
          <w:p>
            <w:pPr>
              <w:jc w:val="right"/>
              <w:ind w:right="88"/>
              <w:spacing w:after="0"/>
              <w:rPr>
                <w:sz w:val="20"/>
                <w:szCs w:val="20"/>
                <w:color w:val="auto"/>
              </w:rPr>
            </w:pPr>
            <w:r>
              <w:rPr>
                <w:rFonts w:ascii="Arial" w:cs="Arial" w:eastAsia="Arial" w:hAnsi="Arial"/>
                <w:sz w:val="14"/>
                <w:szCs w:val="14"/>
                <w:color w:val="auto"/>
              </w:rPr>
              <w:t>69.88% -71.35%</w:t>
            </w:r>
          </w:p>
        </w:tc>
      </w:tr>
      <w:tr>
        <w:trPr>
          <w:trHeight w:val="221"/>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rate</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210"/>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Vesting period</w:t>
            </w:r>
          </w:p>
        </w:tc>
        <w:tc>
          <w:tcPr>
            <w:tcW w:w="2080" w:type="dxa"/>
            <w:vAlign w:val="bottom"/>
            <w:gridSpan w:val="2"/>
          </w:tcPr>
          <w:p>
            <w:pPr>
              <w:jc w:val="right"/>
              <w:ind w:right="260"/>
              <w:spacing w:after="0"/>
              <w:rPr>
                <w:sz w:val="20"/>
                <w:szCs w:val="20"/>
                <w:color w:val="auto"/>
              </w:rPr>
            </w:pPr>
            <w:r>
              <w:rPr>
                <w:rFonts w:ascii="Arial" w:cs="Arial" w:eastAsia="Arial" w:hAnsi="Arial"/>
                <w:sz w:val="14"/>
                <w:szCs w:val="14"/>
                <w:color w:val="auto"/>
              </w:rPr>
              <w:t>1 to 4 years</w:t>
            </w:r>
          </w:p>
        </w:tc>
        <w:tc>
          <w:tcPr>
            <w:tcW w:w="2200" w:type="dxa"/>
            <w:vAlign w:val="bottom"/>
          </w:tcPr>
          <w:p>
            <w:pPr>
              <w:jc w:val="right"/>
              <w:ind w:right="88"/>
              <w:spacing w:after="0"/>
              <w:rPr>
                <w:sz w:val="20"/>
                <w:szCs w:val="20"/>
                <w:color w:val="auto"/>
              </w:rPr>
            </w:pPr>
            <w:r>
              <w:rPr>
                <w:rFonts w:ascii="Arial" w:cs="Arial" w:eastAsia="Arial" w:hAnsi="Arial"/>
                <w:sz w:val="14"/>
                <w:szCs w:val="14"/>
                <w:color w:val="auto"/>
              </w:rPr>
              <w:t>1 to 4 years</w:t>
            </w:r>
          </w:p>
        </w:tc>
      </w:tr>
      <w:tr>
        <w:trPr>
          <w:trHeight w:val="243"/>
        </w:trPr>
        <w:tc>
          <w:tcPr>
            <w:tcW w:w="7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Unapproved</w:t>
            </w: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Issued in 2019</w:t>
            </w: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Scheme</w:t>
            </w:r>
          </w:p>
        </w:tc>
        <w:tc>
          <w:tcPr>
            <w:tcW w:w="2200" w:type="dxa"/>
            <w:vAlign w:val="bottom"/>
            <w:gridSpan w:val="3"/>
          </w:tcPr>
          <w:p>
            <w:pPr>
              <w:jc w:val="right"/>
              <w:ind w:right="283"/>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201"/>
        </w:trPr>
        <w:tc>
          <w:tcPr>
            <w:tcW w:w="1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Options granted</w:t>
            </w:r>
          </w:p>
        </w:tc>
        <w:tc>
          <w:tcPr>
            <w:tcW w:w="10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4"/>
                <w:szCs w:val="14"/>
                <w:color w:val="auto"/>
              </w:rPr>
              <w:t>5,569,050</w:t>
            </w: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gridSpan w:val="3"/>
            <w:shd w:val="clear" w:color="auto" w:fill="CCEEFF"/>
          </w:tcPr>
          <w:p>
            <w:pPr>
              <w:jc w:val="right"/>
              <w:ind w:right="103"/>
              <w:spacing w:after="0"/>
              <w:rPr>
                <w:sz w:val="20"/>
                <w:szCs w:val="20"/>
                <w:color w:val="auto"/>
              </w:rPr>
            </w:pPr>
            <w:r>
              <w:rPr>
                <w:rFonts w:ascii="Arial" w:cs="Arial" w:eastAsia="Arial" w:hAnsi="Arial"/>
                <w:sz w:val="14"/>
                <w:szCs w:val="14"/>
                <w:color w:val="auto"/>
              </w:rPr>
              <w:t>740,496</w:t>
            </w:r>
          </w:p>
        </w:tc>
        <w:tc>
          <w:tcPr>
            <w:tcW w:w="0" w:type="dxa"/>
            <w:vAlign w:val="bottom"/>
          </w:tcPr>
          <w:p>
            <w:pPr>
              <w:spacing w:after="0"/>
              <w:rPr>
                <w:sz w:val="1"/>
                <w:szCs w:val="1"/>
                <w:color w:val="auto"/>
              </w:rPr>
            </w:pPr>
          </w:p>
        </w:tc>
      </w:tr>
      <w:tr>
        <w:trPr>
          <w:trHeight w:val="210"/>
        </w:trPr>
        <w:tc>
          <w:tcPr>
            <w:tcW w:w="2340" w:type="dxa"/>
            <w:vAlign w:val="bottom"/>
            <w:gridSpan w:val="2"/>
          </w:tcPr>
          <w:p>
            <w:pPr>
              <w:ind w:left="20"/>
              <w:spacing w:after="0"/>
              <w:rPr>
                <w:sz w:val="20"/>
                <w:szCs w:val="20"/>
                <w:color w:val="auto"/>
              </w:rPr>
            </w:pPr>
            <w:r>
              <w:rPr>
                <w:rFonts w:ascii="Arial" w:cs="Arial" w:eastAsia="Arial" w:hAnsi="Arial"/>
                <w:sz w:val="14"/>
                <w:szCs w:val="14"/>
                <w:color w:val="auto"/>
              </w:rPr>
              <w:t>Risk-free interest rate</w:t>
            </w: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Arial" w:cs="Arial" w:eastAsia="Arial" w:hAnsi="Arial"/>
                <w:sz w:val="14"/>
                <w:szCs w:val="14"/>
                <w:color w:val="auto"/>
              </w:rPr>
              <w:t>0.39% - 0.82%</w:t>
            </w:r>
          </w:p>
        </w:tc>
        <w:tc>
          <w:tcPr>
            <w:tcW w:w="100" w:type="dxa"/>
            <w:vAlign w:val="bottom"/>
          </w:tcPr>
          <w:p>
            <w:pPr>
              <w:spacing w:after="0"/>
              <w:rPr>
                <w:sz w:val="18"/>
                <w:szCs w:val="18"/>
                <w:color w:val="auto"/>
              </w:rPr>
            </w:pPr>
          </w:p>
        </w:tc>
        <w:tc>
          <w:tcPr>
            <w:tcW w:w="2200" w:type="dxa"/>
            <w:vAlign w:val="bottom"/>
            <w:gridSpan w:val="3"/>
          </w:tcPr>
          <w:p>
            <w:pPr>
              <w:jc w:val="right"/>
              <w:ind w:right="103"/>
              <w:spacing w:after="0"/>
              <w:rPr>
                <w:sz w:val="20"/>
                <w:szCs w:val="20"/>
                <w:color w:val="auto"/>
              </w:rPr>
            </w:pPr>
            <w:r>
              <w:rPr>
                <w:rFonts w:ascii="Arial" w:cs="Arial" w:eastAsia="Arial" w:hAnsi="Arial"/>
                <w:sz w:val="14"/>
                <w:szCs w:val="14"/>
                <w:color w:val="auto"/>
              </w:rPr>
              <w:t>0.76% - 0.82%</w:t>
            </w:r>
          </w:p>
        </w:tc>
        <w:tc>
          <w:tcPr>
            <w:tcW w:w="0" w:type="dxa"/>
            <w:vAlign w:val="bottom"/>
          </w:tcPr>
          <w:p>
            <w:pPr>
              <w:spacing w:after="0"/>
              <w:rPr>
                <w:sz w:val="1"/>
                <w:szCs w:val="1"/>
                <w:color w:val="auto"/>
              </w:rPr>
            </w:pPr>
          </w:p>
        </w:tc>
      </w:tr>
      <w:tr>
        <w:trPr>
          <w:trHeight w:val="221"/>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life of options</w:t>
            </w:r>
          </w:p>
        </w:tc>
        <w:tc>
          <w:tcPr>
            <w:tcW w:w="1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5.5 - 7 years</w:t>
            </w:r>
          </w:p>
        </w:tc>
        <w:tc>
          <w:tcPr>
            <w:tcW w:w="2200" w:type="dxa"/>
            <w:vAlign w:val="bottom"/>
            <w:gridSpan w:val="3"/>
            <w:shd w:val="clear" w:color="auto" w:fill="CCEEFF"/>
          </w:tcPr>
          <w:p>
            <w:pPr>
              <w:jc w:val="right"/>
              <w:ind w:right="103"/>
              <w:spacing w:after="0"/>
              <w:rPr>
                <w:sz w:val="20"/>
                <w:szCs w:val="20"/>
                <w:color w:val="auto"/>
              </w:rPr>
            </w:pPr>
            <w:r>
              <w:rPr>
                <w:rFonts w:ascii="Arial" w:cs="Arial" w:eastAsia="Arial" w:hAnsi="Arial"/>
                <w:sz w:val="14"/>
                <w:szCs w:val="14"/>
                <w:color w:val="auto"/>
              </w:rPr>
              <w:t>5.5 - 7 years</w:t>
            </w:r>
          </w:p>
        </w:tc>
        <w:tc>
          <w:tcPr>
            <w:tcW w:w="0" w:type="dxa"/>
            <w:vAlign w:val="bottom"/>
          </w:tcPr>
          <w:p>
            <w:pPr>
              <w:spacing w:after="0"/>
              <w:rPr>
                <w:sz w:val="1"/>
                <w:szCs w:val="1"/>
                <w:color w:val="auto"/>
              </w:rPr>
            </w:pPr>
          </w:p>
        </w:tc>
      </w:tr>
      <w:tr>
        <w:trPr>
          <w:trHeight w:val="210"/>
        </w:trPr>
        <w:tc>
          <w:tcPr>
            <w:tcW w:w="1340" w:type="dxa"/>
            <w:vAlign w:val="bottom"/>
          </w:tcPr>
          <w:p>
            <w:pPr>
              <w:ind w:left="20"/>
              <w:spacing w:after="0"/>
              <w:rPr>
                <w:sz w:val="20"/>
                <w:szCs w:val="20"/>
                <w:color w:val="auto"/>
              </w:rPr>
            </w:pPr>
            <w:r>
              <w:rPr>
                <w:rFonts w:ascii="Arial" w:cs="Arial" w:eastAsia="Arial" w:hAnsi="Arial"/>
                <w:sz w:val="14"/>
                <w:szCs w:val="14"/>
                <w:color w:val="auto"/>
              </w:rPr>
              <w:t>Annualized volatility</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99"/>
              <w:spacing w:after="0"/>
              <w:rPr>
                <w:sz w:val="20"/>
                <w:szCs w:val="20"/>
                <w:color w:val="auto"/>
              </w:rPr>
            </w:pPr>
            <w:r>
              <w:rPr>
                <w:rFonts w:ascii="Arial" w:cs="Arial" w:eastAsia="Arial" w:hAnsi="Arial"/>
                <w:sz w:val="14"/>
                <w:szCs w:val="14"/>
                <w:color w:val="auto"/>
              </w:rPr>
              <w:t>67.98% - 69.71%</w:t>
            </w:r>
          </w:p>
        </w:tc>
        <w:tc>
          <w:tcPr>
            <w:tcW w:w="100" w:type="dxa"/>
            <w:vAlign w:val="bottom"/>
          </w:tcPr>
          <w:p>
            <w:pPr>
              <w:spacing w:after="0"/>
              <w:rPr>
                <w:sz w:val="18"/>
                <w:szCs w:val="18"/>
                <w:color w:val="auto"/>
              </w:rPr>
            </w:pPr>
          </w:p>
        </w:tc>
        <w:tc>
          <w:tcPr>
            <w:tcW w:w="2200" w:type="dxa"/>
            <w:vAlign w:val="bottom"/>
            <w:gridSpan w:val="3"/>
          </w:tcPr>
          <w:p>
            <w:pPr>
              <w:jc w:val="right"/>
              <w:ind w:right="103"/>
              <w:spacing w:after="0"/>
              <w:rPr>
                <w:sz w:val="20"/>
                <w:szCs w:val="20"/>
                <w:color w:val="auto"/>
              </w:rPr>
            </w:pPr>
            <w:r>
              <w:rPr>
                <w:rFonts w:ascii="Arial" w:cs="Arial" w:eastAsia="Arial" w:hAnsi="Arial"/>
                <w:sz w:val="14"/>
                <w:szCs w:val="14"/>
                <w:color w:val="auto"/>
              </w:rPr>
              <w:t>63.82% - 69.71%</w:t>
            </w:r>
          </w:p>
        </w:tc>
        <w:tc>
          <w:tcPr>
            <w:tcW w:w="0" w:type="dxa"/>
            <w:vAlign w:val="bottom"/>
          </w:tcPr>
          <w:p>
            <w:pPr>
              <w:spacing w:after="0"/>
              <w:rPr>
                <w:sz w:val="1"/>
                <w:szCs w:val="1"/>
                <w:color w:val="auto"/>
              </w:rPr>
            </w:pPr>
          </w:p>
        </w:tc>
      </w:tr>
      <w:tr>
        <w:trPr>
          <w:trHeight w:val="221"/>
        </w:trPr>
        <w:tc>
          <w:tcPr>
            <w:tcW w:w="1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rate</w:t>
            </w:r>
          </w:p>
        </w:tc>
        <w:tc>
          <w:tcPr>
            <w:tcW w:w="1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4"/>
        </w:trPr>
        <w:tc>
          <w:tcPr>
            <w:tcW w:w="1340" w:type="dxa"/>
            <w:vAlign w:val="bottom"/>
          </w:tcPr>
          <w:p>
            <w:pPr>
              <w:ind w:left="20"/>
              <w:spacing w:after="0"/>
              <w:rPr>
                <w:sz w:val="20"/>
                <w:szCs w:val="20"/>
                <w:color w:val="auto"/>
              </w:rPr>
            </w:pPr>
            <w:r>
              <w:rPr>
                <w:rFonts w:ascii="Arial" w:cs="Arial" w:eastAsia="Arial" w:hAnsi="Arial"/>
                <w:sz w:val="14"/>
                <w:szCs w:val="14"/>
                <w:color w:val="auto"/>
              </w:rPr>
              <w:t>Vesting period</w:t>
            </w: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4"/>
                <w:szCs w:val="14"/>
                <w:color w:val="auto"/>
              </w:rPr>
              <w:t>1 to 4 years</w:t>
            </w:r>
          </w:p>
        </w:tc>
        <w:tc>
          <w:tcPr>
            <w:tcW w:w="2200" w:type="dxa"/>
            <w:vAlign w:val="bottom"/>
            <w:gridSpan w:val="3"/>
          </w:tcPr>
          <w:p>
            <w:pPr>
              <w:jc w:val="right"/>
              <w:ind w:right="103"/>
              <w:spacing w:after="0"/>
              <w:rPr>
                <w:sz w:val="20"/>
                <w:szCs w:val="20"/>
                <w:color w:val="auto"/>
              </w:rPr>
            </w:pPr>
            <w:r>
              <w:rPr>
                <w:rFonts w:ascii="Arial" w:cs="Arial" w:eastAsia="Arial" w:hAnsi="Arial"/>
                <w:sz w:val="14"/>
                <w:szCs w:val="14"/>
                <w:color w:val="auto"/>
              </w:rPr>
              <w:t>1 to 4 years</w:t>
            </w:r>
          </w:p>
        </w:tc>
        <w:tc>
          <w:tcPr>
            <w:tcW w:w="0" w:type="dxa"/>
            <w:vAlign w:val="bottom"/>
          </w:tcPr>
          <w:p>
            <w:pPr>
              <w:spacing w:after="0"/>
              <w:rPr>
                <w:sz w:val="1"/>
                <w:szCs w:val="1"/>
                <w:color w:val="auto"/>
              </w:rPr>
            </w:pPr>
          </w:p>
        </w:tc>
      </w:tr>
      <w:tr>
        <w:trPr>
          <w:trHeight w:val="291"/>
        </w:trPr>
        <w:tc>
          <w:tcPr>
            <w:tcW w:w="6420" w:type="dxa"/>
            <w:vAlign w:val="bottom"/>
            <w:gridSpan w:val="5"/>
          </w:tcPr>
          <w:p>
            <w:pPr>
              <w:spacing w:after="0"/>
              <w:rPr>
                <w:sz w:val="20"/>
                <w:szCs w:val="20"/>
                <w:color w:val="auto"/>
              </w:rPr>
            </w:pPr>
            <w:r>
              <w:rPr>
                <w:rFonts w:ascii="Arial" w:cs="Arial" w:eastAsia="Arial" w:hAnsi="Arial"/>
                <w:sz w:val="14"/>
                <w:szCs w:val="14"/>
                <w:color w:val="auto"/>
              </w:rPr>
              <w:t>The Company had the following share options movements in the year ended December 31, 2019: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340" w:type="dxa"/>
            <w:vAlign w:val="bottom"/>
          </w:tcPr>
          <w:p>
            <w:pPr>
              <w:spacing w:after="0"/>
              <w:rPr>
                <w:sz w:val="24"/>
                <w:szCs w:val="24"/>
                <w:color w:val="auto"/>
              </w:rPr>
            </w:pPr>
          </w:p>
        </w:tc>
        <w:tc>
          <w:tcPr>
            <w:tcW w:w="1000" w:type="dxa"/>
            <w:vAlign w:val="bottom"/>
          </w:tcPr>
          <w:p>
            <w:pPr>
              <w:jc w:val="right"/>
              <w:ind w:right="423"/>
              <w:spacing w:after="0"/>
              <w:rPr>
                <w:sz w:val="20"/>
                <w:szCs w:val="20"/>
                <w:color w:val="auto"/>
              </w:rPr>
            </w:pPr>
            <w:r>
              <w:rPr>
                <w:rFonts w:ascii="Arial" w:cs="Arial" w:eastAsia="Arial" w:hAnsi="Arial"/>
                <w:sz w:val="11"/>
                <w:szCs w:val="11"/>
                <w:b w:val="1"/>
                <w:bCs w:val="1"/>
                <w:color w:val="auto"/>
              </w:rPr>
              <w:t>Exercise</w:t>
            </w:r>
          </w:p>
        </w:tc>
        <w:tc>
          <w:tcPr>
            <w:tcW w:w="1440" w:type="dxa"/>
            <w:vAlign w:val="bottom"/>
          </w:tcPr>
          <w:p>
            <w:pPr>
              <w:spacing w:after="0"/>
              <w:rPr>
                <w:sz w:val="24"/>
                <w:szCs w:val="24"/>
                <w:color w:val="auto"/>
              </w:rPr>
            </w:pPr>
          </w:p>
        </w:tc>
        <w:tc>
          <w:tcPr>
            <w:tcW w:w="1280" w:type="dxa"/>
            <w:vAlign w:val="bottom"/>
          </w:tcPr>
          <w:p>
            <w:pPr>
              <w:jc w:val="right"/>
              <w:ind w:right="503"/>
              <w:spacing w:after="0"/>
              <w:rPr>
                <w:sz w:val="20"/>
                <w:szCs w:val="20"/>
                <w:color w:val="auto"/>
              </w:rPr>
            </w:pPr>
            <w:r>
              <w:rPr>
                <w:rFonts w:ascii="Arial" w:cs="Arial" w:eastAsia="Arial" w:hAnsi="Arial"/>
                <w:sz w:val="11"/>
                <w:szCs w:val="11"/>
                <w:b w:val="1"/>
                <w:bCs w:val="1"/>
                <w:color w:val="auto"/>
              </w:rPr>
              <w:t>Options</w:t>
            </w:r>
          </w:p>
        </w:tc>
        <w:tc>
          <w:tcPr>
            <w:tcW w:w="1360" w:type="dxa"/>
            <w:vAlign w:val="bottom"/>
          </w:tcPr>
          <w:p>
            <w:pPr>
              <w:jc w:val="right"/>
              <w:ind w:right="543"/>
              <w:spacing w:after="0"/>
              <w:rPr>
                <w:sz w:val="20"/>
                <w:szCs w:val="20"/>
                <w:color w:val="auto"/>
              </w:rPr>
            </w:pPr>
            <w:r>
              <w:rPr>
                <w:rFonts w:ascii="Arial" w:cs="Arial" w:eastAsia="Arial" w:hAnsi="Arial"/>
                <w:sz w:val="11"/>
                <w:szCs w:val="11"/>
                <w:b w:val="1"/>
                <w:bCs w:val="1"/>
                <w:color w:val="auto"/>
              </w:rPr>
              <w:t>Options</w:t>
            </w:r>
          </w:p>
        </w:tc>
        <w:tc>
          <w:tcPr>
            <w:tcW w:w="100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rPr>
              <w:t>Options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Year of issue</w:t>
            </w: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price (£)</w:t>
            </w: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At January 1, 2019</w:t>
            </w: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granted</w:t>
            </w:r>
          </w:p>
        </w:tc>
        <w:tc>
          <w:tcPr>
            <w:tcW w:w="13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forfeited</w:t>
            </w:r>
          </w:p>
        </w:tc>
        <w:tc>
          <w:tcPr>
            <w:tcW w:w="1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1"/>
                <w:szCs w:val="11"/>
                <w:b w:val="1"/>
                <w:bCs w:val="1"/>
                <w:color w:val="auto"/>
              </w:rPr>
              <w:t>expired</w:t>
            </w:r>
          </w:p>
        </w:tc>
        <w:tc>
          <w:tcPr>
            <w:tcW w:w="18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rPr>
              <w:t>At December 31, 2019</w:t>
            </w:r>
          </w:p>
        </w:tc>
        <w:tc>
          <w:tcPr>
            <w:tcW w:w="158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Expiry date</w:t>
            </w:r>
          </w:p>
        </w:tc>
        <w:tc>
          <w:tcPr>
            <w:tcW w:w="2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2012</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2.50 - 7.50</w:t>
            </w:r>
          </w:p>
        </w:tc>
        <w:tc>
          <w:tcPr>
            <w:tcW w:w="144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99,993</w:t>
            </w:r>
          </w:p>
        </w:tc>
        <w:tc>
          <w:tcPr>
            <w:tcW w:w="12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1"/>
                <w:szCs w:val="11"/>
                <w:color w:val="auto"/>
              </w:rPr>
              <w:t>99,993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June 1,</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2013</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2</w:t>
            </w:r>
          </w:p>
        </w:tc>
        <w:tc>
          <w:tcPr>
            <w:tcW w:w="1440" w:type="dxa"/>
            <w:vAlign w:val="bottom"/>
            <w:vMerge w:val="restart"/>
          </w:tcPr>
          <w:p>
            <w:pPr>
              <w:jc w:val="right"/>
              <w:ind w:right="263"/>
              <w:spacing w:after="0"/>
              <w:rPr>
                <w:sz w:val="20"/>
                <w:szCs w:val="20"/>
                <w:color w:val="auto"/>
              </w:rPr>
            </w:pPr>
            <w:r>
              <w:rPr>
                <w:rFonts w:ascii="Arial" w:cs="Arial" w:eastAsia="Arial" w:hAnsi="Arial"/>
                <w:sz w:val="11"/>
                <w:szCs w:val="11"/>
                <w:color w:val="auto"/>
              </w:rPr>
              <w:t>99,990</w:t>
            </w:r>
          </w:p>
        </w:tc>
        <w:tc>
          <w:tcPr>
            <w:tcW w:w="1280" w:type="dxa"/>
            <w:vAlign w:val="bottom"/>
            <w:vMerge w:val="restart"/>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1"/>
                <w:szCs w:val="11"/>
                <w:color w:val="auto"/>
              </w:rPr>
              <w:t>(19,998)</w:t>
            </w:r>
          </w:p>
        </w:tc>
        <w:tc>
          <w:tcPr>
            <w:tcW w:w="1720" w:type="dxa"/>
            <w:vAlign w:val="bottom"/>
            <w:vMerge w:val="restart"/>
          </w:tcPr>
          <w:p>
            <w:pPr>
              <w:jc w:val="right"/>
              <w:ind w:right="359"/>
              <w:spacing w:after="0"/>
              <w:rPr>
                <w:sz w:val="20"/>
                <w:szCs w:val="20"/>
                <w:color w:val="auto"/>
              </w:rPr>
            </w:pPr>
            <w:r>
              <w:rPr>
                <w:rFonts w:ascii="Arial" w:cs="Arial" w:eastAsia="Arial" w:hAnsi="Arial"/>
                <w:sz w:val="11"/>
                <w:szCs w:val="11"/>
                <w:color w:val="auto"/>
              </w:rPr>
              <w:t>79,992</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April 15,</w:t>
            </w:r>
          </w:p>
        </w:tc>
        <w:tc>
          <w:tcPr>
            <w:tcW w:w="280" w:type="dxa"/>
            <w:vAlign w:val="bottom"/>
          </w:tcPr>
          <w:p>
            <w:pPr>
              <w:spacing w:after="0"/>
              <w:rPr>
                <w:sz w:val="20"/>
                <w:szCs w:val="20"/>
                <w:color w:val="auto"/>
              </w:rPr>
            </w:pPr>
            <w:r>
              <w:rPr>
                <w:rFonts w:ascii="Arial" w:cs="Arial" w:eastAsia="Arial" w:hAnsi="Arial"/>
                <w:sz w:val="11"/>
                <w:szCs w:val="11"/>
                <w:color w:val="auto"/>
              </w:rPr>
              <w:t>2023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2013</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2.00</w:t>
            </w:r>
          </w:p>
        </w:tc>
        <w:tc>
          <w:tcPr>
            <w:tcW w:w="1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159,999</w:t>
            </w:r>
          </w:p>
        </w:tc>
        <w:tc>
          <w:tcPr>
            <w:tcW w:w="128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1"/>
                <w:szCs w:val="11"/>
                <w:color w:val="auto"/>
              </w:rPr>
              <w:t>159,999</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July 29,</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2023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2014</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1.75</w:t>
            </w:r>
          </w:p>
        </w:tc>
        <w:tc>
          <w:tcPr>
            <w:tcW w:w="1440" w:type="dxa"/>
            <w:vAlign w:val="bottom"/>
            <w:vMerge w:val="restart"/>
          </w:tcPr>
          <w:p>
            <w:pPr>
              <w:jc w:val="right"/>
              <w:ind w:right="263"/>
              <w:spacing w:after="0"/>
              <w:rPr>
                <w:sz w:val="20"/>
                <w:szCs w:val="20"/>
                <w:color w:val="auto"/>
              </w:rPr>
            </w:pPr>
            <w:r>
              <w:rPr>
                <w:rFonts w:ascii="Arial" w:cs="Arial" w:eastAsia="Arial" w:hAnsi="Arial"/>
                <w:sz w:val="11"/>
                <w:szCs w:val="11"/>
                <w:color w:val="auto"/>
              </w:rPr>
              <w:t>109,998</w:t>
            </w:r>
          </w:p>
        </w:tc>
        <w:tc>
          <w:tcPr>
            <w:tcW w:w="1280" w:type="dxa"/>
            <w:vAlign w:val="bottom"/>
            <w:vMerge w:val="restart"/>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vMerge w:val="restart"/>
          </w:tcPr>
          <w:p>
            <w:pPr>
              <w:jc w:val="right"/>
              <w:ind w:right="359"/>
              <w:spacing w:after="0"/>
              <w:rPr>
                <w:sz w:val="20"/>
                <w:szCs w:val="20"/>
                <w:color w:val="auto"/>
              </w:rPr>
            </w:pPr>
            <w:r>
              <w:rPr>
                <w:rFonts w:ascii="Arial" w:cs="Arial" w:eastAsia="Arial" w:hAnsi="Arial"/>
                <w:sz w:val="11"/>
                <w:szCs w:val="11"/>
                <w:color w:val="auto"/>
              </w:rPr>
              <w:t>109,998</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May 15,</w:t>
            </w:r>
          </w:p>
        </w:tc>
        <w:tc>
          <w:tcPr>
            <w:tcW w:w="280" w:type="dxa"/>
            <w:vAlign w:val="bottom"/>
          </w:tcPr>
          <w:p>
            <w:pPr>
              <w:spacing w:after="0"/>
              <w:rPr>
                <w:sz w:val="20"/>
                <w:szCs w:val="20"/>
                <w:color w:val="auto"/>
              </w:rPr>
            </w:pPr>
            <w:r>
              <w:rPr>
                <w:rFonts w:ascii="Arial" w:cs="Arial" w:eastAsia="Arial" w:hAnsi="Arial"/>
                <w:sz w:val="11"/>
                <w:szCs w:val="11"/>
                <w:color w:val="auto"/>
              </w:rPr>
              <w:t>2024</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2014</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1.75</w:t>
            </w:r>
          </w:p>
        </w:tc>
        <w:tc>
          <w:tcPr>
            <w:tcW w:w="144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49,998</w:t>
            </w:r>
          </w:p>
        </w:tc>
        <w:tc>
          <w:tcPr>
            <w:tcW w:w="12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1"/>
                <w:szCs w:val="11"/>
                <w:color w:val="auto"/>
              </w:rPr>
              <w:t>49,998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May 15,</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2024</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340" w:type="dxa"/>
            <w:vAlign w:val="bottom"/>
          </w:tcPr>
          <w:p>
            <w:pPr>
              <w:ind w:left="20"/>
              <w:spacing w:after="0"/>
              <w:rPr>
                <w:sz w:val="20"/>
                <w:szCs w:val="20"/>
                <w:color w:val="auto"/>
              </w:rPr>
            </w:pPr>
            <w:r>
              <w:rPr>
                <w:rFonts w:ascii="Arial" w:cs="Arial" w:eastAsia="Arial" w:hAnsi="Arial"/>
                <w:sz w:val="11"/>
                <w:szCs w:val="11"/>
                <w:color w:val="auto"/>
              </w:rPr>
              <w:t>2015</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1.25</w:t>
            </w:r>
          </w:p>
        </w:tc>
        <w:tc>
          <w:tcPr>
            <w:tcW w:w="1440" w:type="dxa"/>
            <w:vAlign w:val="bottom"/>
          </w:tcPr>
          <w:p>
            <w:pPr>
              <w:jc w:val="right"/>
              <w:ind w:right="263"/>
              <w:spacing w:after="0"/>
              <w:rPr>
                <w:sz w:val="20"/>
                <w:szCs w:val="20"/>
                <w:color w:val="auto"/>
              </w:rPr>
            </w:pPr>
            <w:r>
              <w:rPr>
                <w:rFonts w:ascii="Arial" w:cs="Arial" w:eastAsia="Arial" w:hAnsi="Arial"/>
                <w:sz w:val="11"/>
                <w:szCs w:val="11"/>
                <w:color w:val="auto"/>
              </w:rPr>
              <w:t>41,997</w:t>
            </w:r>
          </w:p>
        </w:tc>
        <w:tc>
          <w:tcPr>
            <w:tcW w:w="128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tcPr>
          <w:p>
            <w:pPr>
              <w:jc w:val="right"/>
              <w:ind w:right="359"/>
              <w:spacing w:after="0"/>
              <w:rPr>
                <w:sz w:val="20"/>
                <w:szCs w:val="20"/>
                <w:color w:val="auto"/>
              </w:rPr>
            </w:pPr>
            <w:r>
              <w:rPr>
                <w:rFonts w:ascii="Arial" w:cs="Arial" w:eastAsia="Arial" w:hAnsi="Arial"/>
                <w:sz w:val="11"/>
                <w:szCs w:val="11"/>
                <w:color w:val="auto"/>
              </w:rPr>
              <w:t>41,997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January 29,</w:t>
            </w:r>
          </w:p>
        </w:tc>
        <w:tc>
          <w:tcPr>
            <w:tcW w:w="620" w:type="dxa"/>
            <w:vAlign w:val="bottom"/>
            <w:gridSpan w:val="2"/>
          </w:tcPr>
          <w:p>
            <w:pPr>
              <w:spacing w:after="0" w:line="216" w:lineRule="exact"/>
              <w:rPr>
                <w:sz w:val="20"/>
                <w:szCs w:val="20"/>
                <w:color w:val="auto"/>
              </w:rPr>
            </w:pPr>
            <w:r>
              <w:rPr>
                <w:rFonts w:ascii="Arial" w:cs="Arial" w:eastAsia="Arial" w:hAnsi="Arial"/>
                <w:sz w:val="11"/>
                <w:szCs w:val="11"/>
                <w:color w:val="auto"/>
              </w:rPr>
              <w:t xml:space="preserve">2025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1.25</w:t>
            </w:r>
          </w:p>
        </w:tc>
        <w:tc>
          <w:tcPr>
            <w:tcW w:w="1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549,999</w:t>
            </w:r>
          </w:p>
        </w:tc>
        <w:tc>
          <w:tcPr>
            <w:tcW w:w="128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1"/>
                <w:szCs w:val="11"/>
                <w:color w:val="auto"/>
              </w:rPr>
              <w:t>549,999</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January 29,</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2025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2016</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2</w:t>
            </w:r>
          </w:p>
        </w:tc>
        <w:tc>
          <w:tcPr>
            <w:tcW w:w="1440" w:type="dxa"/>
            <w:vAlign w:val="bottom"/>
            <w:vMerge w:val="restart"/>
          </w:tcPr>
          <w:p>
            <w:pPr>
              <w:jc w:val="right"/>
              <w:ind w:right="263"/>
              <w:spacing w:after="0"/>
              <w:rPr>
                <w:sz w:val="20"/>
                <w:szCs w:val="20"/>
                <w:color w:val="auto"/>
              </w:rPr>
            </w:pPr>
            <w:r>
              <w:rPr>
                <w:rFonts w:ascii="Arial" w:cs="Arial" w:eastAsia="Arial" w:hAnsi="Arial"/>
                <w:sz w:val="11"/>
                <w:szCs w:val="11"/>
                <w:color w:val="auto"/>
              </w:rPr>
              <w:t>240,000</w:t>
            </w:r>
          </w:p>
        </w:tc>
        <w:tc>
          <w:tcPr>
            <w:tcW w:w="1280" w:type="dxa"/>
            <w:vAlign w:val="bottom"/>
            <w:vMerge w:val="restart"/>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vMerge w:val="restart"/>
          </w:tcPr>
          <w:p>
            <w:pPr>
              <w:jc w:val="right"/>
              <w:ind w:right="359"/>
              <w:spacing w:after="0"/>
              <w:rPr>
                <w:sz w:val="20"/>
                <w:szCs w:val="20"/>
                <w:color w:val="auto"/>
              </w:rPr>
            </w:pPr>
            <w:r>
              <w:rPr>
                <w:rFonts w:ascii="Arial" w:cs="Arial" w:eastAsia="Arial" w:hAnsi="Arial"/>
                <w:sz w:val="11"/>
                <w:szCs w:val="11"/>
                <w:color w:val="auto"/>
              </w:rPr>
              <w:t>240,000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February 2,</w:t>
            </w:r>
          </w:p>
        </w:tc>
        <w:tc>
          <w:tcPr>
            <w:tcW w:w="280" w:type="dxa"/>
            <w:vAlign w:val="bottom"/>
          </w:tcPr>
          <w:p>
            <w:pPr>
              <w:spacing w:after="0"/>
              <w:rPr>
                <w:sz w:val="20"/>
                <w:szCs w:val="20"/>
                <w:color w:val="auto"/>
              </w:rPr>
            </w:pPr>
            <w:r>
              <w:rPr>
                <w:rFonts w:ascii="Arial" w:cs="Arial" w:eastAsia="Arial" w:hAnsi="Arial"/>
                <w:sz w:val="11"/>
                <w:szCs w:val="11"/>
                <w:color w:val="auto"/>
              </w:rPr>
              <w:t>2026</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3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2016</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2.00</w:t>
            </w:r>
          </w:p>
        </w:tc>
        <w:tc>
          <w:tcPr>
            <w:tcW w:w="144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21,996</w:t>
            </w:r>
          </w:p>
        </w:tc>
        <w:tc>
          <w:tcPr>
            <w:tcW w:w="12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1"/>
                <w:szCs w:val="11"/>
                <w:color w:val="auto"/>
              </w:rPr>
              <w:t>21,996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February 2,</w:t>
            </w:r>
          </w:p>
        </w:tc>
        <w:tc>
          <w:tcPr>
            <w:tcW w:w="280" w:type="dxa"/>
            <w:vAlign w:val="bottom"/>
            <w:shd w:val="clear" w:color="auto" w:fill="CCEEFF"/>
          </w:tcPr>
          <w:p>
            <w:pPr>
              <w:spacing w:after="0"/>
              <w:rPr>
                <w:sz w:val="20"/>
                <w:szCs w:val="20"/>
                <w:color w:val="auto"/>
              </w:rPr>
            </w:pPr>
            <w:r>
              <w:rPr>
                <w:rFonts w:ascii="Arial" w:cs="Arial" w:eastAsia="Arial" w:hAnsi="Arial"/>
                <w:sz w:val="11"/>
                <w:szCs w:val="11"/>
                <w:color w:val="auto"/>
              </w:rPr>
              <w:t>2026</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2016</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1.80</w:t>
            </w:r>
          </w:p>
        </w:tc>
        <w:tc>
          <w:tcPr>
            <w:tcW w:w="1440" w:type="dxa"/>
            <w:vAlign w:val="bottom"/>
            <w:vMerge w:val="restart"/>
          </w:tcPr>
          <w:p>
            <w:pPr>
              <w:jc w:val="right"/>
              <w:ind w:right="263"/>
              <w:spacing w:after="0"/>
              <w:rPr>
                <w:sz w:val="20"/>
                <w:szCs w:val="20"/>
                <w:color w:val="auto"/>
              </w:rPr>
            </w:pPr>
            <w:r>
              <w:rPr>
                <w:rFonts w:ascii="Arial" w:cs="Arial" w:eastAsia="Arial" w:hAnsi="Arial"/>
                <w:sz w:val="11"/>
                <w:szCs w:val="11"/>
                <w:color w:val="auto"/>
              </w:rPr>
              <w:t>676,664</w:t>
            </w:r>
          </w:p>
        </w:tc>
        <w:tc>
          <w:tcPr>
            <w:tcW w:w="1280" w:type="dxa"/>
            <w:vAlign w:val="bottom"/>
            <w:vMerge w:val="restart"/>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vMerge w:val="restart"/>
          </w:tcPr>
          <w:p>
            <w:pPr>
              <w:jc w:val="right"/>
              <w:ind w:right="359"/>
              <w:spacing w:after="0"/>
              <w:rPr>
                <w:sz w:val="20"/>
                <w:szCs w:val="20"/>
                <w:color w:val="auto"/>
              </w:rPr>
            </w:pPr>
            <w:r>
              <w:rPr>
                <w:rFonts w:ascii="Arial" w:cs="Arial" w:eastAsia="Arial" w:hAnsi="Arial"/>
                <w:sz w:val="11"/>
                <w:szCs w:val="11"/>
                <w:color w:val="auto"/>
              </w:rPr>
              <w:t>676,664</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August 3,</w:t>
            </w:r>
          </w:p>
        </w:tc>
        <w:tc>
          <w:tcPr>
            <w:tcW w:w="280" w:type="dxa"/>
            <w:vAlign w:val="bottom"/>
          </w:tcPr>
          <w:p>
            <w:pPr>
              <w:spacing w:after="0"/>
              <w:rPr>
                <w:sz w:val="20"/>
                <w:szCs w:val="20"/>
                <w:color w:val="auto"/>
              </w:rPr>
            </w:pPr>
            <w:r>
              <w:rPr>
                <w:rFonts w:ascii="Arial" w:cs="Arial" w:eastAsia="Arial" w:hAnsi="Arial"/>
                <w:sz w:val="11"/>
                <w:szCs w:val="11"/>
                <w:color w:val="auto"/>
              </w:rPr>
              <w:t>2026</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2016</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1.89</w:t>
            </w:r>
          </w:p>
        </w:tc>
        <w:tc>
          <w:tcPr>
            <w:tcW w:w="1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299,997</w:t>
            </w:r>
          </w:p>
        </w:tc>
        <w:tc>
          <w:tcPr>
            <w:tcW w:w="128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1"/>
                <w:szCs w:val="11"/>
                <w:color w:val="auto"/>
              </w:rPr>
              <w:t>299,997</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September 13,</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2026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2016</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2.04</w:t>
            </w:r>
          </w:p>
        </w:tc>
        <w:tc>
          <w:tcPr>
            <w:tcW w:w="1440" w:type="dxa"/>
            <w:vAlign w:val="bottom"/>
            <w:vMerge w:val="restart"/>
          </w:tcPr>
          <w:p>
            <w:pPr>
              <w:jc w:val="right"/>
              <w:ind w:right="263"/>
              <w:spacing w:after="0"/>
              <w:rPr>
                <w:sz w:val="20"/>
                <w:szCs w:val="20"/>
                <w:color w:val="auto"/>
              </w:rPr>
            </w:pPr>
            <w:r>
              <w:rPr>
                <w:rFonts w:ascii="Arial" w:cs="Arial" w:eastAsia="Arial" w:hAnsi="Arial"/>
                <w:sz w:val="11"/>
                <w:szCs w:val="11"/>
                <w:color w:val="auto"/>
              </w:rPr>
              <w:t>300,000</w:t>
            </w:r>
          </w:p>
        </w:tc>
        <w:tc>
          <w:tcPr>
            <w:tcW w:w="1280" w:type="dxa"/>
            <w:vAlign w:val="bottom"/>
            <w:vMerge w:val="restart"/>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vMerge w:val="restart"/>
          </w:tcPr>
          <w:p>
            <w:pPr>
              <w:jc w:val="right"/>
              <w:ind w:right="359"/>
              <w:spacing w:after="0"/>
              <w:rPr>
                <w:sz w:val="20"/>
                <w:szCs w:val="20"/>
                <w:color w:val="auto"/>
              </w:rPr>
            </w:pPr>
            <w:r>
              <w:rPr>
                <w:rFonts w:ascii="Arial" w:cs="Arial" w:eastAsia="Arial" w:hAnsi="Arial"/>
                <w:sz w:val="11"/>
                <w:szCs w:val="11"/>
                <w:color w:val="auto"/>
              </w:rPr>
              <w:t>300,000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September 16,</w:t>
            </w:r>
          </w:p>
        </w:tc>
        <w:tc>
          <w:tcPr>
            <w:tcW w:w="280" w:type="dxa"/>
            <w:vAlign w:val="bottom"/>
          </w:tcPr>
          <w:p>
            <w:pPr>
              <w:spacing w:after="0"/>
              <w:rPr>
                <w:sz w:val="20"/>
                <w:szCs w:val="20"/>
                <w:color w:val="auto"/>
              </w:rPr>
            </w:pPr>
            <w:r>
              <w:rPr>
                <w:rFonts w:ascii="Arial" w:cs="Arial" w:eastAsia="Arial" w:hAnsi="Arial"/>
                <w:sz w:val="11"/>
                <w:szCs w:val="11"/>
                <w:color w:val="auto"/>
              </w:rPr>
              <w:t>2026</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2017</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1.32 - 1.525</w:t>
            </w:r>
          </w:p>
        </w:tc>
        <w:tc>
          <w:tcPr>
            <w:tcW w:w="1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4,093,164</w:t>
            </w:r>
          </w:p>
        </w:tc>
        <w:tc>
          <w:tcPr>
            <w:tcW w:w="128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1"/>
                <w:szCs w:val="11"/>
                <w:color w:val="auto"/>
              </w:rPr>
              <w:t>4,093,164</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April 26,</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2027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2018</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1.46</w:t>
            </w:r>
          </w:p>
        </w:tc>
        <w:tc>
          <w:tcPr>
            <w:tcW w:w="1440" w:type="dxa"/>
            <w:vAlign w:val="bottom"/>
            <w:vMerge w:val="restart"/>
          </w:tcPr>
          <w:p>
            <w:pPr>
              <w:jc w:val="right"/>
              <w:ind w:right="263"/>
              <w:spacing w:after="0"/>
              <w:rPr>
                <w:sz w:val="20"/>
                <w:szCs w:val="20"/>
                <w:color w:val="auto"/>
              </w:rPr>
            </w:pPr>
            <w:r>
              <w:rPr>
                <w:rFonts w:ascii="Arial" w:cs="Arial" w:eastAsia="Arial" w:hAnsi="Arial"/>
                <w:sz w:val="11"/>
                <w:szCs w:val="11"/>
                <w:color w:val="auto"/>
              </w:rPr>
              <w:t>2,008,319</w:t>
            </w:r>
          </w:p>
        </w:tc>
        <w:tc>
          <w:tcPr>
            <w:tcW w:w="1280" w:type="dxa"/>
            <w:vAlign w:val="bottom"/>
            <w:vMerge w:val="restart"/>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vMerge w:val="restart"/>
          </w:tcPr>
          <w:p>
            <w:pPr>
              <w:jc w:val="right"/>
              <w:ind w:right="203"/>
              <w:spacing w:after="0"/>
              <w:rPr>
                <w:sz w:val="20"/>
                <w:szCs w:val="20"/>
                <w:color w:val="auto"/>
              </w:rPr>
            </w:pPr>
            <w:r>
              <w:rPr>
                <w:rFonts w:ascii="Arial" w:cs="Arial" w:eastAsia="Arial" w:hAnsi="Arial"/>
                <w:sz w:val="11"/>
                <w:szCs w:val="11"/>
                <w:color w:val="auto"/>
              </w:rPr>
              <w:t>(34,614)</w:t>
            </w:r>
          </w:p>
        </w:tc>
        <w:tc>
          <w:tcPr>
            <w:tcW w:w="64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vMerge w:val="restart"/>
          </w:tcPr>
          <w:p>
            <w:pPr>
              <w:jc w:val="right"/>
              <w:ind w:right="359"/>
              <w:spacing w:after="0"/>
              <w:rPr>
                <w:sz w:val="20"/>
                <w:szCs w:val="20"/>
                <w:color w:val="auto"/>
              </w:rPr>
            </w:pPr>
            <w:r>
              <w:rPr>
                <w:rFonts w:ascii="Arial" w:cs="Arial" w:eastAsia="Arial" w:hAnsi="Arial"/>
                <w:sz w:val="11"/>
                <w:szCs w:val="11"/>
                <w:color w:val="auto"/>
              </w:rPr>
              <w:t>1,973,705</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March 8,</w:t>
            </w:r>
          </w:p>
        </w:tc>
        <w:tc>
          <w:tcPr>
            <w:tcW w:w="280" w:type="dxa"/>
            <w:vAlign w:val="bottom"/>
          </w:tcPr>
          <w:p>
            <w:pPr>
              <w:spacing w:after="0"/>
              <w:rPr>
                <w:sz w:val="20"/>
                <w:szCs w:val="20"/>
                <w:color w:val="auto"/>
              </w:rPr>
            </w:pPr>
            <w:r>
              <w:rPr>
                <w:rFonts w:ascii="Arial" w:cs="Arial" w:eastAsia="Arial" w:hAnsi="Arial"/>
                <w:sz w:val="11"/>
                <w:szCs w:val="11"/>
                <w:color w:val="auto"/>
              </w:rPr>
              <w:t>2028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570.00</w:t>
            </w:r>
          </w:p>
        </w:tc>
        <w:tc>
          <w:tcPr>
            <w:tcW w:w="1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3,903,050</w:t>
            </w:r>
          </w:p>
        </w:tc>
        <w:tc>
          <w:tcPr>
            <w:tcW w:w="136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1"/>
                <w:szCs w:val="11"/>
                <w:color w:val="auto"/>
              </w:rPr>
              <w:t>(87,356)</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1"/>
                <w:szCs w:val="11"/>
                <w:color w:val="auto"/>
              </w:rPr>
              <w:t>3,815,694</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March 29,</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2029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2019</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595.00</w:t>
            </w:r>
          </w:p>
        </w:tc>
        <w:tc>
          <w:tcPr>
            <w:tcW w:w="1440" w:type="dxa"/>
            <w:vAlign w:val="bottom"/>
            <w:vMerge w:val="restart"/>
          </w:tcPr>
          <w:p>
            <w:pPr>
              <w:jc w:val="right"/>
              <w:ind w:right="263"/>
              <w:spacing w:after="0"/>
              <w:rPr>
                <w:sz w:val="20"/>
                <w:szCs w:val="20"/>
                <w:color w:val="auto"/>
              </w:rPr>
            </w:pPr>
            <w:r>
              <w:rPr>
                <w:rFonts w:ascii="Arial" w:cs="Arial" w:eastAsia="Arial" w:hAnsi="Arial"/>
                <w:sz w:val="11"/>
                <w:szCs w:val="11"/>
                <w:color w:val="auto"/>
              </w:rPr>
              <w:t>—</w:t>
            </w:r>
          </w:p>
        </w:tc>
        <w:tc>
          <w:tcPr>
            <w:tcW w:w="1280" w:type="dxa"/>
            <w:vAlign w:val="bottom"/>
            <w:vMerge w:val="restart"/>
          </w:tcPr>
          <w:p>
            <w:pPr>
              <w:jc w:val="right"/>
              <w:ind w:right="263"/>
              <w:spacing w:after="0"/>
              <w:rPr>
                <w:sz w:val="20"/>
                <w:szCs w:val="20"/>
                <w:color w:val="auto"/>
              </w:rPr>
            </w:pPr>
            <w:r>
              <w:rPr>
                <w:rFonts w:ascii="Arial" w:cs="Arial" w:eastAsia="Arial" w:hAnsi="Arial"/>
                <w:sz w:val="11"/>
                <w:szCs w:val="11"/>
                <w:color w:val="auto"/>
              </w:rPr>
              <w:t>346,000</w:t>
            </w:r>
          </w:p>
        </w:tc>
        <w:tc>
          <w:tcPr>
            <w:tcW w:w="136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vMerge w:val="restart"/>
          </w:tcPr>
          <w:p>
            <w:pPr>
              <w:jc w:val="right"/>
              <w:ind w:right="359"/>
              <w:spacing w:after="0"/>
              <w:rPr>
                <w:sz w:val="20"/>
                <w:szCs w:val="20"/>
                <w:color w:val="auto"/>
              </w:rPr>
            </w:pPr>
            <w:r>
              <w:rPr>
                <w:rFonts w:ascii="Arial" w:cs="Arial" w:eastAsia="Arial" w:hAnsi="Arial"/>
                <w:sz w:val="11"/>
                <w:szCs w:val="11"/>
                <w:color w:val="auto"/>
              </w:rPr>
              <w:t>346,000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June 11,</w:t>
            </w:r>
          </w:p>
        </w:tc>
        <w:tc>
          <w:tcPr>
            <w:tcW w:w="280" w:type="dxa"/>
            <w:vAlign w:val="bottom"/>
          </w:tcPr>
          <w:p>
            <w:pPr>
              <w:spacing w:after="0"/>
              <w:rPr>
                <w:sz w:val="20"/>
                <w:szCs w:val="20"/>
                <w:color w:val="auto"/>
              </w:rPr>
            </w:pPr>
            <w:r>
              <w:rPr>
                <w:rFonts w:ascii="Arial" w:cs="Arial" w:eastAsia="Arial" w:hAnsi="Arial"/>
                <w:sz w:val="11"/>
                <w:szCs w:val="11"/>
                <w:color w:val="auto"/>
              </w:rPr>
              <w:t>2029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457.00</w:t>
            </w:r>
          </w:p>
        </w:tc>
        <w:tc>
          <w:tcPr>
            <w:tcW w:w="1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100,000</w:t>
            </w:r>
          </w:p>
        </w:tc>
        <w:tc>
          <w:tcPr>
            <w:tcW w:w="13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1"/>
                <w:szCs w:val="11"/>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August 22,</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2029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40" w:type="dxa"/>
            <w:vAlign w:val="bottom"/>
            <w:vMerge w:val="restart"/>
          </w:tcPr>
          <w:p>
            <w:pPr>
              <w:ind w:left="20"/>
              <w:spacing w:after="0"/>
              <w:rPr>
                <w:sz w:val="20"/>
                <w:szCs w:val="20"/>
                <w:color w:val="auto"/>
              </w:rPr>
            </w:pPr>
            <w:r>
              <w:rPr>
                <w:rFonts w:ascii="Arial" w:cs="Arial" w:eastAsia="Arial" w:hAnsi="Arial"/>
                <w:sz w:val="11"/>
                <w:szCs w:val="11"/>
                <w:color w:val="auto"/>
              </w:rPr>
              <w:t>2019</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0.436</w:t>
            </w:r>
          </w:p>
        </w:tc>
        <w:tc>
          <w:tcPr>
            <w:tcW w:w="1440" w:type="dxa"/>
            <w:vAlign w:val="bottom"/>
            <w:vMerge w:val="restart"/>
          </w:tcPr>
          <w:p>
            <w:pPr>
              <w:jc w:val="right"/>
              <w:ind w:right="263"/>
              <w:spacing w:after="0"/>
              <w:rPr>
                <w:sz w:val="20"/>
                <w:szCs w:val="20"/>
                <w:color w:val="auto"/>
              </w:rPr>
            </w:pPr>
            <w:r>
              <w:rPr>
                <w:rFonts w:ascii="Arial" w:cs="Arial" w:eastAsia="Arial" w:hAnsi="Arial"/>
                <w:sz w:val="11"/>
                <w:szCs w:val="11"/>
                <w:color w:val="auto"/>
              </w:rPr>
              <w:t>—</w:t>
            </w:r>
          </w:p>
        </w:tc>
        <w:tc>
          <w:tcPr>
            <w:tcW w:w="1280" w:type="dxa"/>
            <w:vAlign w:val="bottom"/>
            <w:vMerge w:val="restart"/>
          </w:tcPr>
          <w:p>
            <w:pPr>
              <w:jc w:val="right"/>
              <w:ind w:right="263"/>
              <w:spacing w:after="0"/>
              <w:rPr>
                <w:sz w:val="20"/>
                <w:szCs w:val="20"/>
                <w:color w:val="auto"/>
              </w:rPr>
            </w:pPr>
            <w:r>
              <w:rPr>
                <w:rFonts w:ascii="Arial" w:cs="Arial" w:eastAsia="Arial" w:hAnsi="Arial"/>
                <w:sz w:val="11"/>
                <w:szCs w:val="11"/>
                <w:color w:val="auto"/>
              </w:rPr>
              <w:t>720,000</w:t>
            </w:r>
          </w:p>
        </w:tc>
        <w:tc>
          <w:tcPr>
            <w:tcW w:w="136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4"/>
                <w:szCs w:val="14"/>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vMerge w:val="restart"/>
          </w:tcPr>
          <w:p>
            <w:pPr>
              <w:jc w:val="right"/>
              <w:ind w:right="359"/>
              <w:spacing w:after="0"/>
              <w:rPr>
                <w:sz w:val="20"/>
                <w:szCs w:val="20"/>
                <w:color w:val="auto"/>
              </w:rPr>
            </w:pPr>
            <w:r>
              <w:rPr>
                <w:rFonts w:ascii="Arial" w:cs="Arial" w:eastAsia="Arial" w:hAnsi="Arial"/>
                <w:sz w:val="11"/>
                <w:szCs w:val="11"/>
                <w:color w:val="auto"/>
              </w:rPr>
              <w:t>720,000</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November 6,</w:t>
            </w:r>
          </w:p>
        </w:tc>
        <w:tc>
          <w:tcPr>
            <w:tcW w:w="280" w:type="dxa"/>
            <w:vAlign w:val="bottom"/>
          </w:tcPr>
          <w:p>
            <w:pPr>
              <w:spacing w:after="0"/>
              <w:rPr>
                <w:sz w:val="20"/>
                <w:szCs w:val="20"/>
                <w:color w:val="auto"/>
              </w:rPr>
            </w:pPr>
            <w:r>
              <w:rPr>
                <w:rFonts w:ascii="Arial" w:cs="Arial" w:eastAsia="Arial" w:hAnsi="Arial"/>
                <w:sz w:val="11"/>
                <w:szCs w:val="11"/>
                <w:color w:val="auto"/>
              </w:rPr>
              <w:t>2029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3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445.00</w:t>
            </w:r>
          </w:p>
        </w:tc>
        <w:tc>
          <w:tcPr>
            <w:tcW w:w="1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500,000</w:t>
            </w:r>
          </w:p>
        </w:tc>
        <w:tc>
          <w:tcPr>
            <w:tcW w:w="1360" w:type="dxa"/>
            <w:vAlign w:val="bottom"/>
            <w:tcBorders>
              <w:bottom w:val="single" w:sz="8" w:color="CCEEFF"/>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7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1"/>
                <w:szCs w:val="11"/>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November 26,</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2029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Total</w:t>
            </w:r>
          </w:p>
        </w:tc>
        <w:tc>
          <w:tcPr>
            <w:tcW w:w="10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rPr>
              <w:t>8,752,114</w:t>
            </w:r>
          </w:p>
        </w:tc>
        <w:tc>
          <w:tcPr>
            <w:tcW w:w="12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rPr>
              <w:t>5,569,050</w:t>
            </w:r>
          </w:p>
        </w:tc>
        <w:tc>
          <w:tcPr>
            <w:tcW w:w="1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color w:val="auto"/>
              </w:rPr>
              <w:t>(121,970)</w:t>
            </w:r>
          </w:p>
        </w:tc>
        <w:tc>
          <w:tcPr>
            <w:tcW w:w="100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1"/>
                <w:szCs w:val="11"/>
                <w:color w:val="auto"/>
              </w:rPr>
              <w:t>(19,998)</w:t>
            </w:r>
          </w:p>
        </w:tc>
        <w:tc>
          <w:tcPr>
            <w:tcW w:w="17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1"/>
                <w:szCs w:val="11"/>
                <w:color w:val="auto"/>
              </w:rPr>
              <w:t>14,179,196</w:t>
            </w:r>
          </w:p>
        </w:tc>
        <w:tc>
          <w:tcPr>
            <w:tcW w:w="1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520" w:hanging="514"/>
        <w:spacing w:after="0"/>
        <w:tabs>
          <w:tab w:leader="none" w:pos="520" w:val="left"/>
        </w:tabs>
        <w:numPr>
          <w:ilvl w:val="0"/>
          <w:numId w:val="92"/>
        </w:numPr>
        <w:rPr>
          <w:rFonts w:ascii="Arial" w:cs="Arial" w:eastAsia="Arial" w:hAnsi="Arial"/>
          <w:sz w:val="11"/>
          <w:szCs w:val="11"/>
          <w:color w:val="auto"/>
        </w:rPr>
      </w:pPr>
      <w:r>
        <w:rPr>
          <w:rFonts w:ascii="Arial" w:cs="Arial" w:eastAsia="Arial" w:hAnsi="Arial"/>
          <w:sz w:val="11"/>
          <w:szCs w:val="11"/>
          <w:color w:val="auto"/>
        </w:rPr>
        <w:t>Options granted under the EMI Scheme.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40"/>
          </w:cols>
          <w:pgMar w:left="220" w:top="140" w:right="239" w:bottom="1440" w:gutter="0" w:footer="0" w:header="0"/>
        </w:sectPr>
      </w:pPr>
    </w:p>
    <w:bookmarkStart w:id="151" w:name="page152"/>
    <w:bookmarkEnd w:id="1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Share-based payments charge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the following RSU movements in the year ended December 31, 2019:</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jc w:val="center"/>
              <w:ind w:right="183"/>
              <w:spacing w:after="0"/>
              <w:rPr>
                <w:sz w:val="20"/>
                <w:szCs w:val="20"/>
                <w:color w:val="auto"/>
              </w:rPr>
            </w:pPr>
            <w:r>
              <w:rPr>
                <w:rFonts w:ascii="Arial" w:cs="Arial" w:eastAsia="Arial" w:hAnsi="Arial"/>
                <w:sz w:val="11"/>
                <w:szCs w:val="11"/>
                <w:b w:val="1"/>
                <w:bCs w:val="1"/>
                <w:color w:val="auto"/>
              </w:rPr>
              <w:t>Exercise</w:t>
            </w:r>
          </w:p>
        </w:tc>
        <w:tc>
          <w:tcPr>
            <w:tcW w:w="1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Year of</w:t>
            </w:r>
          </w:p>
        </w:tc>
        <w:tc>
          <w:tcPr>
            <w:tcW w:w="940" w:type="dxa"/>
            <w:vAlign w:val="bottom"/>
          </w:tcPr>
          <w:p>
            <w:pPr>
              <w:jc w:val="center"/>
              <w:ind w:right="183"/>
              <w:spacing w:after="0"/>
              <w:rPr>
                <w:sz w:val="20"/>
                <w:szCs w:val="20"/>
                <w:color w:val="auto"/>
              </w:rPr>
            </w:pPr>
            <w:r>
              <w:rPr>
                <w:rFonts w:ascii="Arial" w:cs="Arial" w:eastAsia="Arial" w:hAnsi="Arial"/>
                <w:sz w:val="11"/>
                <w:szCs w:val="11"/>
                <w:b w:val="1"/>
                <w:bCs w:val="1"/>
                <w:color w:val="auto"/>
                <w:w w:val="98"/>
              </w:rPr>
              <w:t>price</w:t>
            </w:r>
          </w:p>
        </w:tc>
        <w:tc>
          <w:tcPr>
            <w:tcW w:w="1700" w:type="dxa"/>
            <w:vAlign w:val="bottom"/>
          </w:tcPr>
          <w:p>
            <w:pPr>
              <w:spacing w:after="0"/>
              <w:rPr>
                <w:sz w:val="11"/>
                <w:szCs w:val="11"/>
                <w:color w:val="auto"/>
              </w:rPr>
            </w:pPr>
          </w:p>
        </w:tc>
        <w:tc>
          <w:tcPr>
            <w:tcW w:w="1600" w:type="dxa"/>
            <w:vAlign w:val="bottom"/>
          </w:tcPr>
          <w:p>
            <w:pPr>
              <w:jc w:val="right"/>
              <w:ind w:right="863"/>
              <w:spacing w:after="0"/>
              <w:rPr>
                <w:sz w:val="20"/>
                <w:szCs w:val="20"/>
                <w:color w:val="auto"/>
              </w:rPr>
            </w:pPr>
            <w:r>
              <w:rPr>
                <w:rFonts w:ascii="Arial" w:cs="Arial" w:eastAsia="Arial" w:hAnsi="Arial"/>
                <w:sz w:val="11"/>
                <w:szCs w:val="11"/>
                <w:b w:val="1"/>
                <w:bCs w:val="1"/>
                <w:color w:val="auto"/>
              </w:rPr>
              <w:t>Units</w:t>
            </w:r>
          </w:p>
        </w:tc>
        <w:tc>
          <w:tcPr>
            <w:tcW w:w="1180" w:type="dxa"/>
            <w:vAlign w:val="bottom"/>
          </w:tcPr>
          <w:p>
            <w:pPr>
              <w:jc w:val="right"/>
              <w:ind w:right="758"/>
              <w:spacing w:after="0"/>
              <w:rPr>
                <w:sz w:val="20"/>
                <w:szCs w:val="20"/>
                <w:color w:val="auto"/>
              </w:rPr>
            </w:pPr>
            <w:r>
              <w:rPr>
                <w:rFonts w:ascii="Arial" w:cs="Arial" w:eastAsia="Arial" w:hAnsi="Arial"/>
                <w:sz w:val="11"/>
                <w:szCs w:val="11"/>
                <w:b w:val="1"/>
                <w:bCs w:val="1"/>
                <w:color w:val="auto"/>
              </w:rPr>
              <w:t>Units</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Units</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issue</w:t>
            </w:r>
          </w:p>
        </w:tc>
        <w:tc>
          <w:tcPr>
            <w:tcW w:w="940" w:type="dxa"/>
            <w:vAlign w:val="bottom"/>
            <w:tcBorders>
              <w:bottom w:val="single" w:sz="8" w:color="auto"/>
            </w:tcBorders>
          </w:tcPr>
          <w:p>
            <w:pPr>
              <w:jc w:val="center"/>
              <w:ind w:right="183"/>
              <w:spacing w:after="0"/>
              <w:rPr>
                <w:sz w:val="20"/>
                <w:szCs w:val="20"/>
                <w:color w:val="auto"/>
              </w:rPr>
            </w:pPr>
            <w:r>
              <w:rPr>
                <w:rFonts w:ascii="Arial" w:cs="Arial" w:eastAsia="Arial" w:hAnsi="Arial"/>
                <w:sz w:val="11"/>
                <w:szCs w:val="11"/>
                <w:b w:val="1"/>
                <w:bCs w:val="1"/>
                <w:color w:val="auto"/>
              </w:rPr>
              <w:t>(£)</w:t>
            </w:r>
          </w:p>
        </w:tc>
        <w:tc>
          <w:tcPr>
            <w:tcW w:w="1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At January 1, 2019</w:t>
            </w:r>
          </w:p>
        </w:tc>
        <w:tc>
          <w:tcPr>
            <w:tcW w:w="1600" w:type="dxa"/>
            <w:vAlign w:val="bottom"/>
            <w:tcBorders>
              <w:bottom w:val="single" w:sz="8" w:color="auto"/>
            </w:tcBorders>
          </w:tcPr>
          <w:p>
            <w:pPr>
              <w:jc w:val="right"/>
              <w:ind w:right="783"/>
              <w:spacing w:after="0"/>
              <w:rPr>
                <w:sz w:val="20"/>
                <w:szCs w:val="20"/>
                <w:color w:val="auto"/>
              </w:rPr>
            </w:pPr>
            <w:r>
              <w:rPr>
                <w:rFonts w:ascii="Arial" w:cs="Arial" w:eastAsia="Arial" w:hAnsi="Arial"/>
                <w:sz w:val="11"/>
                <w:szCs w:val="11"/>
                <w:b w:val="1"/>
                <w:bCs w:val="1"/>
                <w:color w:val="auto"/>
              </w:rPr>
              <w:t>granted</w:t>
            </w:r>
          </w:p>
        </w:tc>
        <w:tc>
          <w:tcPr>
            <w:tcW w:w="1180" w:type="dxa"/>
            <w:vAlign w:val="bottom"/>
            <w:tcBorders>
              <w:bottom w:val="single" w:sz="8" w:color="auto"/>
            </w:tcBorders>
          </w:tcPr>
          <w:p>
            <w:pPr>
              <w:jc w:val="right"/>
              <w:ind w:right="718"/>
              <w:spacing w:after="0"/>
              <w:rPr>
                <w:sz w:val="20"/>
                <w:szCs w:val="20"/>
                <w:color w:val="auto"/>
              </w:rPr>
            </w:pPr>
            <w:r>
              <w:rPr>
                <w:rFonts w:ascii="Arial" w:cs="Arial" w:eastAsia="Arial" w:hAnsi="Arial"/>
                <w:sz w:val="11"/>
                <w:szCs w:val="11"/>
                <w:b w:val="1"/>
                <w:bCs w:val="1"/>
                <w:color w:val="auto"/>
              </w:rPr>
              <w:t>vested</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forfeited</w:t>
            </w:r>
          </w:p>
        </w:tc>
        <w:tc>
          <w:tcPr>
            <w:tcW w:w="208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1"/>
                <w:szCs w:val="11"/>
                <w:b w:val="1"/>
                <w:bCs w:val="1"/>
                <w:color w:val="auto"/>
              </w:rPr>
              <w:t>At December 31, 2019</w:t>
            </w:r>
          </w:p>
        </w:tc>
        <w:tc>
          <w:tcPr>
            <w:tcW w:w="2460" w:type="dxa"/>
            <w:vAlign w:val="bottom"/>
            <w:tcBorders>
              <w:bottom w:val="single" w:sz="8" w:color="auto"/>
            </w:tcBorders>
            <w:gridSpan w:val="2"/>
          </w:tcPr>
          <w:p>
            <w:pPr>
              <w:jc w:val="right"/>
              <w:ind w:right="1177"/>
              <w:spacing w:after="0"/>
              <w:rPr>
                <w:sz w:val="20"/>
                <w:szCs w:val="20"/>
                <w:color w:val="auto"/>
              </w:rPr>
            </w:pPr>
            <w:r>
              <w:rPr>
                <w:rFonts w:ascii="Arial" w:cs="Arial" w:eastAsia="Arial" w:hAnsi="Arial"/>
                <w:sz w:val="11"/>
                <w:szCs w:val="11"/>
                <w:b w:val="1"/>
                <w:bCs w:val="1"/>
                <w:color w:val="auto"/>
              </w:rPr>
              <w:t>Expiry date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2017</w:t>
            </w:r>
          </w:p>
        </w:tc>
        <w:tc>
          <w:tcPr>
            <w:tcW w:w="9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1"/>
                <w:szCs w:val="11"/>
                <w:color w:val="auto"/>
              </w:rPr>
              <w:t>729,987</w:t>
            </w:r>
          </w:p>
        </w:tc>
        <w:tc>
          <w:tcPr>
            <w:tcW w:w="160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shd w:val="clear" w:color="auto" w:fill="CCEEFF"/>
          </w:tcPr>
          <w:p>
            <w:pPr>
              <w:jc w:val="right"/>
              <w:ind w:right="498"/>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shd w:val="clear" w:color="auto" w:fill="CCEEFF"/>
          </w:tcPr>
          <w:p>
            <w:pPr>
              <w:jc w:val="right"/>
              <w:ind w:right="323"/>
              <w:spacing w:after="0"/>
              <w:rPr>
                <w:sz w:val="20"/>
                <w:szCs w:val="20"/>
                <w:color w:val="auto"/>
              </w:rPr>
            </w:pPr>
            <w:r>
              <w:rPr>
                <w:rFonts w:ascii="Arial" w:cs="Arial" w:eastAsia="Arial" w:hAnsi="Arial"/>
                <w:sz w:val="11"/>
                <w:szCs w:val="11"/>
                <w:color w:val="auto"/>
              </w:rPr>
              <w:t>729,987</w:t>
            </w:r>
          </w:p>
        </w:tc>
        <w:tc>
          <w:tcPr>
            <w:tcW w:w="8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1"/>
                <w:szCs w:val="11"/>
                <w:color w:val="auto"/>
              </w:rPr>
              <w:t>April 26, 2027</w:t>
            </w:r>
          </w:p>
        </w:tc>
        <w:tc>
          <w:tcPr>
            <w:tcW w:w="0" w:type="dxa"/>
            <w:vAlign w:val="bottom"/>
          </w:tcPr>
          <w:p>
            <w:pPr>
              <w:spacing w:after="0"/>
              <w:rPr>
                <w:sz w:val="1"/>
                <w:szCs w:val="1"/>
                <w:color w:val="auto"/>
              </w:rPr>
            </w:pPr>
          </w:p>
        </w:tc>
      </w:tr>
      <w:tr>
        <w:trPr>
          <w:trHeight w:val="163"/>
        </w:trPr>
        <w:tc>
          <w:tcPr>
            <w:tcW w:w="940" w:type="dxa"/>
            <w:vAlign w:val="bottom"/>
            <w:gridSpan w:val="2"/>
            <w:vMerge w:val="restart"/>
          </w:tcPr>
          <w:p>
            <w:pPr>
              <w:ind w:left="40"/>
              <w:spacing w:after="0"/>
              <w:rPr>
                <w:sz w:val="20"/>
                <w:szCs w:val="20"/>
                <w:color w:val="auto"/>
              </w:rPr>
            </w:pPr>
            <w:r>
              <w:rPr>
                <w:rFonts w:ascii="Arial" w:cs="Arial" w:eastAsia="Arial" w:hAnsi="Arial"/>
                <w:sz w:val="11"/>
                <w:szCs w:val="11"/>
                <w:color w:val="auto"/>
              </w:rPr>
              <w:t>2018</w:t>
            </w:r>
          </w:p>
        </w:tc>
        <w:tc>
          <w:tcPr>
            <w:tcW w:w="940" w:type="dxa"/>
            <w:vAlign w:val="bottom"/>
          </w:tcPr>
          <w:p>
            <w:pPr>
              <w:spacing w:after="0"/>
              <w:rPr>
                <w:sz w:val="14"/>
                <w:szCs w:val="14"/>
                <w:color w:val="auto"/>
              </w:rPr>
            </w:pPr>
          </w:p>
        </w:tc>
        <w:tc>
          <w:tcPr>
            <w:tcW w:w="1700" w:type="dxa"/>
            <w:vAlign w:val="bottom"/>
            <w:vMerge w:val="restart"/>
          </w:tcPr>
          <w:p>
            <w:pPr>
              <w:jc w:val="right"/>
              <w:ind w:right="263"/>
              <w:spacing w:after="0"/>
              <w:rPr>
                <w:sz w:val="20"/>
                <w:szCs w:val="20"/>
                <w:color w:val="auto"/>
              </w:rPr>
            </w:pPr>
            <w:r>
              <w:rPr>
                <w:rFonts w:ascii="Arial" w:cs="Arial" w:eastAsia="Arial" w:hAnsi="Arial"/>
                <w:sz w:val="11"/>
                <w:szCs w:val="11"/>
                <w:color w:val="auto"/>
              </w:rPr>
              <w:t>132,486</w:t>
            </w:r>
          </w:p>
        </w:tc>
        <w:tc>
          <w:tcPr>
            <w:tcW w:w="1600" w:type="dxa"/>
            <w:vAlign w:val="bottom"/>
            <w:vMerge w:val="restart"/>
          </w:tcPr>
          <w:p>
            <w:pPr>
              <w:jc w:val="right"/>
              <w:ind w:right="483"/>
              <w:spacing w:after="0"/>
              <w:rPr>
                <w:sz w:val="20"/>
                <w:szCs w:val="20"/>
                <w:color w:val="auto"/>
              </w:rPr>
            </w:pPr>
            <w:r>
              <w:rPr>
                <w:rFonts w:ascii="Arial" w:cs="Arial" w:eastAsia="Arial" w:hAnsi="Arial"/>
                <w:sz w:val="11"/>
                <w:szCs w:val="11"/>
                <w:color w:val="auto"/>
              </w:rPr>
              <w:t>—</w:t>
            </w:r>
          </w:p>
        </w:tc>
        <w:tc>
          <w:tcPr>
            <w:tcW w:w="1180" w:type="dxa"/>
            <w:vAlign w:val="bottom"/>
            <w:vMerge w:val="restart"/>
          </w:tcPr>
          <w:p>
            <w:pPr>
              <w:jc w:val="right"/>
              <w:ind w:right="498"/>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1100" w:type="dxa"/>
            <w:vAlign w:val="bottom"/>
            <w:vMerge w:val="restart"/>
          </w:tcPr>
          <w:p>
            <w:pPr>
              <w:jc w:val="right"/>
              <w:ind w:right="798"/>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323"/>
              <w:spacing w:after="0"/>
              <w:rPr>
                <w:sz w:val="20"/>
                <w:szCs w:val="20"/>
                <w:color w:val="auto"/>
              </w:rPr>
            </w:pPr>
            <w:r>
              <w:rPr>
                <w:rFonts w:ascii="Arial" w:cs="Arial" w:eastAsia="Arial" w:hAnsi="Arial"/>
                <w:sz w:val="11"/>
                <w:szCs w:val="11"/>
                <w:color w:val="auto"/>
              </w:rPr>
              <w:t>132,486</w:t>
            </w:r>
          </w:p>
        </w:tc>
        <w:tc>
          <w:tcPr>
            <w:tcW w:w="820" w:type="dxa"/>
            <w:vAlign w:val="bottom"/>
          </w:tcPr>
          <w:p>
            <w:pPr>
              <w:spacing w:after="0"/>
              <w:rPr>
                <w:sz w:val="14"/>
                <w:szCs w:val="14"/>
                <w:color w:val="auto"/>
              </w:rPr>
            </w:pPr>
          </w:p>
        </w:tc>
        <w:tc>
          <w:tcPr>
            <w:tcW w:w="1640" w:type="dxa"/>
            <w:vAlign w:val="bottom"/>
          </w:tcPr>
          <w:p>
            <w:pPr>
              <w:jc w:val="right"/>
              <w:ind w:right="417"/>
              <w:spacing w:after="0"/>
              <w:rPr>
                <w:sz w:val="20"/>
                <w:szCs w:val="20"/>
                <w:color w:val="auto"/>
              </w:rPr>
            </w:pPr>
            <w:r>
              <w:rPr>
                <w:rFonts w:ascii="Arial" w:cs="Arial" w:eastAsia="Arial" w:hAnsi="Arial"/>
                <w:sz w:val="11"/>
                <w:szCs w:val="11"/>
                <w:color w:val="auto"/>
              </w:rPr>
              <w:t>March 8, 2028</w:t>
            </w:r>
          </w:p>
        </w:tc>
        <w:tc>
          <w:tcPr>
            <w:tcW w:w="0" w:type="dxa"/>
            <w:vAlign w:val="bottom"/>
          </w:tcPr>
          <w:p>
            <w:pPr>
              <w:spacing w:after="0"/>
              <w:rPr>
                <w:sz w:val="1"/>
                <w:szCs w:val="1"/>
                <w:color w:val="auto"/>
              </w:rPr>
            </w:pPr>
          </w:p>
        </w:tc>
      </w:tr>
      <w:tr>
        <w:trPr>
          <w:trHeight w:val="48"/>
        </w:trPr>
        <w:tc>
          <w:tcPr>
            <w:tcW w:w="94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9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1"/>
                <w:szCs w:val="11"/>
                <w:color w:val="auto"/>
              </w:rPr>
              <w:t>740,496</w:t>
            </w:r>
          </w:p>
        </w:tc>
        <w:tc>
          <w:tcPr>
            <w:tcW w:w="1180" w:type="dxa"/>
            <w:vAlign w:val="bottom"/>
            <w:tcBorders>
              <w:bottom w:val="single" w:sz="8" w:color="CCEEFF"/>
            </w:tcBorders>
            <w:shd w:val="clear" w:color="auto" w:fill="CCEEFF"/>
          </w:tcPr>
          <w:p>
            <w:pPr>
              <w:jc w:val="right"/>
              <w:ind w:right="498"/>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shd w:val="clear" w:color="auto" w:fill="CCEEFF"/>
          </w:tcPr>
          <w:p>
            <w:pPr>
              <w:jc w:val="right"/>
              <w:ind w:right="323"/>
              <w:spacing w:after="0"/>
              <w:rPr>
                <w:sz w:val="20"/>
                <w:szCs w:val="20"/>
                <w:color w:val="auto"/>
              </w:rPr>
            </w:pPr>
            <w:r>
              <w:rPr>
                <w:rFonts w:ascii="Arial" w:cs="Arial" w:eastAsia="Arial" w:hAnsi="Arial"/>
                <w:sz w:val="11"/>
                <w:szCs w:val="11"/>
                <w:color w:val="auto"/>
              </w:rPr>
              <w:t>740,496</w:t>
            </w:r>
          </w:p>
        </w:tc>
        <w:tc>
          <w:tcPr>
            <w:tcW w:w="8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1"/>
                <w:szCs w:val="11"/>
                <w:color w:val="auto"/>
              </w:rPr>
              <w:t>March 29, 2027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Total</w:t>
            </w:r>
          </w:p>
        </w:tc>
        <w:tc>
          <w:tcPr>
            <w:tcW w:w="9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color w:val="auto"/>
              </w:rPr>
              <w:t>862,473</w:t>
            </w:r>
          </w:p>
        </w:tc>
        <w:tc>
          <w:tcPr>
            <w:tcW w:w="16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1"/>
                <w:szCs w:val="11"/>
                <w:color w:val="auto"/>
              </w:rPr>
              <w:t>740,496</w:t>
            </w:r>
          </w:p>
        </w:tc>
        <w:tc>
          <w:tcPr>
            <w:tcW w:w="11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color w:val="auto"/>
              </w:rPr>
              <w:t>1,602,969</w:t>
            </w:r>
          </w:p>
        </w:tc>
        <w:tc>
          <w:tcPr>
            <w:tcW w:w="8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bottom w:val="single" w:sz="8" w:color="auto"/>
            </w:tcBorders>
            <w:gridSpan w:val="4"/>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180" w:type="dxa"/>
            <w:vAlign w:val="bottom"/>
            <w:gridSpan w:val="5"/>
          </w:tcPr>
          <w:p>
            <w:pPr>
              <w:jc w:val="right"/>
              <w:spacing w:after="0"/>
              <w:rPr>
                <w:sz w:val="20"/>
                <w:szCs w:val="20"/>
                <w:color w:val="auto"/>
              </w:rPr>
            </w:pPr>
            <w:r>
              <w:rPr>
                <w:rFonts w:ascii="Arial" w:cs="Arial" w:eastAsia="Arial" w:hAnsi="Arial"/>
                <w:sz w:val="14"/>
                <w:szCs w:val="14"/>
                <w:color w:val="auto"/>
              </w:rPr>
              <w:t>Outstanding and exercisable share options by scheme as of December 31, 2019:</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0" w:type="dxa"/>
            <w:vAlign w:val="bottom"/>
            <w:gridSpan w:val="2"/>
          </w:tcPr>
          <w:p>
            <w:pPr>
              <w:jc w:val="right"/>
              <w:ind w:right="52"/>
              <w:spacing w:after="0"/>
              <w:rPr>
                <w:sz w:val="20"/>
                <w:szCs w:val="20"/>
                <w:color w:val="auto"/>
              </w:rPr>
            </w:pPr>
            <w:r>
              <w:rPr>
                <w:rFonts w:ascii="Arial" w:cs="Arial" w:eastAsia="Arial" w:hAnsi="Arial"/>
                <w:sz w:val="11"/>
                <w:szCs w:val="11"/>
                <w:b w:val="1"/>
                <w:bCs w:val="1"/>
                <w:color w:val="auto"/>
              </w:rPr>
              <w:t>Weighted average exercise</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auto"/>
              </w:rPr>
              <w:t>Weighted average exercise</w:t>
            </w: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Plan</w:t>
            </w:r>
          </w:p>
        </w:tc>
        <w:tc>
          <w:tcPr>
            <w:tcW w:w="9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Outstanding</w:t>
            </w: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Exercisable</w:t>
            </w:r>
          </w:p>
        </w:tc>
        <w:tc>
          <w:tcPr>
            <w:tcW w:w="18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1"/>
                <w:szCs w:val="11"/>
                <w:b w:val="1"/>
                <w:bCs w:val="1"/>
                <w:color w:val="auto"/>
              </w:rPr>
              <w:t>price in £ for Outstanding</w:t>
            </w:r>
          </w:p>
        </w:tc>
        <w:tc>
          <w:tcPr>
            <w:tcW w:w="164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price in £ for Exercisable</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Unapproved</w:t>
            </w:r>
          </w:p>
        </w:tc>
        <w:tc>
          <w:tcPr>
            <w:tcW w:w="9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13,965,212</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4"/>
                <w:szCs w:val="14"/>
                <w:color w:val="auto"/>
              </w:rPr>
              <w:t>5,552,293</w:t>
            </w: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1.12</w:t>
            </w:r>
          </w:p>
        </w:tc>
        <w:tc>
          <w:tcPr>
            <w:tcW w:w="164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EMI</w:t>
            </w:r>
          </w:p>
        </w:tc>
        <w:tc>
          <w:tcPr>
            <w:tcW w:w="9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213,984</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213,984</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3.06</w:t>
            </w:r>
          </w:p>
        </w:tc>
        <w:tc>
          <w:tcPr>
            <w:tcW w:w="1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6"/>
        </w:trPr>
        <w:tc>
          <w:tcPr>
            <w:tcW w:w="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14,179,196</w:t>
            </w:r>
          </w:p>
        </w:tc>
        <w:tc>
          <w:tcPr>
            <w:tcW w:w="5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4"/>
                <w:szCs w:val="14"/>
                <w:color w:val="auto"/>
              </w:rPr>
              <w:t>5,766,277</w:t>
            </w:r>
          </w:p>
        </w:tc>
        <w:tc>
          <w:tcPr>
            <w:tcW w:w="9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1.15</w:t>
            </w:r>
          </w:p>
        </w:tc>
        <w:tc>
          <w:tcPr>
            <w:tcW w:w="1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there were no restricted share options exercisable (2018: nil) and there is no exercise price for restricted share options.</w:t>
      </w:r>
    </w:p>
    <w:p>
      <w:pPr>
        <w:spacing w:after="0" w:line="227" w:lineRule="exact"/>
        <w:rPr>
          <w:sz w:val="20"/>
          <w:szCs w:val="20"/>
          <w:color w:val="auto"/>
        </w:rPr>
      </w:pPr>
    </w:p>
    <w:p>
      <w:pPr>
        <w:jc w:val="both"/>
        <w:ind w:right="40"/>
        <w:spacing w:after="0" w:line="273" w:lineRule="auto"/>
        <w:rPr>
          <w:sz w:val="20"/>
          <w:szCs w:val="20"/>
          <w:color w:val="auto"/>
        </w:rPr>
      </w:pPr>
      <w:r>
        <w:rPr>
          <w:rFonts w:ascii="Arial" w:cs="Arial" w:eastAsia="Arial" w:hAnsi="Arial"/>
          <w:sz w:val="14"/>
          <w:szCs w:val="14"/>
          <w:color w:val="auto"/>
        </w:rPr>
        <w:t>The options outstanding at December 31, 2019 had a weighted average remaining contractual life of 7.7 years (2018: 8.0 years). For 2018 and 2019, the number of options granted and expired and the weighted average exercise price of options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4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29"/>
        </w:trPr>
        <w:tc>
          <w:tcPr>
            <w:tcW w:w="7460" w:type="dxa"/>
            <w:vAlign w:val="bottom"/>
          </w:tcPr>
          <w:p>
            <w:pPr>
              <w:spacing w:after="0"/>
              <w:rPr>
                <w:sz w:val="11"/>
                <w:szCs w:val="11"/>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 of</w:t>
            </w: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rPr>
              <w:t>exercise price</w:t>
            </w:r>
          </w:p>
        </w:tc>
        <w:tc>
          <w:tcPr>
            <w:tcW w:w="0" w:type="dxa"/>
            <w:vAlign w:val="bottom"/>
          </w:tcPr>
          <w:p>
            <w:pPr>
              <w:spacing w:after="0"/>
              <w:rPr>
                <w:sz w:val="1"/>
                <w:szCs w:val="1"/>
                <w:color w:val="auto"/>
              </w:rPr>
            </w:pPr>
          </w:p>
        </w:tc>
      </w:tr>
      <w:tr>
        <w:trPr>
          <w:trHeight w:val="157"/>
        </w:trPr>
        <w:tc>
          <w:tcPr>
            <w:tcW w:w="746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options</w:t>
            </w: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0"/>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January 1, 2018</w:t>
            </w:r>
          </w:p>
        </w:tc>
        <w:tc>
          <w:tcPr>
            <w:tcW w:w="19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7,527,458</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Arial" w:cs="Arial" w:eastAsia="Arial" w:hAnsi="Arial"/>
                <w:sz w:val="14"/>
                <w:szCs w:val="14"/>
                <w:color w:val="auto"/>
              </w:rPr>
              <w:t>Options granted in 2018:</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Employees</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1,222,089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10"/>
        </w:trPr>
        <w:tc>
          <w:tcPr>
            <w:tcW w:w="7460" w:type="dxa"/>
            <w:vAlign w:val="bottom"/>
          </w:tcPr>
          <w:p>
            <w:pPr>
              <w:ind w:left="300"/>
              <w:spacing w:after="0"/>
              <w:rPr>
                <w:sz w:val="20"/>
                <w:szCs w:val="20"/>
                <w:color w:val="auto"/>
              </w:rPr>
            </w:pPr>
            <w:r>
              <w:rPr>
                <w:rFonts w:ascii="Arial" w:cs="Arial" w:eastAsia="Arial" w:hAnsi="Arial"/>
                <w:sz w:val="14"/>
                <w:szCs w:val="14"/>
                <w:color w:val="auto"/>
              </w:rPr>
              <w:t>Directors</w:t>
            </w:r>
          </w:p>
        </w:tc>
        <w:tc>
          <w:tcPr>
            <w:tcW w:w="1960" w:type="dxa"/>
            <w:vAlign w:val="bottom"/>
          </w:tcPr>
          <w:p>
            <w:pPr>
              <w:jc w:val="right"/>
              <w:ind w:right="51"/>
              <w:spacing w:after="0"/>
              <w:rPr>
                <w:sz w:val="20"/>
                <w:szCs w:val="20"/>
                <w:color w:val="auto"/>
              </w:rPr>
            </w:pPr>
            <w:r>
              <w:rPr>
                <w:rFonts w:ascii="Arial" w:cs="Arial" w:eastAsia="Arial" w:hAnsi="Arial"/>
                <w:sz w:val="14"/>
                <w:szCs w:val="14"/>
                <w:color w:val="auto"/>
              </w:rPr>
              <w:t>868,758</w:t>
            </w:r>
          </w:p>
        </w:tc>
        <w:tc>
          <w:tcPr>
            <w:tcW w:w="100" w:type="dxa"/>
            <w:vAlign w:val="bottom"/>
          </w:tcPr>
          <w:p>
            <w:pPr>
              <w:spacing w:after="0"/>
              <w:rPr>
                <w:sz w:val="18"/>
                <w:szCs w:val="18"/>
                <w:color w:val="auto"/>
              </w:rPr>
            </w:pPr>
          </w:p>
        </w:tc>
        <w:tc>
          <w:tcPr>
            <w:tcW w:w="1940" w:type="dxa"/>
            <w:vAlign w:val="bottom"/>
          </w:tcPr>
          <w:p>
            <w:pPr>
              <w:jc w:val="right"/>
              <w:ind w:right="32"/>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1"/>
        </w:trPr>
        <w:tc>
          <w:tcPr>
            <w:tcW w:w="7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 forfeited in the year</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(799,524)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Options expired in the year</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(66,667)</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1"/>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 2018</w:t>
            </w:r>
          </w:p>
        </w:tc>
        <w:tc>
          <w:tcPr>
            <w:tcW w:w="1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8,752,114</w:t>
            </w: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Exercisable at December 31, 2018</w:t>
            </w: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1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3,542,884</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29"/>
        </w:trPr>
        <w:tc>
          <w:tcPr>
            <w:tcW w:w="7460" w:type="dxa"/>
            <w:vAlign w:val="bottom"/>
          </w:tcPr>
          <w:p>
            <w:pPr>
              <w:spacing w:after="0"/>
              <w:rPr>
                <w:sz w:val="11"/>
                <w:szCs w:val="11"/>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 of</w:t>
            </w: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rPr>
              <w:t>exercise price</w:t>
            </w:r>
          </w:p>
        </w:tc>
        <w:tc>
          <w:tcPr>
            <w:tcW w:w="0" w:type="dxa"/>
            <w:vAlign w:val="bottom"/>
          </w:tcPr>
          <w:p>
            <w:pPr>
              <w:spacing w:after="0"/>
              <w:rPr>
                <w:sz w:val="1"/>
                <w:szCs w:val="1"/>
                <w:color w:val="auto"/>
              </w:rPr>
            </w:pPr>
          </w:p>
        </w:tc>
      </w:tr>
      <w:tr>
        <w:trPr>
          <w:trHeight w:val="157"/>
        </w:trPr>
        <w:tc>
          <w:tcPr>
            <w:tcW w:w="746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options</w:t>
            </w: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0"/>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January 1, 2019</w:t>
            </w:r>
          </w:p>
        </w:tc>
        <w:tc>
          <w:tcPr>
            <w:tcW w:w="19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8,752,114</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0"/>
        </w:trPr>
        <w:tc>
          <w:tcPr>
            <w:tcW w:w="7460" w:type="dxa"/>
            <w:vAlign w:val="bottom"/>
          </w:tcPr>
          <w:p>
            <w:pPr>
              <w:ind w:left="140"/>
              <w:spacing w:after="0"/>
              <w:rPr>
                <w:sz w:val="20"/>
                <w:szCs w:val="20"/>
                <w:color w:val="auto"/>
              </w:rPr>
            </w:pPr>
            <w:r>
              <w:rPr>
                <w:rFonts w:ascii="Arial" w:cs="Arial" w:eastAsia="Arial" w:hAnsi="Arial"/>
                <w:sz w:val="14"/>
                <w:szCs w:val="14"/>
                <w:color w:val="auto"/>
              </w:rPr>
              <w:t>Options granted in 2019:</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4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Employees</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4,042,106</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10"/>
        </w:trPr>
        <w:tc>
          <w:tcPr>
            <w:tcW w:w="7460" w:type="dxa"/>
            <w:vAlign w:val="bottom"/>
          </w:tcPr>
          <w:p>
            <w:pPr>
              <w:ind w:left="300"/>
              <w:spacing w:after="0"/>
              <w:rPr>
                <w:sz w:val="20"/>
                <w:szCs w:val="20"/>
                <w:color w:val="auto"/>
              </w:rPr>
            </w:pPr>
            <w:r>
              <w:rPr>
                <w:rFonts w:ascii="Arial" w:cs="Arial" w:eastAsia="Arial" w:hAnsi="Arial"/>
                <w:sz w:val="14"/>
                <w:szCs w:val="14"/>
                <w:color w:val="auto"/>
              </w:rPr>
              <w:t>Directors</w:t>
            </w:r>
          </w:p>
        </w:tc>
        <w:tc>
          <w:tcPr>
            <w:tcW w:w="1960" w:type="dxa"/>
            <w:vAlign w:val="bottom"/>
          </w:tcPr>
          <w:p>
            <w:pPr>
              <w:jc w:val="right"/>
              <w:ind w:right="51"/>
              <w:spacing w:after="0"/>
              <w:rPr>
                <w:sz w:val="20"/>
                <w:szCs w:val="20"/>
                <w:color w:val="auto"/>
              </w:rPr>
            </w:pPr>
            <w:r>
              <w:rPr>
                <w:rFonts w:ascii="Arial" w:cs="Arial" w:eastAsia="Arial" w:hAnsi="Arial"/>
                <w:sz w:val="14"/>
                <w:szCs w:val="14"/>
                <w:color w:val="auto"/>
              </w:rPr>
              <w:t>1,526,944</w:t>
            </w:r>
          </w:p>
        </w:tc>
        <w:tc>
          <w:tcPr>
            <w:tcW w:w="100" w:type="dxa"/>
            <w:vAlign w:val="bottom"/>
          </w:tcPr>
          <w:p>
            <w:pPr>
              <w:spacing w:after="0"/>
              <w:rPr>
                <w:sz w:val="18"/>
                <w:szCs w:val="18"/>
                <w:color w:val="auto"/>
              </w:rPr>
            </w:pPr>
          </w:p>
        </w:tc>
        <w:tc>
          <w:tcPr>
            <w:tcW w:w="1940" w:type="dxa"/>
            <w:vAlign w:val="bottom"/>
          </w:tcPr>
          <w:p>
            <w:pPr>
              <w:jc w:val="right"/>
              <w:ind w:right="32"/>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21"/>
        </w:trPr>
        <w:tc>
          <w:tcPr>
            <w:tcW w:w="7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 forfeited in the year</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(121,970)</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Options expired in the year</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(19,998)</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1"/>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 2019</w:t>
            </w:r>
          </w:p>
        </w:tc>
        <w:tc>
          <w:tcPr>
            <w:tcW w:w="1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14,179,196</w:t>
            </w: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Exercisable at December 31, 2019</w:t>
            </w: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1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5,766,277</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20" w:right="1960" w:hanging="5607"/>
        <w:spacing w:after="0" w:line="691" w:lineRule="auto"/>
        <w:rPr>
          <w:sz w:val="20"/>
          <w:szCs w:val="20"/>
          <w:color w:val="auto"/>
        </w:rPr>
      </w:pPr>
      <w:r>
        <w:rPr>
          <w:rFonts w:ascii="Arial" w:cs="Arial" w:eastAsia="Arial" w:hAnsi="Arial"/>
          <w:sz w:val="14"/>
          <w:szCs w:val="14"/>
          <w:color w:val="auto"/>
        </w:rPr>
        <w:t>The following table shows the number of RSUs issued, exercised and forfeited in 2018. The fair value of each unvested RSU at grant date was £1.46. 151</w:t>
      </w:r>
    </w:p>
    <w:p>
      <w:pPr>
        <w:sectPr>
          <w:pgSz w:w="11900" w:h="16838" w:orient="portrait"/>
          <w:cols w:equalWidth="0" w:num="1">
            <w:col w:w="11460"/>
          </w:cols>
          <w:pgMar w:left="220" w:top="140" w:right="219" w:bottom="1440" w:gutter="0" w:footer="0" w:header="0"/>
        </w:sectPr>
      </w:pPr>
    </w:p>
    <w:bookmarkStart w:id="152" w:name="page153"/>
    <w:bookmarkEnd w:id="1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Share-based payments charge (Continued)</w:t>
      </w: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9960" w:type="dxa"/>
            <w:vAlign w:val="bottom"/>
          </w:tcPr>
          <w:p>
            <w:pPr>
              <w:spacing w:after="0"/>
              <w:rPr>
                <w:sz w:val="11"/>
                <w:szCs w:val="11"/>
                <w:color w:val="auto"/>
              </w:rPr>
            </w:pPr>
          </w:p>
        </w:tc>
        <w:tc>
          <w:tcPr>
            <w:tcW w:w="1480" w:type="dxa"/>
            <w:vAlign w:val="bottom"/>
          </w:tcPr>
          <w:p>
            <w:pPr>
              <w:jc w:val="right"/>
              <w:ind w:right="392"/>
              <w:spacing w:after="0"/>
              <w:rPr>
                <w:sz w:val="20"/>
                <w:szCs w:val="20"/>
                <w:color w:val="auto"/>
              </w:rPr>
            </w:pPr>
            <w:r>
              <w:rPr>
                <w:rFonts w:ascii="Arial" w:cs="Arial" w:eastAsia="Arial" w:hAnsi="Arial"/>
                <w:sz w:val="11"/>
                <w:szCs w:val="11"/>
                <w:b w:val="1"/>
                <w:bCs w:val="1"/>
                <w:color w:val="auto"/>
              </w:rPr>
              <w:t>Number of</w:t>
            </w:r>
          </w:p>
        </w:tc>
      </w:tr>
      <w:tr>
        <w:trPr>
          <w:trHeight w:val="157"/>
        </w:trPr>
        <w:tc>
          <w:tcPr>
            <w:tcW w:w="99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RSUs</w:t>
            </w:r>
          </w:p>
        </w:tc>
      </w:tr>
      <w:tr>
        <w:trPr>
          <w:trHeight w:val="200"/>
        </w:trPr>
        <w:tc>
          <w:tcPr>
            <w:tcW w:w="9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January 1, 2018</w:t>
            </w: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1,052,236</w:t>
            </w:r>
          </w:p>
        </w:tc>
      </w:tr>
      <w:tr>
        <w:trPr>
          <w:trHeight w:val="210"/>
        </w:trPr>
        <w:tc>
          <w:tcPr>
            <w:tcW w:w="9960" w:type="dxa"/>
            <w:vAlign w:val="bottom"/>
          </w:tcPr>
          <w:p>
            <w:pPr>
              <w:ind w:left="120"/>
              <w:spacing w:after="0"/>
              <w:rPr>
                <w:sz w:val="20"/>
                <w:szCs w:val="20"/>
                <w:color w:val="auto"/>
              </w:rPr>
            </w:pPr>
            <w:r>
              <w:rPr>
                <w:rFonts w:ascii="Arial" w:cs="Arial" w:eastAsia="Arial" w:hAnsi="Arial"/>
                <w:sz w:val="14"/>
                <w:szCs w:val="14"/>
                <w:color w:val="auto"/>
              </w:rPr>
              <w:t>Granted:</w:t>
            </w:r>
          </w:p>
        </w:tc>
        <w:tc>
          <w:tcPr>
            <w:tcW w:w="1480" w:type="dxa"/>
            <w:vAlign w:val="bottom"/>
          </w:tcPr>
          <w:p>
            <w:pPr>
              <w:spacing w:after="0"/>
              <w:rPr>
                <w:sz w:val="18"/>
                <w:szCs w:val="18"/>
                <w:color w:val="auto"/>
              </w:rPr>
            </w:pPr>
          </w:p>
        </w:tc>
      </w:tr>
      <w:tr>
        <w:trPr>
          <w:trHeight w:val="221"/>
        </w:trPr>
        <w:tc>
          <w:tcPr>
            <w:tcW w:w="9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Employees</w:t>
            </w: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136,404</w:t>
            </w:r>
          </w:p>
        </w:tc>
      </w:tr>
      <w:tr>
        <w:trPr>
          <w:trHeight w:val="210"/>
        </w:trPr>
        <w:tc>
          <w:tcPr>
            <w:tcW w:w="9960" w:type="dxa"/>
            <w:vAlign w:val="bottom"/>
          </w:tcPr>
          <w:p>
            <w:pPr>
              <w:ind w:left="300"/>
              <w:spacing w:after="0"/>
              <w:rPr>
                <w:sz w:val="20"/>
                <w:szCs w:val="20"/>
                <w:color w:val="auto"/>
              </w:rPr>
            </w:pPr>
            <w:r>
              <w:rPr>
                <w:rFonts w:ascii="Arial" w:cs="Arial" w:eastAsia="Arial" w:hAnsi="Arial"/>
                <w:sz w:val="14"/>
                <w:szCs w:val="14"/>
                <w:color w:val="auto"/>
              </w:rPr>
              <w:t>Directors</w:t>
            </w:r>
          </w:p>
        </w:tc>
        <w:tc>
          <w:tcPr>
            <w:tcW w:w="1480" w:type="dxa"/>
            <w:vAlign w:val="bottom"/>
          </w:tcPr>
          <w:p>
            <w:pPr>
              <w:jc w:val="right"/>
              <w:ind w:right="52"/>
              <w:spacing w:after="0"/>
              <w:rPr>
                <w:sz w:val="20"/>
                <w:szCs w:val="20"/>
                <w:color w:val="auto"/>
              </w:rPr>
            </w:pPr>
            <w:r>
              <w:rPr>
                <w:rFonts w:ascii="Arial" w:cs="Arial" w:eastAsia="Arial" w:hAnsi="Arial"/>
                <w:sz w:val="14"/>
                <w:szCs w:val="14"/>
                <w:color w:val="auto"/>
              </w:rPr>
              <w:t>136,986</w:t>
            </w:r>
          </w:p>
        </w:tc>
      </w:tr>
      <w:tr>
        <w:trPr>
          <w:trHeight w:val="221"/>
        </w:trPr>
        <w:tc>
          <w:tcPr>
            <w:tcW w:w="9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RSUs vested in the year</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(309,237)</w:t>
            </w:r>
          </w:p>
        </w:tc>
      </w:tr>
      <w:tr>
        <w:trPr>
          <w:trHeight w:val="210"/>
        </w:trPr>
        <w:tc>
          <w:tcPr>
            <w:tcW w:w="9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RSUs forfeited in the year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(153,916)</w:t>
            </w:r>
          </w:p>
        </w:tc>
      </w:tr>
      <w:tr>
        <w:trPr>
          <w:trHeight w:val="201"/>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 2018</w:t>
            </w: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862,473</w:t>
            </w:r>
          </w:p>
        </w:tc>
      </w:tr>
      <w:tr>
        <w:trPr>
          <w:trHeight w:val="20"/>
        </w:trPr>
        <w:tc>
          <w:tcPr>
            <w:tcW w:w="9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spacing w:after="0" w:line="273" w:lineRule="auto"/>
        <w:rPr>
          <w:sz w:val="20"/>
          <w:szCs w:val="20"/>
          <w:color w:val="auto"/>
        </w:rPr>
      </w:pPr>
      <w:r>
        <w:rPr>
          <w:rFonts w:ascii="Arial" w:cs="Arial" w:eastAsia="Arial" w:hAnsi="Arial"/>
          <w:sz w:val="14"/>
          <w:szCs w:val="14"/>
          <w:color w:val="auto"/>
        </w:rPr>
        <w:t>The following table shows the number of RSUs issued in 2019. There were no RSUs forfeited, canceled or vested in 2019. The fair value of each unvested RSU granted in 2019 was £0.57.</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960" w:type="dxa"/>
            <w:vAlign w:val="bottom"/>
          </w:tcPr>
          <w:p>
            <w:pPr>
              <w:spacing w:after="0"/>
              <w:rPr>
                <w:sz w:val="11"/>
                <w:szCs w:val="11"/>
                <w:color w:val="auto"/>
              </w:rPr>
            </w:pPr>
          </w:p>
        </w:tc>
        <w:tc>
          <w:tcPr>
            <w:tcW w:w="1480" w:type="dxa"/>
            <w:vAlign w:val="bottom"/>
          </w:tcPr>
          <w:p>
            <w:pPr>
              <w:jc w:val="right"/>
              <w:ind w:right="392"/>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57"/>
        </w:trPr>
        <w:tc>
          <w:tcPr>
            <w:tcW w:w="99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RSUs</w:t>
            </w:r>
          </w:p>
        </w:tc>
        <w:tc>
          <w:tcPr>
            <w:tcW w:w="0" w:type="dxa"/>
            <w:vAlign w:val="bottom"/>
          </w:tcPr>
          <w:p>
            <w:pPr>
              <w:spacing w:after="0"/>
              <w:rPr>
                <w:sz w:val="1"/>
                <w:szCs w:val="1"/>
                <w:color w:val="auto"/>
              </w:rPr>
            </w:pPr>
          </w:p>
        </w:tc>
      </w:tr>
      <w:tr>
        <w:trPr>
          <w:trHeight w:val="200"/>
        </w:trPr>
        <w:tc>
          <w:tcPr>
            <w:tcW w:w="9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January 1, 2019</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862,473</w:t>
            </w:r>
          </w:p>
        </w:tc>
        <w:tc>
          <w:tcPr>
            <w:tcW w:w="0" w:type="dxa"/>
            <w:vAlign w:val="bottom"/>
          </w:tcPr>
          <w:p>
            <w:pPr>
              <w:spacing w:after="0"/>
              <w:rPr>
                <w:sz w:val="1"/>
                <w:szCs w:val="1"/>
                <w:color w:val="auto"/>
              </w:rPr>
            </w:pPr>
          </w:p>
        </w:tc>
      </w:tr>
      <w:tr>
        <w:trPr>
          <w:trHeight w:val="210"/>
        </w:trPr>
        <w:tc>
          <w:tcPr>
            <w:tcW w:w="9960" w:type="dxa"/>
            <w:vAlign w:val="bottom"/>
          </w:tcPr>
          <w:p>
            <w:pPr>
              <w:ind w:left="140"/>
              <w:spacing w:after="0"/>
              <w:rPr>
                <w:sz w:val="20"/>
                <w:szCs w:val="20"/>
                <w:color w:val="auto"/>
              </w:rPr>
            </w:pPr>
            <w:r>
              <w:rPr>
                <w:rFonts w:ascii="Arial" w:cs="Arial" w:eastAsia="Arial" w:hAnsi="Arial"/>
                <w:sz w:val="14"/>
                <w:szCs w:val="14"/>
                <w:color w:val="auto"/>
              </w:rPr>
              <w:t>Granted:</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Employees</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474,072</w:t>
            </w:r>
          </w:p>
        </w:tc>
        <w:tc>
          <w:tcPr>
            <w:tcW w:w="0" w:type="dxa"/>
            <w:vAlign w:val="bottom"/>
          </w:tcPr>
          <w:p>
            <w:pPr>
              <w:spacing w:after="0"/>
              <w:rPr>
                <w:sz w:val="1"/>
                <w:szCs w:val="1"/>
                <w:color w:val="auto"/>
              </w:rPr>
            </w:pPr>
          </w:p>
        </w:tc>
      </w:tr>
      <w:tr>
        <w:trPr>
          <w:trHeight w:val="210"/>
        </w:trPr>
        <w:tc>
          <w:tcPr>
            <w:tcW w:w="9960" w:type="dxa"/>
            <w:vAlign w:val="bottom"/>
          </w:tcPr>
          <w:p>
            <w:pPr>
              <w:ind w:left="300"/>
              <w:spacing w:after="0"/>
              <w:rPr>
                <w:sz w:val="20"/>
                <w:szCs w:val="20"/>
                <w:color w:val="auto"/>
              </w:rPr>
            </w:pPr>
            <w:r>
              <w:rPr>
                <w:rFonts w:ascii="Arial" w:cs="Arial" w:eastAsia="Arial" w:hAnsi="Arial"/>
                <w:sz w:val="14"/>
                <w:szCs w:val="14"/>
                <w:color w:val="auto"/>
              </w:rPr>
              <w:t>Directors</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266,424</w:t>
            </w:r>
          </w:p>
        </w:tc>
        <w:tc>
          <w:tcPr>
            <w:tcW w:w="0" w:type="dxa"/>
            <w:vAlign w:val="bottom"/>
          </w:tcPr>
          <w:p>
            <w:pPr>
              <w:spacing w:after="0"/>
              <w:rPr>
                <w:sz w:val="1"/>
                <w:szCs w:val="1"/>
                <w:color w:val="auto"/>
              </w:rPr>
            </w:pPr>
          </w:p>
        </w:tc>
      </w:tr>
      <w:tr>
        <w:trPr>
          <w:trHeight w:val="221"/>
        </w:trPr>
        <w:tc>
          <w:tcPr>
            <w:tcW w:w="9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RSUs vested in the year</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99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RSUs forfeited in the year</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 2019</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1,602,969</w:t>
            </w:r>
          </w:p>
        </w:tc>
        <w:tc>
          <w:tcPr>
            <w:tcW w:w="0" w:type="dxa"/>
            <w:vAlign w:val="bottom"/>
          </w:tcPr>
          <w:p>
            <w:pPr>
              <w:spacing w:after="0"/>
              <w:rPr>
                <w:sz w:val="1"/>
                <w:szCs w:val="1"/>
                <w:color w:val="auto"/>
              </w:rPr>
            </w:pPr>
          </w:p>
        </w:tc>
      </w:tr>
      <w:tr>
        <w:trPr>
          <w:trHeight w:val="20"/>
        </w:trPr>
        <w:tc>
          <w:tcPr>
            <w:tcW w:w="9960" w:type="dxa"/>
            <w:vAlign w:val="bottom"/>
            <w:vMerge w:val="restart"/>
          </w:tcPr>
          <w:p>
            <w:pPr>
              <w:spacing w:after="0"/>
              <w:rPr>
                <w:sz w:val="20"/>
                <w:szCs w:val="20"/>
                <w:color w:val="auto"/>
              </w:rPr>
            </w:pPr>
            <w:r>
              <w:rPr>
                <w:rFonts w:ascii="Arial" w:cs="Arial" w:eastAsia="Arial" w:hAnsi="Arial"/>
                <w:sz w:val="14"/>
                <w:szCs w:val="14"/>
                <w:b w:val="1"/>
                <w:bCs w:val="1"/>
                <w:color w:val="auto"/>
              </w:rPr>
              <w:t>18. Derivative financial instrument</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99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340"/>
        <w:spacing w:after="0" w:line="273" w:lineRule="auto"/>
        <w:rPr>
          <w:sz w:val="20"/>
          <w:szCs w:val="20"/>
          <w:color w:val="auto"/>
        </w:rPr>
      </w:pPr>
      <w:r>
        <w:rPr>
          <w:rFonts w:ascii="Arial" w:cs="Arial" w:eastAsia="Arial" w:hAnsi="Arial"/>
          <w:sz w:val="14"/>
          <w:szCs w:val="14"/>
          <w:color w:val="auto"/>
        </w:rPr>
        <w:t>On July 29, 2016, the Company issued 31,115,926 units to new and existing investors at the placing price of £1.4365 per unit. Each unit comprises one ordinary share and one warrant.</w:t>
      </w:r>
    </w:p>
    <w:p>
      <w:pPr>
        <w:spacing w:after="0" w:line="194"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The warrant holders can subscribe for 0.4 of an ordinary share at a per share exercise price of £1.7238. The warrant holders can opt for a cashless exercise of their warrants, whereby the warrant holders can choose to exchange the warrants held for reduced number of warrants exercisable at nil consideration. The reduced number of warrants is calculated based on a formula considering the share price and the exercise price of the warrants. The warrants are therefore classified as a derivative financial liability, since their exercise could result in a variable number of shares to be issued.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 warrants entitled the investors to subscribe for, in aggregate, a maximum of 12,401,262 shares. The warrants can be exercised until May 2, 2022.</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In the year ended December 31, 2019, no warrants were forfeited (2018: nil).</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the assumptions in applying the Black-Scholes model to determine the fair value of the warrants.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620" w:type="dxa"/>
            <w:vAlign w:val="bottom"/>
            <w:gridSpan w:val="3"/>
          </w:tcPr>
          <w:p>
            <w:pPr>
              <w:ind w:left="80"/>
              <w:spacing w:after="0"/>
              <w:rPr>
                <w:sz w:val="20"/>
                <w:szCs w:val="20"/>
                <w:color w:val="auto"/>
              </w:rPr>
            </w:pPr>
            <w:r>
              <w:rPr>
                <w:rFonts w:ascii="Arial" w:cs="Arial" w:eastAsia="Arial" w:hAnsi="Arial"/>
                <w:sz w:val="11"/>
                <w:szCs w:val="11"/>
                <w:b w:val="1"/>
                <w:bCs w:val="1"/>
                <w:color w:val="auto"/>
              </w:rPr>
              <w:t>As of December 31, 2019</w:t>
            </w:r>
          </w:p>
        </w:tc>
        <w:tc>
          <w:tcPr>
            <w:tcW w:w="1500" w:type="dxa"/>
            <w:vAlign w:val="bottom"/>
            <w:gridSpan w:val="2"/>
          </w:tcPr>
          <w:p>
            <w:pPr>
              <w:jc w:val="right"/>
              <w:ind w:right="8"/>
              <w:spacing w:after="0"/>
              <w:rPr>
                <w:sz w:val="20"/>
                <w:szCs w:val="20"/>
                <w:color w:val="auto"/>
              </w:rPr>
            </w:pPr>
            <w:r>
              <w:rPr>
                <w:rFonts w:ascii="Arial" w:cs="Arial" w:eastAsia="Arial" w:hAnsi="Arial"/>
                <w:sz w:val="11"/>
                <w:szCs w:val="11"/>
                <w:b w:val="1"/>
                <w:bCs w:val="1"/>
                <w:color w:val="auto"/>
              </w:rPr>
              <w:t>As of December 31, 2018</w:t>
            </w:r>
          </w:p>
        </w:tc>
      </w:tr>
      <w:tr>
        <w:trPr>
          <w:trHeight w:val="20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available to be issued under warrants</w:t>
            </w:r>
          </w:p>
        </w:tc>
        <w:tc>
          <w:tcPr>
            <w:tcW w:w="40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12,401,262</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12,401,262</w:t>
            </w:r>
          </w:p>
        </w:tc>
      </w:tr>
      <w:tr>
        <w:trPr>
          <w:trHeight w:val="210"/>
        </w:trPr>
        <w:tc>
          <w:tcPr>
            <w:tcW w:w="426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4420" w:type="dxa"/>
            <w:vAlign w:val="bottom"/>
            <w:gridSpan w:val="2"/>
          </w:tcPr>
          <w:p>
            <w:pPr>
              <w:jc w:val="right"/>
              <w:ind w:right="20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1.7238</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1.7238</w:t>
            </w:r>
          </w:p>
        </w:tc>
      </w:tr>
      <w:tr>
        <w:trPr>
          <w:trHeight w:val="221"/>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4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0.760%</w:t>
            </w:r>
          </w:p>
        </w:tc>
      </w:tr>
      <w:tr>
        <w:trPr>
          <w:trHeight w:val="210"/>
        </w:trPr>
        <w:tc>
          <w:tcPr>
            <w:tcW w:w="4260" w:type="dxa"/>
            <w:vAlign w:val="bottom"/>
          </w:tcPr>
          <w:p>
            <w:pPr>
              <w:ind w:left="20"/>
              <w:spacing w:after="0"/>
              <w:rPr>
                <w:sz w:val="20"/>
                <w:szCs w:val="20"/>
                <w:color w:val="auto"/>
              </w:rPr>
            </w:pPr>
            <w:r>
              <w:rPr>
                <w:rFonts w:ascii="Arial" w:cs="Arial" w:eastAsia="Arial" w:hAnsi="Arial"/>
                <w:sz w:val="14"/>
                <w:szCs w:val="14"/>
                <w:color w:val="auto"/>
              </w:rPr>
              <w:t>Expected term to exercise</w:t>
            </w:r>
          </w:p>
        </w:tc>
        <w:tc>
          <w:tcPr>
            <w:tcW w:w="4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4"/>
                <w:szCs w:val="14"/>
                <w:color w:val="auto"/>
              </w:rPr>
              <w:t>2.34 years</w:t>
            </w:r>
          </w:p>
        </w:tc>
        <w:tc>
          <w:tcPr>
            <w:tcW w:w="36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3.34 years</w:t>
            </w:r>
          </w:p>
        </w:tc>
      </w:tr>
      <w:tr>
        <w:trPr>
          <w:trHeight w:val="221"/>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Annualized volatility</w:t>
            </w:r>
          </w:p>
        </w:tc>
        <w:tc>
          <w:tcPr>
            <w:tcW w:w="4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w:t>
            </w:r>
          </w:p>
        </w:tc>
      </w:tr>
      <w:tr>
        <w:trPr>
          <w:trHeight w:val="204"/>
        </w:trPr>
        <w:tc>
          <w:tcPr>
            <w:tcW w:w="4260" w:type="dxa"/>
            <w:vAlign w:val="bottom"/>
          </w:tcPr>
          <w:p>
            <w:pPr>
              <w:ind w:left="20"/>
              <w:spacing w:after="0"/>
              <w:rPr>
                <w:sz w:val="20"/>
                <w:szCs w:val="20"/>
                <w:color w:val="auto"/>
              </w:rPr>
            </w:pPr>
            <w:r>
              <w:rPr>
                <w:rFonts w:ascii="Arial" w:cs="Arial" w:eastAsia="Arial" w:hAnsi="Arial"/>
                <w:sz w:val="14"/>
                <w:szCs w:val="14"/>
                <w:color w:val="auto"/>
              </w:rPr>
              <w:t>Dividend rate</w:t>
            </w:r>
          </w:p>
        </w:tc>
        <w:tc>
          <w:tcPr>
            <w:tcW w:w="4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463"/>
        </w:trPr>
        <w:tc>
          <w:tcPr>
            <w:tcW w:w="4260" w:type="dxa"/>
            <w:vAlign w:val="bottom"/>
          </w:tcPr>
          <w:p>
            <w:pPr>
              <w:spacing w:after="0"/>
              <w:rPr>
                <w:sz w:val="24"/>
                <w:szCs w:val="24"/>
                <w:color w:val="auto"/>
              </w:rPr>
            </w:pPr>
          </w:p>
        </w:tc>
        <w:tc>
          <w:tcPr>
            <w:tcW w:w="4060" w:type="dxa"/>
            <w:vAlign w:val="bottom"/>
          </w:tcPr>
          <w:p>
            <w:pPr>
              <w:jc w:val="right"/>
              <w:ind w:right="2388"/>
              <w:spacing w:after="0"/>
              <w:rPr>
                <w:sz w:val="20"/>
                <w:szCs w:val="20"/>
                <w:color w:val="auto"/>
              </w:rPr>
            </w:pPr>
            <w:r>
              <w:rPr>
                <w:rFonts w:ascii="Arial" w:cs="Arial" w:eastAsia="Arial" w:hAnsi="Arial"/>
                <w:sz w:val="14"/>
                <w:szCs w:val="14"/>
                <w:color w:val="auto"/>
              </w:rPr>
              <w:t>152</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0"/>
          </w:cols>
          <w:pgMar w:left="220" w:top="140" w:right="219" w:bottom="1440" w:gutter="0" w:footer="0" w:header="0"/>
        </w:sectPr>
      </w:pPr>
    </w:p>
    <w:bookmarkStart w:id="153" w:name="page154"/>
    <w:bookmarkEnd w:id="1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Derivative financial instrument (Continued)</w:t>
      </w:r>
    </w:p>
    <w:p>
      <w:pPr>
        <w:spacing w:after="0" w:line="292"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As per the reporting date, the Company updated the underlying assumptions and calculated a fair value of these warrants amounting to £0.9 million. The variance of £(1.6) million is recorded as finance income in the Consolidated Statement of Comprehensive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360" w:type="dxa"/>
            <w:vAlign w:val="bottom"/>
          </w:tcPr>
          <w:p>
            <w:pPr>
              <w:spacing w:after="0"/>
              <w:rPr>
                <w:sz w:val="11"/>
                <w:szCs w:val="1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r>
      <w:tr>
        <w:trPr>
          <w:trHeight w:val="129"/>
        </w:trPr>
        <w:tc>
          <w:tcPr>
            <w:tcW w:w="8360" w:type="dxa"/>
            <w:vAlign w:val="bottom"/>
          </w:tcPr>
          <w:p>
            <w:pPr>
              <w:spacing w:after="0"/>
              <w:rPr>
                <w:sz w:val="11"/>
                <w:szCs w:val="1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financial</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financial</w:t>
            </w:r>
          </w:p>
        </w:tc>
      </w:tr>
      <w:tr>
        <w:trPr>
          <w:trHeight w:val="157"/>
        </w:trPr>
        <w:tc>
          <w:tcPr>
            <w:tcW w:w="836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instrument</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instrument</w:t>
            </w:r>
          </w:p>
        </w:tc>
      </w:tr>
      <w:tr>
        <w:trPr>
          <w:trHeight w:val="196"/>
        </w:trPr>
        <w:tc>
          <w:tcPr>
            <w:tcW w:w="836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2018</w:t>
            </w:r>
          </w:p>
        </w:tc>
      </w:tr>
      <w:tr>
        <w:trPr>
          <w:trHeight w:val="196"/>
        </w:trPr>
        <w:tc>
          <w:tcPr>
            <w:tcW w:w="836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£'000s</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At January 1</w:t>
            </w:r>
          </w:p>
        </w:tc>
        <w:tc>
          <w:tcPr>
            <w:tcW w:w="1500" w:type="dxa"/>
            <w:vAlign w:val="bottom"/>
            <w:shd w:val="clear" w:color="auto" w:fill="CCEEFF"/>
          </w:tcPr>
          <w:p>
            <w:pPr>
              <w:jc w:val="right"/>
              <w:ind w:right="57"/>
              <w:spacing w:after="0"/>
              <w:rPr>
                <w:sz w:val="20"/>
                <w:szCs w:val="20"/>
                <w:color w:val="auto"/>
              </w:rPr>
            </w:pPr>
            <w:r>
              <w:rPr>
                <w:rFonts w:ascii="Arial" w:cs="Arial" w:eastAsia="Arial" w:hAnsi="Arial"/>
                <w:sz w:val="14"/>
                <w:szCs w:val="14"/>
                <w:color w:val="auto"/>
              </w:rPr>
              <w:t>2,492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1,273</w:t>
            </w:r>
          </w:p>
        </w:tc>
      </w:tr>
      <w:tr>
        <w:trPr>
          <w:trHeight w:val="21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value adjustments recognized in profit or loss</w:t>
            </w:r>
          </w:p>
        </w:tc>
        <w:tc>
          <w:tcPr>
            <w:tcW w:w="1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(1,597)</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1,219</w:t>
            </w:r>
          </w:p>
        </w:tc>
      </w:tr>
      <w:tr>
        <w:trPr>
          <w:trHeight w:val="20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December 31</w:t>
            </w:r>
          </w:p>
        </w:tc>
        <w:tc>
          <w:tcPr>
            <w:tcW w:w="1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2,492</w:t>
            </w:r>
          </w:p>
        </w:tc>
      </w:tr>
      <w:tr>
        <w:trPr>
          <w:trHeight w:val="20"/>
        </w:trPr>
        <w:tc>
          <w:tcPr>
            <w:tcW w:w="8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For the amount recognized at December 31, 2019, the effect when the following parameter deviates up or down is presented in the below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Volatility</w:t>
            </w:r>
          </w:p>
        </w:tc>
      </w:tr>
      <w:tr>
        <w:trPr>
          <w:trHeight w:val="129"/>
        </w:trPr>
        <w:tc>
          <w:tcPr>
            <w:tcW w:w="9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(up / down</w:t>
            </w:r>
          </w:p>
        </w:tc>
      </w:tr>
      <w:tr>
        <w:trPr>
          <w:trHeight w:val="157"/>
        </w:trPr>
        <w:tc>
          <w:tcPr>
            <w:tcW w:w="9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10% pts)</w:t>
            </w:r>
          </w:p>
        </w:tc>
      </w:tr>
      <w:tr>
        <w:trPr>
          <w:trHeight w:val="196"/>
        </w:trPr>
        <w:tc>
          <w:tcPr>
            <w:tcW w:w="9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£'000s</w:t>
            </w:r>
          </w:p>
        </w:tc>
      </w:tr>
      <w:tr>
        <w:trPr>
          <w:trHeight w:val="209"/>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up</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1,306</w:t>
            </w:r>
          </w:p>
        </w:tc>
        <w:tc>
          <w:tcPr>
            <w:tcW w:w="20" w:type="dxa"/>
            <w:vAlign w:val="bottom"/>
            <w:shd w:val="clear" w:color="auto" w:fill="CCEEFF"/>
          </w:tcPr>
          <w:p>
            <w:pPr>
              <w:spacing w:after="0"/>
              <w:rPr>
                <w:sz w:val="18"/>
                <w:szCs w:val="18"/>
                <w:color w:val="auto"/>
              </w:rPr>
            </w:pPr>
          </w:p>
        </w:tc>
      </w:tr>
      <w:tr>
        <w:trPr>
          <w:trHeight w:val="199"/>
        </w:trPr>
        <w:tc>
          <w:tcPr>
            <w:tcW w:w="9040" w:type="dxa"/>
            <w:vAlign w:val="bottom"/>
          </w:tcPr>
          <w:p>
            <w:pPr>
              <w:ind w:left="20"/>
              <w:spacing w:after="0"/>
              <w:rPr>
                <w:sz w:val="20"/>
                <w:szCs w:val="20"/>
                <w:color w:val="auto"/>
              </w:rPr>
            </w:pPr>
            <w:r>
              <w:rPr>
                <w:rFonts w:ascii="Arial" w:cs="Arial" w:eastAsia="Arial" w:hAnsi="Arial"/>
                <w:sz w:val="14"/>
                <w:szCs w:val="14"/>
                <w:b w:val="1"/>
                <w:bCs w:val="1"/>
                <w:color w:val="auto"/>
              </w:rPr>
              <w:t>Base case, reported fair value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5"/>
              <w:spacing w:after="0"/>
              <w:rPr>
                <w:sz w:val="20"/>
                <w:szCs w:val="20"/>
                <w:color w:val="auto"/>
              </w:rPr>
            </w:pPr>
            <w:r>
              <w:rPr>
                <w:rFonts w:ascii="Arial" w:cs="Arial" w:eastAsia="Arial" w:hAnsi="Arial"/>
                <w:sz w:val="14"/>
                <w:szCs w:val="14"/>
                <w:b w:val="1"/>
                <w:bCs w:val="1"/>
                <w:color w:val="auto"/>
              </w:rPr>
              <w:t>895</w:t>
            </w:r>
          </w:p>
        </w:tc>
        <w:tc>
          <w:tcPr>
            <w:tcW w:w="20" w:type="dxa"/>
            <w:vAlign w:val="bottom"/>
          </w:tcPr>
          <w:p>
            <w:pPr>
              <w:spacing w:after="0"/>
              <w:rPr>
                <w:sz w:val="17"/>
                <w:szCs w:val="17"/>
                <w:color w:val="auto"/>
              </w:rPr>
            </w:pPr>
          </w:p>
        </w:tc>
      </w:tr>
      <w:tr>
        <w:trPr>
          <w:trHeight w:val="211"/>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down</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535</w:t>
            </w:r>
          </w:p>
        </w:tc>
        <w:tc>
          <w:tcPr>
            <w:tcW w:w="20" w:type="dxa"/>
            <w:vAlign w:val="bottom"/>
            <w:shd w:val="clear" w:color="auto" w:fill="CCEEFF"/>
          </w:tcPr>
          <w:p>
            <w:pPr>
              <w:spacing w:after="0"/>
              <w:rPr>
                <w:sz w:val="18"/>
                <w:szCs w:val="18"/>
                <w:color w:val="auto"/>
              </w:rPr>
            </w:pPr>
          </w:p>
        </w:tc>
      </w:tr>
      <w:tr>
        <w:trPr>
          <w:trHeight w:val="387"/>
        </w:trPr>
        <w:tc>
          <w:tcPr>
            <w:tcW w:w="9040" w:type="dxa"/>
            <w:vAlign w:val="bottom"/>
          </w:tcPr>
          <w:p>
            <w:pPr>
              <w:spacing w:after="0"/>
              <w:rPr>
                <w:sz w:val="20"/>
                <w:szCs w:val="20"/>
                <w:color w:val="auto"/>
              </w:rPr>
            </w:pPr>
            <w:r>
              <w:rPr>
                <w:rFonts w:ascii="Arial" w:cs="Arial" w:eastAsia="Arial" w:hAnsi="Arial"/>
                <w:sz w:val="14"/>
                <w:szCs w:val="14"/>
                <w:b w:val="1"/>
                <w:bCs w:val="1"/>
                <w:color w:val="auto"/>
              </w:rPr>
              <w:t>19. Trade and other payables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7"/>
        </w:trPr>
        <w:tc>
          <w:tcPr>
            <w:tcW w:w="904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As of December 31,</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As of December 31,</w:t>
            </w:r>
          </w:p>
        </w:tc>
      </w:tr>
      <w:tr>
        <w:trPr>
          <w:trHeight w:val="157"/>
        </w:trPr>
        <w:tc>
          <w:tcPr>
            <w:tcW w:w="9040" w:type="dxa"/>
            <w:vAlign w:val="bottom"/>
          </w:tcPr>
          <w:p>
            <w:pPr>
              <w:spacing w:after="0"/>
              <w:rPr>
                <w:sz w:val="13"/>
                <w:szCs w:val="13"/>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3"/>
                <w:szCs w:val="13"/>
                <w:color w:val="auto"/>
              </w:rPr>
            </w:pPr>
          </w:p>
        </w:tc>
      </w:tr>
      <w:tr>
        <w:trPr>
          <w:trHeight w:val="196"/>
        </w:trPr>
        <w:tc>
          <w:tcPr>
            <w:tcW w:w="9040" w:type="dxa"/>
            <w:vAlign w:val="bottom"/>
          </w:tcPr>
          <w:p>
            <w:pPr>
              <w:spacing w:after="0"/>
              <w:rPr>
                <w:sz w:val="17"/>
                <w:szCs w:val="17"/>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£'000s</w:t>
            </w:r>
          </w:p>
        </w:tc>
        <w:tc>
          <w:tcPr>
            <w:tcW w:w="11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£'000s</w:t>
            </w:r>
          </w:p>
        </w:tc>
      </w:tr>
      <w:tr>
        <w:trPr>
          <w:trHeight w:val="22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payables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2,839</w:t>
            </w:r>
          </w:p>
        </w:tc>
        <w:tc>
          <w:tcPr>
            <w:tcW w:w="20" w:type="dxa"/>
            <w:vAlign w:val="bottom"/>
          </w:tcPr>
          <w:p>
            <w:pPr>
              <w:spacing w:after="0"/>
              <w:rPr>
                <w:sz w:val="19"/>
                <w:szCs w:val="19"/>
                <w:color w:val="auto"/>
              </w:rPr>
            </w:pPr>
          </w:p>
        </w:tc>
      </w:tr>
      <w:tr>
        <w:trPr>
          <w:trHeight w:val="210"/>
        </w:trPr>
        <w:tc>
          <w:tcPr>
            <w:tcW w:w="904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2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5"/>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8"/>
                <w:szCs w:val="18"/>
                <w:color w:val="auto"/>
              </w:rPr>
            </w:pPr>
          </w:p>
        </w:tc>
      </w:tr>
      <w:tr>
        <w:trPr>
          <w:trHeight w:val="216"/>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Accruals</w:t>
            </w:r>
          </w:p>
        </w:tc>
        <w:tc>
          <w:tcPr>
            <w:tcW w:w="11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6,806</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4,882</w:t>
            </w:r>
          </w:p>
        </w:tc>
        <w:tc>
          <w:tcPr>
            <w:tcW w:w="20" w:type="dxa"/>
            <w:vAlign w:val="bottom"/>
          </w:tcPr>
          <w:p>
            <w:pPr>
              <w:spacing w:after="0"/>
              <w:rPr>
                <w:sz w:val="18"/>
                <w:szCs w:val="18"/>
                <w:color w:val="auto"/>
              </w:rPr>
            </w:pPr>
          </w:p>
        </w:tc>
      </w:tr>
      <w:tr>
        <w:trPr>
          <w:trHeight w:val="201"/>
        </w:trPr>
        <w:tc>
          <w:tcPr>
            <w:tcW w:w="9040" w:type="dxa"/>
            <w:vAlign w:val="bottom"/>
          </w:tcPr>
          <w:p>
            <w:pPr>
              <w:ind w:left="20"/>
              <w:spacing w:after="0"/>
              <w:rPr>
                <w:sz w:val="20"/>
                <w:szCs w:val="20"/>
                <w:color w:val="auto"/>
              </w:rPr>
            </w:pPr>
            <w:r>
              <w:rPr>
                <w:rFonts w:ascii="Arial" w:cs="Arial" w:eastAsia="Arial" w:hAnsi="Arial"/>
                <w:sz w:val="14"/>
                <w:szCs w:val="14"/>
                <w:color w:val="auto"/>
              </w:rPr>
              <w:t>Total trade and other payables</w:t>
            </w: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8,261</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7,733</w:t>
            </w:r>
          </w:p>
        </w:tc>
        <w:tc>
          <w:tcPr>
            <w:tcW w:w="20" w:type="dxa"/>
            <w:vAlign w:val="bottom"/>
          </w:tcPr>
          <w:p>
            <w:pPr>
              <w:spacing w:after="0"/>
              <w:rPr>
                <w:sz w:val="17"/>
                <w:szCs w:val="17"/>
                <w:color w:val="auto"/>
              </w:rPr>
            </w:pPr>
          </w:p>
        </w:tc>
      </w:tr>
      <w:tr>
        <w:trPr>
          <w:trHeight w:val="20"/>
        </w:trPr>
        <w:tc>
          <w:tcPr>
            <w:tcW w:w="9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Assumed contingent liability related to the business combination</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The value of the assumed contingent liability as of December 31, 2019 is £1.1 million (2018: £1.0 million). The increase in value of the assumed contingent liability during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amounted to £0.1 million (2018: £0.1 million).</w:t>
      </w:r>
    </w:p>
    <w:p>
      <w:pPr>
        <w:spacing w:after="0" w:line="227" w:lineRule="exact"/>
        <w:rPr>
          <w:sz w:val="20"/>
          <w:szCs w:val="20"/>
          <w:color w:val="auto"/>
        </w:rPr>
      </w:pPr>
    </w:p>
    <w:p>
      <w:pPr>
        <w:ind w:right="220"/>
        <w:spacing w:after="0" w:line="273" w:lineRule="auto"/>
        <w:rPr>
          <w:sz w:val="20"/>
          <w:szCs w:val="20"/>
          <w:color w:val="auto"/>
        </w:rPr>
      </w:pPr>
      <w:r>
        <w:rPr>
          <w:rFonts w:ascii="Arial" w:cs="Arial" w:eastAsia="Arial" w:hAnsi="Arial"/>
          <w:sz w:val="14"/>
          <w:szCs w:val="14"/>
          <w:color w:val="auto"/>
        </w:rPr>
        <w:t>The assumed contingent liability relates to the acquisition, in 2006, of rights to certain patents and patent applications relating to ensifentrine and related compounds under which the Company is obliged to pay royalties to Ligand (see 2.12).</w:t>
      </w:r>
    </w:p>
    <w:p>
      <w:pPr>
        <w:spacing w:after="0" w:line="194" w:lineRule="exact"/>
        <w:rPr>
          <w:sz w:val="20"/>
          <w:szCs w:val="20"/>
          <w:color w:val="auto"/>
        </w:rPr>
      </w:pPr>
    </w:p>
    <w:p>
      <w:pPr>
        <w:jc w:val="both"/>
        <w:ind w:right="340"/>
        <w:spacing w:after="0" w:line="265" w:lineRule="auto"/>
        <w:rPr>
          <w:sz w:val="20"/>
          <w:szCs w:val="20"/>
          <w:color w:val="auto"/>
        </w:rPr>
      </w:pPr>
      <w:r>
        <w:rPr>
          <w:rFonts w:ascii="Arial" w:cs="Arial" w:eastAsia="Arial" w:hAnsi="Arial"/>
          <w:sz w:val="14"/>
          <w:szCs w:val="14"/>
          <w:color w:val="auto"/>
        </w:rPr>
        <w:t>The assumed contingent liability is measured at the expected value of the milestone payment and royalty payments. This expected value is based on estimated future royalties payable, derived from sales forecasts, and an assessment of the probability of success using standard market probabilities for respiratory drug development. The risk-weighted value of the assumed contingent arrangement is discounted back to its net present value applying an effective interest rate of 12%.</w:t>
      </w:r>
    </w:p>
    <w:p>
      <w:pPr>
        <w:spacing w:after="0" w:line="200"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assumed contingent liability is accounted for as a liability and its value is measured at amortized cost using the effective interest rate method, and is re-measured for changes in estimated cash flows or when the probability of success changes.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60"/>
          </w:cols>
          <w:pgMar w:left="220" w:top="140" w:right="219" w:bottom="1440" w:gutter="0" w:footer="0" w:header="0"/>
        </w:sectPr>
      </w:pPr>
    </w:p>
    <w:bookmarkStart w:id="154" w:name="page155"/>
    <w:bookmarkEnd w:id="1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92" w:lineRule="exact"/>
        <w:rPr>
          <w:sz w:val="20"/>
          <w:szCs w:val="20"/>
          <w:color w:val="auto"/>
        </w:rPr>
      </w:pPr>
    </w:p>
    <w:p>
      <w:pPr>
        <w:ind w:right="680"/>
        <w:spacing w:after="0" w:line="273" w:lineRule="auto"/>
        <w:rPr>
          <w:sz w:val="20"/>
          <w:szCs w:val="20"/>
          <w:color w:val="auto"/>
        </w:rPr>
      </w:pPr>
      <w:r>
        <w:rPr>
          <w:rFonts w:ascii="Arial" w:cs="Arial" w:eastAsia="Arial" w:hAnsi="Arial"/>
          <w:sz w:val="14"/>
          <w:szCs w:val="14"/>
          <w:color w:val="auto"/>
        </w:rPr>
        <w:t>Re-measurements relating to changes in estimated cash flows and probabilities of success are recognized in the IP R&amp;D asset it relates to ("see 2.7"). This is a change in accounting policy for the year ended December 1, 2019 (see 2.17). The unwind of the discount is recognized in finance expense.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Company considers that probabilities of success will change when it moves from one stage of clinical development to another. See note 4 for a further discussion of this.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20" w:type="dxa"/>
            <w:vAlign w:val="bottom"/>
          </w:tcPr>
          <w:p>
            <w:pPr>
              <w:spacing w:after="0"/>
              <w:rPr>
                <w:sz w:val="13"/>
                <w:szCs w:val="13"/>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2018</w:t>
            </w:r>
          </w:p>
        </w:tc>
      </w:tr>
      <w:tr>
        <w:trPr>
          <w:trHeight w:val="196"/>
        </w:trPr>
        <w:tc>
          <w:tcPr>
            <w:tcW w:w="88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£'000s</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rPr>
              <w:t>£'000s</w:t>
            </w:r>
          </w:p>
        </w:tc>
      </w:tr>
      <w:tr>
        <w:trPr>
          <w:trHeight w:val="200"/>
        </w:trPr>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January 1</w:t>
            </w:r>
          </w:p>
        </w:tc>
        <w:tc>
          <w:tcPr>
            <w:tcW w:w="1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996</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875</w:t>
            </w:r>
          </w:p>
        </w:tc>
      </w:tr>
      <w:tr>
        <w:trPr>
          <w:trHeight w:val="210"/>
        </w:trPr>
        <w:tc>
          <w:tcPr>
            <w:tcW w:w="8820" w:type="dxa"/>
            <w:vAlign w:val="bottom"/>
          </w:tcPr>
          <w:p>
            <w:pPr>
              <w:ind w:left="20"/>
              <w:spacing w:after="0"/>
              <w:rPr>
                <w:sz w:val="20"/>
                <w:szCs w:val="20"/>
                <w:color w:val="auto"/>
              </w:rPr>
            </w:pPr>
            <w:r>
              <w:rPr>
                <w:rFonts w:ascii="Arial" w:cs="Arial" w:eastAsia="Arial" w:hAnsi="Arial"/>
                <w:sz w:val="14"/>
                <w:szCs w:val="14"/>
                <w:color w:val="auto"/>
              </w:rPr>
              <w:t>Impact of changes in foreign exchange rates</w:t>
            </w: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color w:val="auto"/>
              </w:rPr>
              <w:t>15</w:t>
            </w:r>
          </w:p>
        </w:tc>
      </w:tr>
      <w:tr>
        <w:trPr>
          <w:trHeight w:val="216"/>
        </w:trPr>
        <w:tc>
          <w:tcPr>
            <w:tcW w:w="8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Unwinding of discount factor</w:t>
            </w: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106</w:t>
            </w:r>
          </w:p>
        </w:tc>
      </w:tr>
      <w:tr>
        <w:trPr>
          <w:trHeight w:val="201"/>
        </w:trPr>
        <w:tc>
          <w:tcPr>
            <w:tcW w:w="8820" w:type="dxa"/>
            <w:vAlign w:val="bottom"/>
          </w:tcPr>
          <w:p>
            <w:pPr>
              <w:ind w:left="20"/>
              <w:spacing w:after="0"/>
              <w:rPr>
                <w:sz w:val="20"/>
                <w:szCs w:val="20"/>
                <w:color w:val="auto"/>
              </w:rPr>
            </w:pPr>
            <w:r>
              <w:rPr>
                <w:rFonts w:ascii="Arial" w:cs="Arial" w:eastAsia="Arial" w:hAnsi="Arial"/>
                <w:sz w:val="14"/>
                <w:szCs w:val="14"/>
                <w:color w:val="auto"/>
              </w:rPr>
              <w:t>December 31</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996</w:t>
            </w:r>
          </w:p>
        </w:tc>
      </w:tr>
      <w:tr>
        <w:trPr>
          <w:trHeight w:val="20"/>
        </w:trPr>
        <w:tc>
          <w:tcPr>
            <w:tcW w:w="8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There is no material difference between the fair value and carrying value of the financial liability.</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For the amount recognized as at December 31, 2019, of £1,103 thousand, the effect if underlying assumptions were to deviate up or down is presented in the following table (assuming the probability of success does not change):</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Discount rate</w:t>
            </w:r>
          </w:p>
        </w:tc>
        <w:tc>
          <w:tcPr>
            <w:tcW w:w="1120" w:type="dxa"/>
            <w:vAlign w:val="bottom"/>
          </w:tcPr>
          <w:p>
            <w:pPr>
              <w:jc w:val="center"/>
              <w:ind w:right="73"/>
              <w:spacing w:after="0"/>
              <w:rPr>
                <w:sz w:val="20"/>
                <w:szCs w:val="20"/>
                <w:color w:val="auto"/>
              </w:rPr>
            </w:pPr>
            <w:r>
              <w:rPr>
                <w:rFonts w:ascii="Arial" w:cs="Arial" w:eastAsia="Arial" w:hAnsi="Arial"/>
                <w:sz w:val="13"/>
                <w:szCs w:val="13"/>
                <w:b w:val="1"/>
                <w:bCs w:val="1"/>
                <w:color w:val="auto"/>
                <w:w w:val="99"/>
              </w:rPr>
              <w:t>Revenue</w:t>
            </w:r>
          </w:p>
        </w:tc>
      </w:tr>
      <w:tr>
        <w:trPr>
          <w:trHeight w:val="162"/>
        </w:trPr>
        <w:tc>
          <w:tcPr>
            <w:tcW w:w="38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0" w:type="dxa"/>
            <w:vAlign w:val="bottom"/>
          </w:tcPr>
          <w:p>
            <w:pPr>
              <w:jc w:val="center"/>
              <w:ind w:right="77"/>
              <w:spacing w:after="0"/>
              <w:rPr>
                <w:sz w:val="20"/>
                <w:szCs w:val="20"/>
                <w:color w:val="auto"/>
              </w:rPr>
            </w:pPr>
            <w:r>
              <w:rPr>
                <w:rFonts w:ascii="Arial" w:cs="Arial" w:eastAsia="Arial" w:hAnsi="Arial"/>
                <w:sz w:val="13"/>
                <w:szCs w:val="13"/>
                <w:b w:val="1"/>
                <w:bCs w:val="1"/>
                <w:color w:val="auto"/>
              </w:rPr>
              <w:t>(up / down</w:t>
            </w:r>
          </w:p>
        </w:tc>
        <w:tc>
          <w:tcPr>
            <w:tcW w:w="1120" w:type="dxa"/>
            <w:vAlign w:val="bottom"/>
          </w:tcPr>
          <w:p>
            <w:pPr>
              <w:jc w:val="center"/>
              <w:ind w:right="93"/>
              <w:spacing w:after="0"/>
              <w:rPr>
                <w:sz w:val="20"/>
                <w:szCs w:val="20"/>
                <w:color w:val="auto"/>
              </w:rPr>
            </w:pPr>
            <w:r>
              <w:rPr>
                <w:rFonts w:ascii="Arial" w:cs="Arial" w:eastAsia="Arial" w:hAnsi="Arial"/>
                <w:sz w:val="13"/>
                <w:szCs w:val="13"/>
                <w:b w:val="1"/>
                <w:bCs w:val="1"/>
                <w:color w:val="auto"/>
                <w:w w:val="98"/>
              </w:rPr>
              <w:t>(up / down</w:t>
            </w:r>
          </w:p>
        </w:tc>
      </w:tr>
      <w:tr>
        <w:trPr>
          <w:trHeight w:val="171"/>
        </w:trPr>
        <w:tc>
          <w:tcPr>
            <w:tcW w:w="38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0" w:type="dxa"/>
            <w:vAlign w:val="bottom"/>
          </w:tcPr>
          <w:p>
            <w:pPr>
              <w:jc w:val="center"/>
              <w:ind w:right="77"/>
              <w:spacing w:after="0"/>
              <w:rPr>
                <w:sz w:val="20"/>
                <w:szCs w:val="20"/>
                <w:color w:val="auto"/>
              </w:rPr>
            </w:pPr>
            <w:r>
              <w:rPr>
                <w:rFonts w:ascii="Arial" w:cs="Arial" w:eastAsia="Arial" w:hAnsi="Arial"/>
                <w:sz w:val="13"/>
                <w:szCs w:val="13"/>
                <w:b w:val="1"/>
                <w:bCs w:val="1"/>
                <w:color w:val="auto"/>
                <w:w w:val="98"/>
              </w:rPr>
              <w:t>1 % pt)</w:t>
            </w:r>
          </w:p>
        </w:tc>
        <w:tc>
          <w:tcPr>
            <w:tcW w:w="1120" w:type="dxa"/>
            <w:vAlign w:val="bottom"/>
          </w:tcPr>
          <w:p>
            <w:pPr>
              <w:jc w:val="center"/>
              <w:ind w:right="93"/>
              <w:spacing w:after="0"/>
              <w:rPr>
                <w:sz w:val="20"/>
                <w:szCs w:val="20"/>
                <w:color w:val="auto"/>
              </w:rPr>
            </w:pPr>
            <w:r>
              <w:rPr>
                <w:rFonts w:ascii="Arial" w:cs="Arial" w:eastAsia="Arial" w:hAnsi="Arial"/>
                <w:sz w:val="13"/>
                <w:szCs w:val="13"/>
                <w:b w:val="1"/>
                <w:bCs w:val="1"/>
                <w:color w:val="auto"/>
                <w:w w:val="98"/>
              </w:rPr>
              <w:t>10 % pts)</w:t>
            </w:r>
          </w:p>
        </w:tc>
      </w:tr>
      <w:tr>
        <w:trPr>
          <w:trHeight w:val="27"/>
        </w:trPr>
        <w:tc>
          <w:tcPr>
            <w:tcW w:w="3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1"/>
        </w:trPr>
        <w:tc>
          <w:tcPr>
            <w:tcW w:w="38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400" w:type="dxa"/>
            <w:vAlign w:val="bottom"/>
          </w:tcPr>
          <w:p>
            <w:pPr>
              <w:jc w:val="center"/>
              <w:ind w:right="77"/>
              <w:spacing w:after="0"/>
              <w:rPr>
                <w:sz w:val="20"/>
                <w:szCs w:val="20"/>
                <w:color w:val="auto"/>
              </w:rPr>
            </w:pPr>
            <w:r>
              <w:rPr>
                <w:rFonts w:ascii="Arial" w:cs="Arial" w:eastAsia="Arial" w:hAnsi="Arial"/>
                <w:sz w:val="11"/>
                <w:szCs w:val="11"/>
                <w:b w:val="1"/>
                <w:bCs w:val="1"/>
                <w:color w:val="auto"/>
              </w:rPr>
              <w:t>£'000s</w:t>
            </w:r>
          </w:p>
        </w:tc>
        <w:tc>
          <w:tcPr>
            <w:tcW w:w="1120" w:type="dxa"/>
            <w:vAlign w:val="bottom"/>
          </w:tcPr>
          <w:p>
            <w:pPr>
              <w:jc w:val="center"/>
              <w:ind w:right="73"/>
              <w:spacing w:after="0"/>
              <w:rPr>
                <w:sz w:val="20"/>
                <w:szCs w:val="20"/>
                <w:color w:val="auto"/>
              </w:rPr>
            </w:pPr>
            <w:r>
              <w:rPr>
                <w:rFonts w:ascii="Arial" w:cs="Arial" w:eastAsia="Arial" w:hAnsi="Arial"/>
                <w:sz w:val="11"/>
                <w:szCs w:val="11"/>
                <w:b w:val="1"/>
                <w:bCs w:val="1"/>
                <w:color w:val="auto"/>
              </w:rPr>
              <w:t>£'000s</w:t>
            </w: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Variable up</w:t>
            </w:r>
          </w:p>
        </w:tc>
        <w:tc>
          <w:tcPr>
            <w:tcW w:w="650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1,067</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r>
      <w:tr>
        <w:trPr>
          <w:trHeight w:val="199"/>
        </w:trPr>
        <w:tc>
          <w:tcPr>
            <w:tcW w:w="3820" w:type="dxa"/>
            <w:vAlign w:val="bottom"/>
          </w:tcPr>
          <w:p>
            <w:pPr>
              <w:spacing w:after="0"/>
              <w:rPr>
                <w:sz w:val="20"/>
                <w:szCs w:val="20"/>
                <w:color w:val="auto"/>
              </w:rPr>
            </w:pPr>
            <w:r>
              <w:rPr>
                <w:rFonts w:ascii="Arial" w:cs="Arial" w:eastAsia="Arial" w:hAnsi="Arial"/>
                <w:sz w:val="14"/>
                <w:szCs w:val="14"/>
                <w:b w:val="1"/>
                <w:bCs w:val="1"/>
                <w:color w:val="auto"/>
              </w:rPr>
              <w:t>Base case, reported fair value</w:t>
            </w:r>
          </w:p>
        </w:tc>
        <w:tc>
          <w:tcPr>
            <w:tcW w:w="650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1,103</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1,103</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Variable down</w:t>
            </w:r>
          </w:p>
        </w:tc>
        <w:tc>
          <w:tcPr>
            <w:tcW w:w="650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1,141</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r>
      <w:tr>
        <w:trPr>
          <w:trHeight w:val="624"/>
        </w:trPr>
        <w:tc>
          <w:tcPr>
            <w:tcW w:w="3820" w:type="dxa"/>
            <w:vAlign w:val="bottom"/>
          </w:tcPr>
          <w:p>
            <w:pPr>
              <w:spacing w:after="0"/>
              <w:rPr>
                <w:sz w:val="24"/>
                <w:szCs w:val="24"/>
                <w:color w:val="auto"/>
              </w:rPr>
            </w:pPr>
          </w:p>
        </w:tc>
        <w:tc>
          <w:tcPr>
            <w:tcW w:w="5100" w:type="dxa"/>
            <w:vAlign w:val="bottom"/>
          </w:tcPr>
          <w:p>
            <w:pPr>
              <w:jc w:val="right"/>
              <w:ind w:right="3008"/>
              <w:spacing w:after="0"/>
              <w:rPr>
                <w:sz w:val="20"/>
                <w:szCs w:val="20"/>
                <w:color w:val="auto"/>
              </w:rPr>
            </w:pPr>
            <w:r>
              <w:rPr>
                <w:rFonts w:ascii="Arial" w:cs="Arial" w:eastAsia="Arial" w:hAnsi="Arial"/>
                <w:sz w:val="14"/>
                <w:szCs w:val="14"/>
                <w:color w:val="auto"/>
              </w:rPr>
              <w:t>154</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60"/>
          </w:cols>
          <w:pgMar w:left="220" w:top="140" w:right="219" w:bottom="1440" w:gutter="0" w:footer="0" w:header="0"/>
        </w:sectPr>
      </w:pPr>
    </w:p>
    <w:bookmarkStart w:id="155" w:name="page156"/>
    <w:bookmarkEnd w:id="1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VERONA PHARMA PLC</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 (Continued)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THREE YEARS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Related parties transactions and other shareholder matters</w:t>
      </w:r>
    </w:p>
    <w:p>
      <w:pPr>
        <w:spacing w:after="0" w:line="231" w:lineRule="exact"/>
        <w:rPr>
          <w:sz w:val="20"/>
          <w:szCs w:val="20"/>
          <w:color w:val="auto"/>
        </w:rPr>
      </w:pPr>
    </w:p>
    <w:p>
      <w:pPr>
        <w:ind w:left="300" w:hanging="294"/>
        <w:spacing w:after="0"/>
        <w:tabs>
          <w:tab w:leader="none" w:pos="30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Related party transactions</w:t>
      </w:r>
    </w:p>
    <w:p>
      <w:pPr>
        <w:spacing w:after="0" w:line="241" w:lineRule="exact"/>
        <w:rPr>
          <w:sz w:val="20"/>
          <w:szCs w:val="20"/>
          <w:color w:val="auto"/>
        </w:rPr>
      </w:pPr>
    </w:p>
    <w:p>
      <w:pPr>
        <w:ind w:right="400"/>
        <w:spacing w:after="0" w:line="273" w:lineRule="auto"/>
        <w:rPr>
          <w:sz w:val="20"/>
          <w:szCs w:val="20"/>
          <w:color w:val="auto"/>
        </w:rPr>
      </w:pPr>
      <w:r>
        <w:rPr>
          <w:rFonts w:ascii="Arial" w:cs="Arial" w:eastAsia="Arial" w:hAnsi="Arial"/>
          <w:sz w:val="14"/>
          <w:szCs w:val="14"/>
          <w:color w:val="auto"/>
        </w:rPr>
        <w:t>The Directors have authority and responsibility for planning, directing and controlling the activities of the Company and they therefore comprise key management personnel as defined by IAS 24, ("Related Party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Directors and key management personnel remuneration is disclosed in note 8.</w:t>
      </w:r>
    </w:p>
    <w:p>
      <w:pPr>
        <w:spacing w:after="0" w:line="213"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Other shareholder matters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entered into the following arrangements with parties who are significant shareholders of the Company, though they are not classed as related parties.</w:t>
      </w:r>
    </w:p>
    <w:p>
      <w:pPr>
        <w:spacing w:after="0" w:line="227"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Company entered into relationship agreements with Vivo Ventures Fund VII, L.P., Vivo Ventures VII Affiliates Fund, L.P., Vivo Ventures Fund VI, L.P., Vivo Ventures VI Affiliates Fund, L.P. (collectively, "Vivo Capital"), Orbimed Private Investments VI L.P. ("Orbimed") and Abingworth Bioventures VI L.P. ("Abingworth"). As agreed in these relationship agreements, the above parties invested in the Company as part of the July 2016 Placement, and the Company agreed to appoint representatives designated by Vivo Capital, OrbiMed and Abingworth to the board of directors, who are Dr. Mahendra Shah, Mr. Rishi Gupta, and Dr. Andrew Sinclair.</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appointment rights within the relationship agreement with Arix and Arthurian terminated on closing of the Global Offering on April 26, 2017. Dr Cunningham agreed to continue to serve on the Company's board of directors as an independent director. The respective appointment rights under the remaining relationship agreements will automatically terminate upon (i) Vivo Capital, OrbiMed or Abingworth (or any of their associates), as applicable, ceasing to beneficially hold 6.5% of the issued ordinary shares, or (ii) the ordinary shares ceasing to be admitted to AIM.</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Piers Morgan, Chief Financial Officer of the Company, and his spouse purchased 88,415 ordinary shares in total for £53 thousand from the market in the year ended December 31, 2019 (2018: £nil).</w:t>
      </w:r>
    </w:p>
    <w:p>
      <w:pPr>
        <w:spacing w:after="0" w:line="65"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Dr. Jan-Anders Karlsson, Chief Executive Officer of the Company, purchased 3,250 ordinary shares for £5 thousand from the market in the year ended December 31, 2018. There was no similar transaction as at December 31, 2019.</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Dr. David Ebsworth, Chairman of the Company, purchased 247,600 ordinary shares for £124 thousand from the market in the year ended December 31, 2019 (2018: £14 thousand).</w:t>
      </w:r>
    </w:p>
    <w:p>
      <w:pPr>
        <w:spacing w:after="0" w:line="98"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At December 31, 2018, there was a receivable of £126 thousand due from one director and two key management personnel relating to tax due on RSUs that vested in the year ended December 31, 2018. This receivable was repaid, together with interest at a rate of 3.9% per annum, by March 6, 2019. There was no such balance as at December 31, 2019.</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In the year ended December 31, 2019, a director provided consultancy services for £26 thousand (2018: £26 thousand).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Events after the reporting date</w:t>
      </w:r>
    </w:p>
    <w:p>
      <w:pPr>
        <w:spacing w:after="0" w:line="137" w:lineRule="exact"/>
        <w:rPr>
          <w:sz w:val="20"/>
          <w:szCs w:val="20"/>
          <w:color w:val="auto"/>
        </w:rPr>
      </w:pPr>
    </w:p>
    <w:p>
      <w:pPr>
        <w:ind w:right="280"/>
        <w:spacing w:after="0" w:line="273" w:lineRule="auto"/>
        <w:rPr>
          <w:sz w:val="20"/>
          <w:szCs w:val="20"/>
          <w:color w:val="auto"/>
        </w:rPr>
      </w:pPr>
      <w:r>
        <w:rPr>
          <w:rFonts w:ascii="Arial" w:cs="Arial" w:eastAsia="Arial" w:hAnsi="Arial"/>
          <w:sz w:val="14"/>
          <w:szCs w:val="14"/>
          <w:color w:val="auto"/>
        </w:rPr>
        <w:t>On February 3, 2020, the Company announced the appointment of David Zaccardelli as chief executive officer with effect from February 1, 2020, following the retirement of Jan-Anders Karlsson, PhD. The Company also announced the appointment of Mark Hahn as chief financial officer with effect from March 1, 2020, as successor to Piers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460"/>
          </w:cols>
          <w:pgMar w:left="220" w:top="140" w:right="219" w:bottom="1440"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307975</wp:posOffset>
            </wp:positionV>
            <wp:extent cx="6609715" cy="9480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9899015</wp:posOffset>
            </wp:positionV>
            <wp:extent cx="660971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660971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735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6609715"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75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6609715"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80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6609715"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735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6609715"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307975</wp:posOffset>
            </wp:positionV>
            <wp:extent cx="6609715" cy="94672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530860</wp:posOffset>
            </wp:positionH>
            <wp:positionV relativeFrom="page">
              <wp:posOffset>431165</wp:posOffset>
            </wp:positionV>
            <wp:extent cx="6609715" cy="94672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6609715"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42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307340</wp:posOffset>
            </wp:positionV>
            <wp:extent cx="7217410" cy="94805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9762490</wp:posOffset>
            </wp:positionV>
            <wp:extent cx="7217410"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4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lowerRoman"/>
      <w:start w:val="2"/>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upperLetter"/>
      <w:start w:val="1"/>
    </w:lvl>
    <w:lvl w:ilvl="1">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decimal"/>
      <w:start w:val="1"/>
    </w:lvl>
  </w:abstractNum>
  <w:abstractNum w:abstractNumId="51">
    <w:nsid w:val="1EBA5D23"/>
    <w:multiLevelType w:val="hybridMultilevel"/>
    <w:lvl w:ilvl="0">
      <w:lvlJc w:val="left"/>
      <w:lvlText w:val="(%1)"/>
      <w:numFmt w:val="decimal"/>
      <w:start w:val="4"/>
    </w:lvl>
  </w:abstractNum>
  <w:abstractNum w:abstractNumId="52">
    <w:nsid w:val="661E3F1E"/>
    <w:multiLevelType w:val="hybridMultilevel"/>
    <w:lvl w:ilvl="0">
      <w:lvlJc w:val="left"/>
      <w:lvlText w:val="%1."/>
      <w:numFmt w:val="upperLetter"/>
      <w:start w:val="5"/>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1."/>
      <w:numFmt w:val="upperLetter"/>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lowerLetter"/>
      <w:start w:val="2"/>
    </w:lvl>
  </w:abstractNum>
  <w:abstractNum w:abstractNumId="68">
    <w:nsid w:val="6A5EE64"/>
    <w:multiLevelType w:val="hybridMultilevel"/>
    <w:lvl w:ilvl="0">
      <w:lvlJc w:val="left"/>
      <w:lvlText w:val="(%1)"/>
      <w:numFmt w:val="lowerLetter"/>
      <w:start w:val="3"/>
    </w:lvl>
  </w:abstractNum>
  <w:abstractNum w:abstractNumId="69">
    <w:nsid w:val="14330624"/>
    <w:multiLevelType w:val="hybridMultilevel"/>
    <w:lvl w:ilvl="0">
      <w:lvlJc w:val="left"/>
      <w:lvlText w:val="(%1)"/>
      <w:numFmt w:val="lowerLetter"/>
      <w:start w:val="4"/>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2"/>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lowerLetter"/>
      <w:start w:val="2"/>
    </w:lvl>
  </w:abstractNum>
  <w:abstractNum w:abstractNumId="75">
    <w:nsid w:val="6EB5BD4"/>
    <w:multiLevelType w:val="hybridMultilevel"/>
    <w:lvl w:ilvl="0">
      <w:lvlJc w:val="left"/>
      <w:lvlText w:val="(%1)"/>
      <w:numFmt w:val="lowerLetter"/>
      <w:start w:val="3"/>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1."/>
      <w:numFmt w:val="decimal"/>
      <w:start w:val="3"/>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2"/>
    </w:lvl>
  </w:abstractNum>
  <w:abstractNum w:abstractNumId="81">
    <w:nsid w:val="1716703B"/>
    <w:multiLevelType w:val="hybridMultilevel"/>
    <w:lvl w:ilvl="0">
      <w:lvlJc w:val="left"/>
      <w:lvlText w:val="(%1)"/>
      <w:numFmt w:val="lowerLetter"/>
      <w:start w:val="3"/>
    </w:lvl>
  </w:abstractNum>
  <w:abstractNum w:abstractNumId="82">
    <w:nsid w:val="14E17E33"/>
    <w:multiLevelType w:val="hybridMultilevel"/>
    <w:lvl w:ilvl="0">
      <w:lvlJc w:val="left"/>
      <w:lvlText w:val="(%1)"/>
      <w:numFmt w:val="lowerLetter"/>
      <w:start w:val="4"/>
    </w:lvl>
  </w:abstractNum>
  <w:abstractNum w:abstractNumId="83">
    <w:nsid w:val="3222E7CD"/>
    <w:multiLevelType w:val="hybridMultilevel"/>
    <w:lvl w:ilvl="0">
      <w:lvlJc w:val="left"/>
      <w:lvlText w:val="(%1)"/>
      <w:numFmt w:val="lowerLetter"/>
      <w:start w:val="5"/>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decimal"/>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lowerLetter"/>
      <w:start w:val="2"/>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1)"/>
      <w:numFmt w:val="lowerRoman"/>
      <w:start w:val="1"/>
    </w:lvl>
  </w:abstractNum>
  <w:abstractNum w:abstractNumId="93">
    <w:nsid w:val="60EF011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25" Type="http://schemas.openxmlformats.org/officeDocument/2006/relationships/hyperlink" Target="http://www.sec.gov/Archives/edgar/data/1657312/000104746917002313/a2231519zex-3_1.htm" TargetMode="External"/><Relationship Id="rId26" Type="http://schemas.openxmlformats.org/officeDocument/2006/relationships/hyperlink" Target="http://www.sec.gov/Archives/edgar/data/1657312/000165731218000006/exhibit21depositagreemen.htm" TargetMode="External"/><Relationship Id="rId27" Type="http://schemas.openxmlformats.org/officeDocument/2006/relationships/hyperlink" Target="http://www.sec.gov/Archives/edgar/data/1657312/000104746917002313/a2231519zex-4_3.htm" TargetMode="External"/><Relationship Id="rId28" Type="http://schemas.openxmlformats.org/officeDocument/2006/relationships/hyperlink" Target="http://www.sec.gov/Archives/edgar/data/1657312/000104746917002313/a2231519zex-4_4.htm" TargetMode="External"/><Relationship Id="rId29" Type="http://schemas.openxmlformats.org/officeDocument/2006/relationships/hyperlink" Target="http://www.sec.gov/Archives/edgar/data/1657312/000104746917002313/a2231519zex-10_1.htm" TargetMode="External"/><Relationship Id="rId30" Type="http://schemas.openxmlformats.org/officeDocument/2006/relationships/hyperlink" Target="http://www.sec.gov/Archives/edgar/data/1657312/000104746917002313/a2231519zex-10_2.htm" TargetMode="External"/><Relationship Id="rId31" Type="http://schemas.openxmlformats.org/officeDocument/2006/relationships/hyperlink" Target="http://www.sec.gov/Archives/edgar/data/1657312/000165731219000007/renewalagreementoctober1.htm" TargetMode="External"/><Relationship Id="rId32" Type="http://schemas.openxmlformats.org/officeDocument/2006/relationships/hyperlink" Target="http://www.sec.gov/Archives/edgar/data/1657312/000165731219000007/renewalagreementnovember.htm" TargetMode="External"/><Relationship Id="rId33" Type="http://schemas.openxmlformats.org/officeDocument/2006/relationships/hyperlink" Target="http://www.sec.gov/Archives/edgar/data/1657312/000165731219000007/renewalagreementapril320.htm" TargetMode="External"/><Relationship Id="rId34" Type="http://schemas.openxmlformats.org/officeDocument/2006/relationships/hyperlink" Target="http://www.sec.gov/Archives/edgar/data/1657312/000104746917002313/a2231519zex-10_4.htm" TargetMode="External"/><Relationship Id="rId35" Type="http://schemas.openxmlformats.org/officeDocument/2006/relationships/hyperlink" Target="http://www.sec.gov/Archives/edgar/data/1657312/000104746917002313/a2231519zex-10_5.htm" TargetMode="External"/><Relationship Id="rId36" Type="http://schemas.openxmlformats.org/officeDocument/2006/relationships/hyperlink" Target="http://www.sec.gov/Archives/edgar/data/1657312/000165731218000006/exhibit462017plan.htm" TargetMode="External"/><Relationship Id="rId37" Type="http://schemas.openxmlformats.org/officeDocument/2006/relationships/hyperlink" Target="http://www.sec.gov/Archives/edgar/data/1657312/000165731219000007/kathyrickardemploymentag.htm" TargetMode="External"/><Relationship Id="rId38" Type="http://schemas.openxmlformats.org/officeDocument/2006/relationships/hyperlink" Target="http://www.sec.gov/Archives/edgar/data/1657312/000104746917002313/a2231519zex-10_8.htm" TargetMode="External"/><Relationship Id="rId39" Type="http://schemas.openxmlformats.org/officeDocument/2006/relationships/hyperlink" Target="http://www.sec.gov/Archives/edgar/data/1657312/000104746917002313/a2231519zex-10_9.htm" TargetMode="External"/><Relationship Id="rId40" Type="http://schemas.openxmlformats.org/officeDocument/2006/relationships/hyperlink" Target="http://www.sec.gov/Archives/edgar/data/1657312/000104746917002697/a2231786zex-10_111.htm" TargetMode="External"/><Relationship Id="rId41" Type="http://schemas.openxmlformats.org/officeDocument/2006/relationships/hyperlink" Target="http://www.sec.gov/Archives/edgar/data/1657312/000104746917002697/a2231786zex-10_112.htm" TargetMode="External"/><Relationship Id="rId42" Type="http://schemas.openxmlformats.org/officeDocument/2006/relationships/hyperlink" Target="http://www.sec.gov/Archives/edgar/data/1657312/000104746917002313/a2231519zex-10_12.htm" TargetMode="External"/><Relationship Id="rId43" Type="http://schemas.openxmlformats.org/officeDocument/2006/relationships/hyperlink" Target="http://www.sec.gov/Archives/edgar/data/1657312/000104746917002313/a2231519zex-10_13.htm" TargetMode="External"/><Relationship Id="rId44" Type="http://schemas.openxmlformats.org/officeDocument/2006/relationships/hyperlink" Target="http://www.sec.gov/Archives/edgar/data/1657312/000104746917002313/a2231519zex-10_14.htm" TargetMode="External"/><Relationship Id="rId45" Type="http://schemas.openxmlformats.org/officeDocument/2006/relationships/hyperlink" Target="http://www.sec.gov/Archives/edgar/data/1657312/000104746917002313/a2231519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2020-02-27T06:02:32Z</dcterms:created>
  <dcterms:modified xsi:type="dcterms:W3CDTF">2020-02-27T06:02:32Z</dcterms:modified>
</cp:coreProperties>
</file>