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42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53rd at Third</w:t>
            </w:r>
          </w:p>
        </w:tc>
        <w:tc>
          <w:tcPr>
            <w:tcW w:w="1660" w:type="dxa"/>
            <w:vAlign w:val="bottom"/>
          </w:tcPr>
          <w:p>
            <w:pPr>
              <w:spacing w:after="0"/>
              <w:rPr>
                <w:sz w:val="18"/>
                <w:szCs w:val="18"/>
                <w:color w:val="auto"/>
              </w:rPr>
            </w:pPr>
          </w:p>
        </w:tc>
      </w:tr>
      <w:tr>
        <w:trPr>
          <w:trHeight w:val="216"/>
        </w:trPr>
        <w:tc>
          <w:tcPr>
            <w:tcW w:w="3720" w:type="dxa"/>
            <w:vAlign w:val="bottom"/>
          </w:tcPr>
          <w:p>
            <w:pPr>
              <w:spacing w:after="0"/>
              <w:rPr>
                <w:sz w:val="18"/>
                <w:szCs w:val="18"/>
                <w:color w:val="auto"/>
              </w:rPr>
            </w:pPr>
          </w:p>
        </w:tc>
        <w:tc>
          <w:tcPr>
            <w:tcW w:w="42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885 Third Avenue</w:t>
            </w:r>
          </w:p>
        </w:tc>
        <w:tc>
          <w:tcPr>
            <w:tcW w:w="1660" w:type="dxa"/>
            <w:vAlign w:val="bottom"/>
          </w:tcPr>
          <w:p>
            <w:pPr>
              <w:spacing w:after="0"/>
              <w:rPr>
                <w:sz w:val="18"/>
                <w:szCs w:val="18"/>
                <w:color w:val="auto"/>
              </w:rPr>
            </w:pPr>
          </w:p>
        </w:tc>
      </w:tr>
      <w:tr>
        <w:trPr>
          <w:trHeight w:val="216"/>
        </w:trPr>
        <w:tc>
          <w:tcPr>
            <w:tcW w:w="3720" w:type="dxa"/>
            <w:vAlign w:val="bottom"/>
          </w:tcPr>
          <w:p>
            <w:pPr>
              <w:spacing w:after="0"/>
              <w:rPr>
                <w:sz w:val="18"/>
                <w:szCs w:val="18"/>
                <w:color w:val="auto"/>
              </w:rPr>
            </w:pPr>
          </w:p>
        </w:tc>
        <w:tc>
          <w:tcPr>
            <w:tcW w:w="590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New York, New York 10022-4834</w:t>
            </w:r>
          </w:p>
        </w:tc>
      </w:tr>
      <w:tr>
        <w:trPr>
          <w:trHeight w:val="216"/>
        </w:trPr>
        <w:tc>
          <w:tcPr>
            <w:tcW w:w="3720" w:type="dxa"/>
            <w:vAlign w:val="bottom"/>
          </w:tcPr>
          <w:p>
            <w:pPr>
              <w:spacing w:after="0"/>
              <w:rPr>
                <w:sz w:val="18"/>
                <w:szCs w:val="18"/>
                <w:color w:val="auto"/>
              </w:rPr>
            </w:pPr>
          </w:p>
        </w:tc>
        <w:tc>
          <w:tcPr>
            <w:tcW w:w="4240" w:type="dxa"/>
            <w:vAlign w:val="bottom"/>
          </w:tcPr>
          <w:p>
            <w:pPr>
              <w:ind w:left="2660"/>
              <w:spacing w:after="0"/>
              <w:rPr>
                <w:sz w:val="20"/>
                <w:szCs w:val="20"/>
                <w:color w:val="auto"/>
              </w:rPr>
            </w:pPr>
            <w:r>
              <w:rPr>
                <w:rFonts w:ascii="Times New Roman" w:cs="Times New Roman" w:eastAsia="Times New Roman" w:hAnsi="Times New Roman"/>
                <w:sz w:val="18"/>
                <w:szCs w:val="18"/>
                <w:color w:val="auto"/>
                <w:w w:val="99"/>
              </w:rPr>
              <w:t>Tel: +1.212.906.1200</w:t>
            </w:r>
          </w:p>
        </w:tc>
        <w:tc>
          <w:tcPr>
            <w:tcW w:w="16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Fax: +1.212.751.4864</w:t>
            </w:r>
          </w:p>
        </w:tc>
      </w:tr>
      <w:tr>
        <w:trPr>
          <w:trHeight w:val="234"/>
        </w:trPr>
        <w:tc>
          <w:tcPr>
            <w:tcW w:w="3720" w:type="dxa"/>
            <w:vAlign w:val="bottom"/>
          </w:tcPr>
          <w:p>
            <w:pPr>
              <w:spacing w:after="0"/>
              <w:rPr>
                <w:sz w:val="20"/>
                <w:szCs w:val="20"/>
                <w:color w:val="auto"/>
              </w:rPr>
            </w:pPr>
          </w:p>
        </w:tc>
        <w:tc>
          <w:tcPr>
            <w:tcW w:w="42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www.lw.com</w:t>
            </w:r>
          </w:p>
        </w:tc>
        <w:tc>
          <w:tcPr>
            <w:tcW w:w="1660" w:type="dxa"/>
            <w:vAlign w:val="bottom"/>
          </w:tcPr>
          <w:p>
            <w:pPr>
              <w:spacing w:after="0"/>
              <w:rPr>
                <w:sz w:val="20"/>
                <w:szCs w:val="20"/>
                <w:color w:val="auto"/>
              </w:rPr>
            </w:pPr>
          </w:p>
        </w:tc>
      </w:tr>
      <w:tr>
        <w:trPr>
          <w:trHeight w:val="414"/>
        </w:trPr>
        <w:tc>
          <w:tcPr>
            <w:tcW w:w="3720" w:type="dxa"/>
            <w:vAlign w:val="bottom"/>
          </w:tcPr>
          <w:p>
            <w:pPr>
              <w:spacing w:after="0"/>
              <w:rPr>
                <w:sz w:val="24"/>
                <w:szCs w:val="24"/>
                <w:color w:val="auto"/>
              </w:rPr>
            </w:pPr>
          </w:p>
        </w:tc>
        <w:tc>
          <w:tcPr>
            <w:tcW w:w="590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FIRM / AFFILIATE OFFICES</w:t>
            </w:r>
          </w:p>
        </w:tc>
      </w:tr>
      <w:tr>
        <w:trPr>
          <w:trHeight w:val="216"/>
        </w:trPr>
        <w:tc>
          <w:tcPr>
            <w:tcW w:w="3720" w:type="dxa"/>
            <w:vAlign w:val="bottom"/>
          </w:tcPr>
          <w:p>
            <w:pPr>
              <w:spacing w:after="0"/>
              <w:rPr>
                <w:sz w:val="18"/>
                <w:szCs w:val="18"/>
                <w:color w:val="auto"/>
              </w:rPr>
            </w:pPr>
          </w:p>
        </w:tc>
        <w:tc>
          <w:tcPr>
            <w:tcW w:w="42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Barcelona</w:t>
            </w:r>
          </w:p>
        </w:tc>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Moscow</w:t>
            </w:r>
          </w:p>
        </w:tc>
      </w:tr>
      <w:tr>
        <w:trPr>
          <w:trHeight w:val="216"/>
        </w:trPr>
        <w:tc>
          <w:tcPr>
            <w:tcW w:w="3720" w:type="dxa"/>
            <w:vAlign w:val="bottom"/>
          </w:tcPr>
          <w:p>
            <w:pPr>
              <w:spacing w:after="0"/>
              <w:rPr>
                <w:sz w:val="18"/>
                <w:szCs w:val="18"/>
                <w:color w:val="auto"/>
              </w:rPr>
            </w:pPr>
          </w:p>
        </w:tc>
        <w:tc>
          <w:tcPr>
            <w:tcW w:w="42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Beijing</w:t>
            </w:r>
          </w:p>
        </w:tc>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Munich</w:t>
            </w:r>
          </w:p>
        </w:tc>
      </w:tr>
      <w:tr>
        <w:trPr>
          <w:trHeight w:val="216"/>
        </w:trPr>
        <w:tc>
          <w:tcPr>
            <w:tcW w:w="3720" w:type="dxa"/>
            <w:vAlign w:val="bottom"/>
          </w:tcPr>
          <w:p>
            <w:pPr>
              <w:spacing w:after="0"/>
              <w:rPr>
                <w:sz w:val="18"/>
                <w:szCs w:val="18"/>
                <w:color w:val="auto"/>
              </w:rPr>
            </w:pPr>
          </w:p>
        </w:tc>
        <w:tc>
          <w:tcPr>
            <w:tcW w:w="42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Boston</w:t>
            </w:r>
          </w:p>
        </w:tc>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New York</w:t>
            </w:r>
          </w:p>
        </w:tc>
      </w:tr>
      <w:tr>
        <w:trPr>
          <w:trHeight w:val="216"/>
        </w:trPr>
        <w:tc>
          <w:tcPr>
            <w:tcW w:w="3720" w:type="dxa"/>
            <w:vAlign w:val="bottom"/>
          </w:tcPr>
          <w:p>
            <w:pPr>
              <w:spacing w:after="0"/>
              <w:rPr>
                <w:sz w:val="18"/>
                <w:szCs w:val="18"/>
                <w:color w:val="auto"/>
              </w:rPr>
            </w:pPr>
          </w:p>
        </w:tc>
        <w:tc>
          <w:tcPr>
            <w:tcW w:w="42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Brussels</w:t>
            </w:r>
          </w:p>
        </w:tc>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Orange County</w:t>
            </w:r>
          </w:p>
        </w:tc>
      </w:tr>
      <w:tr>
        <w:trPr>
          <w:trHeight w:val="216"/>
        </w:trPr>
        <w:tc>
          <w:tcPr>
            <w:tcW w:w="3720" w:type="dxa"/>
            <w:vAlign w:val="bottom"/>
          </w:tcPr>
          <w:p>
            <w:pPr>
              <w:spacing w:after="0"/>
              <w:rPr>
                <w:sz w:val="18"/>
                <w:szCs w:val="18"/>
                <w:color w:val="auto"/>
              </w:rPr>
            </w:pPr>
          </w:p>
        </w:tc>
        <w:tc>
          <w:tcPr>
            <w:tcW w:w="42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Century City</w:t>
            </w:r>
          </w:p>
        </w:tc>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Paris</w:t>
            </w:r>
          </w:p>
        </w:tc>
      </w:tr>
      <w:tr>
        <w:trPr>
          <w:trHeight w:val="216"/>
        </w:trPr>
        <w:tc>
          <w:tcPr>
            <w:tcW w:w="3720" w:type="dxa"/>
            <w:vAlign w:val="bottom"/>
          </w:tcPr>
          <w:p>
            <w:pPr>
              <w:spacing w:after="0"/>
              <w:rPr>
                <w:sz w:val="18"/>
                <w:szCs w:val="18"/>
                <w:color w:val="auto"/>
              </w:rPr>
            </w:pPr>
          </w:p>
        </w:tc>
        <w:tc>
          <w:tcPr>
            <w:tcW w:w="42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Chicago</w:t>
            </w:r>
          </w:p>
        </w:tc>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Riyadh</w:t>
            </w:r>
          </w:p>
        </w:tc>
      </w:tr>
      <w:tr>
        <w:trPr>
          <w:trHeight w:val="216"/>
        </w:trPr>
        <w:tc>
          <w:tcPr>
            <w:tcW w:w="3720" w:type="dxa"/>
            <w:vAlign w:val="bottom"/>
          </w:tcPr>
          <w:p>
            <w:pPr>
              <w:spacing w:after="0"/>
              <w:rPr>
                <w:sz w:val="18"/>
                <w:szCs w:val="18"/>
                <w:color w:val="auto"/>
              </w:rPr>
            </w:pPr>
          </w:p>
        </w:tc>
        <w:tc>
          <w:tcPr>
            <w:tcW w:w="42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Dubai</w:t>
            </w:r>
          </w:p>
        </w:tc>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Rome</w:t>
            </w:r>
          </w:p>
        </w:tc>
      </w:tr>
      <w:tr>
        <w:trPr>
          <w:trHeight w:val="216"/>
        </w:trPr>
        <w:tc>
          <w:tcPr>
            <w:tcW w:w="3720" w:type="dxa"/>
            <w:vAlign w:val="bottom"/>
          </w:tcPr>
          <w:p>
            <w:pPr>
              <w:spacing w:after="0"/>
              <w:rPr>
                <w:sz w:val="18"/>
                <w:szCs w:val="18"/>
                <w:color w:val="auto"/>
              </w:rPr>
            </w:pPr>
          </w:p>
        </w:tc>
        <w:tc>
          <w:tcPr>
            <w:tcW w:w="42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Düsseldorf</w:t>
            </w:r>
          </w:p>
        </w:tc>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San Diego</w:t>
            </w:r>
          </w:p>
        </w:tc>
      </w:tr>
      <w:tr>
        <w:trPr>
          <w:trHeight w:val="216"/>
        </w:trPr>
        <w:tc>
          <w:tcPr>
            <w:tcW w:w="3720" w:type="dxa"/>
            <w:vAlign w:val="bottom"/>
          </w:tcPr>
          <w:p>
            <w:pPr>
              <w:spacing w:after="0"/>
              <w:rPr>
                <w:sz w:val="18"/>
                <w:szCs w:val="18"/>
                <w:color w:val="auto"/>
              </w:rPr>
            </w:pPr>
          </w:p>
        </w:tc>
        <w:tc>
          <w:tcPr>
            <w:tcW w:w="42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Frankfurt</w:t>
            </w:r>
          </w:p>
        </w:tc>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San Francisco</w:t>
            </w: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April 26, 2017</w:t>
            </w:r>
          </w:p>
        </w:tc>
        <w:tc>
          <w:tcPr>
            <w:tcW w:w="42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Hamburg</w:t>
            </w:r>
          </w:p>
        </w:tc>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Seoul</w:t>
            </w:r>
          </w:p>
        </w:tc>
      </w:tr>
      <w:tr>
        <w:trPr>
          <w:trHeight w:val="216"/>
        </w:trPr>
        <w:tc>
          <w:tcPr>
            <w:tcW w:w="3720" w:type="dxa"/>
            <w:vAlign w:val="bottom"/>
          </w:tcPr>
          <w:p>
            <w:pPr>
              <w:spacing w:after="0"/>
              <w:rPr>
                <w:sz w:val="18"/>
                <w:szCs w:val="18"/>
                <w:color w:val="auto"/>
              </w:rPr>
            </w:pPr>
          </w:p>
        </w:tc>
        <w:tc>
          <w:tcPr>
            <w:tcW w:w="42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Hong Kong</w:t>
            </w:r>
          </w:p>
        </w:tc>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Shanghai</w:t>
            </w:r>
          </w:p>
        </w:tc>
      </w:tr>
      <w:tr>
        <w:trPr>
          <w:trHeight w:val="216"/>
        </w:trPr>
        <w:tc>
          <w:tcPr>
            <w:tcW w:w="3720" w:type="dxa"/>
            <w:vAlign w:val="bottom"/>
          </w:tcPr>
          <w:p>
            <w:pPr>
              <w:spacing w:after="0"/>
              <w:rPr>
                <w:sz w:val="18"/>
                <w:szCs w:val="18"/>
                <w:color w:val="auto"/>
              </w:rPr>
            </w:pPr>
          </w:p>
        </w:tc>
        <w:tc>
          <w:tcPr>
            <w:tcW w:w="42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Houston</w:t>
            </w:r>
          </w:p>
        </w:tc>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Silicon Valley</w:t>
            </w:r>
          </w:p>
        </w:tc>
      </w:tr>
      <w:tr>
        <w:trPr>
          <w:trHeight w:val="216"/>
        </w:trPr>
        <w:tc>
          <w:tcPr>
            <w:tcW w:w="3720" w:type="dxa"/>
            <w:vAlign w:val="bottom"/>
          </w:tcPr>
          <w:p>
            <w:pPr>
              <w:spacing w:after="0"/>
              <w:rPr>
                <w:sz w:val="18"/>
                <w:szCs w:val="18"/>
                <w:color w:val="auto"/>
              </w:rPr>
            </w:pPr>
          </w:p>
        </w:tc>
        <w:tc>
          <w:tcPr>
            <w:tcW w:w="42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London</w:t>
            </w:r>
          </w:p>
        </w:tc>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3720" w:type="dxa"/>
            <w:vAlign w:val="bottom"/>
          </w:tcPr>
          <w:p>
            <w:pPr>
              <w:spacing w:after="0"/>
              <w:rPr>
                <w:sz w:val="18"/>
                <w:szCs w:val="18"/>
                <w:color w:val="auto"/>
              </w:rPr>
            </w:pPr>
          </w:p>
        </w:tc>
        <w:tc>
          <w:tcPr>
            <w:tcW w:w="42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Los Angeles</w:t>
            </w:r>
          </w:p>
        </w:tc>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Tokyo</w:t>
            </w:r>
          </w:p>
        </w:tc>
      </w:tr>
      <w:tr>
        <w:trPr>
          <w:trHeight w:val="216"/>
        </w:trPr>
        <w:tc>
          <w:tcPr>
            <w:tcW w:w="3720" w:type="dxa"/>
            <w:vAlign w:val="bottom"/>
          </w:tcPr>
          <w:p>
            <w:pPr>
              <w:spacing w:after="0"/>
              <w:rPr>
                <w:sz w:val="18"/>
                <w:szCs w:val="18"/>
                <w:color w:val="auto"/>
              </w:rPr>
            </w:pPr>
          </w:p>
        </w:tc>
        <w:tc>
          <w:tcPr>
            <w:tcW w:w="42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Madrid</w:t>
            </w:r>
          </w:p>
        </w:tc>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Washington, D.C.</w:t>
            </w:r>
          </w:p>
        </w:tc>
      </w:tr>
      <w:tr>
        <w:trPr>
          <w:trHeight w:val="234"/>
        </w:trPr>
        <w:tc>
          <w:tcPr>
            <w:tcW w:w="3720" w:type="dxa"/>
            <w:vAlign w:val="bottom"/>
          </w:tcPr>
          <w:p>
            <w:pPr>
              <w:spacing w:after="0"/>
              <w:rPr>
                <w:sz w:val="20"/>
                <w:szCs w:val="20"/>
                <w:color w:val="auto"/>
              </w:rPr>
            </w:pPr>
          </w:p>
        </w:tc>
        <w:tc>
          <w:tcPr>
            <w:tcW w:w="42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Milan</w:t>
            </w:r>
          </w:p>
        </w:tc>
        <w:tc>
          <w:tcPr>
            <w:tcW w:w="16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-2606675</wp:posOffset>
            </wp:positionV>
            <wp:extent cx="2032635"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32635" cy="137160"/>
                    </a:xfrm>
                    <a:prstGeom prst="rect">
                      <a:avLst/>
                    </a:prstGeom>
                    <a:noFill/>
                  </pic:spPr>
                </pic:pic>
              </a:graphicData>
            </a:graphic>
          </wp:anchor>
        </w:drawing>
      </w:r>
    </w:p>
    <w:p>
      <w:pPr>
        <w:spacing w:after="0" w:line="17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 AND HAND DELIVERY</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Suzanne Hayes</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Mail Stop 4565</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94"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Re:</w:t>
            </w:r>
          </w:p>
        </w:tc>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Verona Pharma plc</w:t>
            </w:r>
          </w:p>
        </w:tc>
      </w:tr>
      <w:tr>
        <w:trPr>
          <w:trHeight w:val="20"/>
        </w:trPr>
        <w:tc>
          <w:tcPr>
            <w:tcW w:w="6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3540" w:type="dxa"/>
            <w:vAlign w:val="bottom"/>
            <w:tcBorders>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9"/>
              </w:rPr>
              <w:t>Registration Statement on Form F-1, as amended</w:t>
            </w:r>
          </w:p>
        </w:tc>
      </w:tr>
      <w:tr>
        <w:trPr>
          <w:trHeight w:val="196"/>
        </w:trPr>
        <w:tc>
          <w:tcPr>
            <w:tcW w:w="640" w:type="dxa"/>
            <w:vAlign w:val="bottom"/>
          </w:tcPr>
          <w:p>
            <w:pPr>
              <w:spacing w:after="0"/>
              <w:rPr>
                <w:sz w:val="17"/>
                <w:szCs w:val="17"/>
                <w:color w:val="auto"/>
              </w:rPr>
            </w:pPr>
          </w:p>
        </w:tc>
        <w:tc>
          <w:tcPr>
            <w:tcW w:w="35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File No. 333-217124</w:t>
            </w:r>
          </w:p>
        </w:tc>
      </w:tr>
      <w:tr>
        <w:trPr>
          <w:trHeight w:val="20"/>
        </w:trPr>
        <w:tc>
          <w:tcPr>
            <w:tcW w:w="6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bl>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Hayes:</w:t>
      </w:r>
    </w:p>
    <w:p>
      <w:pPr>
        <w:spacing w:after="0" w:line="221" w:lineRule="exact"/>
        <w:rPr>
          <w:sz w:val="24"/>
          <w:szCs w:val="24"/>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color w:val="auto"/>
        </w:rPr>
        <w:t>This letter sets forth the response of Verona Pharma plc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to the oral comments received from the staff (the “</w:t>
      </w:r>
      <w:r>
        <w:rPr>
          <w:rFonts w:ascii="Times New Roman" w:cs="Times New Roman" w:eastAsia="Times New Roman" w:hAnsi="Times New Roman"/>
          <w:sz w:val="18"/>
          <w:szCs w:val="18"/>
          <w:b w:val="1"/>
          <w:bCs w:val="1"/>
          <w:i w:val="1"/>
          <w:iCs w:val="1"/>
          <w:color w:val="auto"/>
        </w:rPr>
        <w:t>Staff</w:t>
      </w:r>
      <w:r>
        <w:rPr>
          <w:rFonts w:ascii="Times New Roman" w:cs="Times New Roman" w:eastAsia="Times New Roman" w:hAnsi="Times New Roman"/>
          <w:sz w:val="18"/>
          <w:szCs w:val="18"/>
          <w:color w:val="auto"/>
        </w:rPr>
        <w:t>”) of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by teleconference on April 25, 2017 with respect to the Company’s Registration Statement on Form F-1 (as amended,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Each response is prefaced by the text substantially similar to the Staff’s oral comment in bold text. This letter is being filed with Amendment No. 2 to the Registration Statement (“</w:t>
      </w:r>
      <w:r>
        <w:rPr>
          <w:rFonts w:ascii="Times New Roman" w:cs="Times New Roman" w:eastAsia="Times New Roman" w:hAnsi="Times New Roman"/>
          <w:sz w:val="18"/>
          <w:szCs w:val="18"/>
          <w:b w:val="1"/>
          <w:bCs w:val="1"/>
          <w:i w:val="1"/>
          <w:iCs w:val="1"/>
          <w:color w:val="auto"/>
        </w:rPr>
        <w:t>Amendment No. 2</w:t>
      </w:r>
      <w:r>
        <w:rPr>
          <w:rFonts w:ascii="Times New Roman" w:cs="Times New Roman" w:eastAsia="Times New Roman" w:hAnsi="Times New Roman"/>
          <w:sz w:val="18"/>
          <w:szCs w:val="18"/>
          <w:color w:val="auto"/>
        </w:rPr>
        <w:t>”) to respond to the comments from the Staff. For the Staff’s convenience, we are also sending copies of this letter and Amendment No. 2 by courier.</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Oral Comment No. 1</w:t>
      </w:r>
    </w:p>
    <w:p>
      <w:pPr>
        <w:spacing w:after="0" w:line="225" w:lineRule="exact"/>
        <w:rPr>
          <w:sz w:val="24"/>
          <w:szCs w:val="24"/>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We note your revised Exhibit 5.1 legal opinion in response to our prior comment. Please clarify whether English company law requires that the number of shares offered and the price per share be known in order for the directors to allot the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660" w:right="100"/>
        <w:spacing w:after="0" w:line="282"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In response to the Staff’s oral comment, the Company confirms that, under English company law, the number of shares and the price per share must be known before the directors or an authorized committee of the directors may allot the shares in the global offering.</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Oral Comment #2</w:t>
      </w:r>
    </w:p>
    <w:p>
      <w:pPr>
        <w:spacing w:after="0" w:line="225" w:lineRule="exact"/>
        <w:rPr>
          <w:sz w:val="24"/>
          <w:szCs w:val="24"/>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We note the following assumption included in paragraph 2(c) of your revised Exhibit 5.1 legal opinion: “and such Allotment Resolutions being in full force and effect and not having been rescinded or amended”. Please revise your opinion to remove this assumption in paragraph 2(c) and refile the legal opinion or provide us with an explanation as to why this assumption is necessary and appropriate.</w:t>
      </w:r>
    </w:p>
    <w:p>
      <w:pPr>
        <w:spacing w:after="0" w:line="175" w:lineRule="exact"/>
        <w:rPr>
          <w:sz w:val="24"/>
          <w:szCs w:val="24"/>
          <w:color w:val="auto"/>
        </w:rPr>
      </w:pPr>
    </w:p>
    <w:p>
      <w:pPr>
        <w:ind w:left="660" w:right="180"/>
        <w:spacing w:after="0" w:line="282"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In response to the Staff’s oral comment, the Company has removed the assumption and has refiled the legal opinion as Exhibit 5.1 with Amendment No. 2.</w:t>
      </w:r>
    </w:p>
    <w:p>
      <w:pPr>
        <w:spacing w:after="0" w:line="162"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you have any questions regarding the foregoing response or the enclosed Registration Statement, please do not hesitate to contact me by telephone at (212) 906-2916.</w:t>
      </w:r>
    </w:p>
    <w:p>
      <w:pPr>
        <w:spacing w:after="0" w:line="162" w:lineRule="exact"/>
        <w:rPr>
          <w:sz w:val="24"/>
          <w:szCs w:val="24"/>
          <w:color w:val="auto"/>
        </w:rPr>
      </w:pPr>
    </w:p>
    <w:p>
      <w:pPr>
        <w:ind w:left="57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4"/>
          <w:szCs w:val="24"/>
          <w:color w:val="auto"/>
        </w:rPr>
      </w:pPr>
    </w:p>
    <w:p>
      <w:pPr>
        <w:ind w:left="5720"/>
        <w:spacing w:after="0"/>
        <w:rPr>
          <w:sz w:val="20"/>
          <w:szCs w:val="20"/>
          <w:color w:val="auto"/>
        </w:rPr>
      </w:pPr>
      <w:r>
        <w:rPr>
          <w:rFonts w:ascii="Times New Roman" w:cs="Times New Roman" w:eastAsia="Times New Roman" w:hAnsi="Times New Roman"/>
          <w:sz w:val="18"/>
          <w:szCs w:val="18"/>
          <w:color w:val="auto"/>
        </w:rPr>
        <w:t>/s/ Nathan Ajiashvili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3632835</wp:posOffset>
            </wp:positionH>
            <wp:positionV relativeFrom="paragraph">
              <wp:posOffset>17145</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4"/>
          <w:szCs w:val="24"/>
          <w:color w:val="auto"/>
        </w:rPr>
      </w:pPr>
    </w:p>
    <w:p>
      <w:pPr>
        <w:ind w:left="5720"/>
        <w:spacing w:after="0"/>
        <w:rPr>
          <w:sz w:val="20"/>
          <w:szCs w:val="20"/>
          <w:color w:val="auto"/>
        </w:rPr>
      </w:pPr>
      <w:r>
        <w:rPr>
          <w:rFonts w:ascii="Times New Roman" w:cs="Times New Roman" w:eastAsia="Times New Roman" w:hAnsi="Times New Roman"/>
          <w:sz w:val="18"/>
          <w:szCs w:val="18"/>
          <w:color w:val="auto"/>
        </w:rPr>
        <w:t>Nathan Ajiashvili</w:t>
      </w:r>
    </w:p>
    <w:p>
      <w:pPr>
        <w:sectPr>
          <w:pgSz w:w="11900" w:h="16838" w:orient="portrait"/>
          <w:cols w:equalWidth="0" w:num="1">
            <w:col w:w="11360"/>
          </w:cols>
          <w:pgMar w:left="240" w:top="445" w:right="299" w:bottom="0" w:gutter="0" w:footer="0" w:header="0"/>
        </w:sectPr>
      </w:pPr>
    </w:p>
    <w:bookmarkStart w:id="1" w:name="page2"/>
    <w:bookmarkEnd w:id="1"/>
    <w:p>
      <w:pPr>
        <w:jc w:val="right"/>
        <w:ind w:right="2159"/>
        <w:spacing w:after="0"/>
        <w:rPr>
          <w:sz w:val="20"/>
          <w:szCs w:val="20"/>
          <w:color w:val="auto"/>
        </w:rPr>
      </w:pPr>
      <w:r>
        <w:rPr>
          <w:rFonts w:ascii="Times New Roman" w:cs="Times New Roman" w:eastAsia="Times New Roman" w:hAnsi="Times New Roman"/>
          <w:sz w:val="18"/>
          <w:szCs w:val="18"/>
          <w:color w:val="auto"/>
        </w:rPr>
        <w:t>of LATHAM &amp; WATKINS LLP</w:t>
      </w:r>
    </w:p>
    <w:p>
      <w:pPr>
        <w:spacing w:after="0" w:line="225" w:lineRule="exact"/>
        <w:rPr>
          <w:sz w:val="20"/>
          <w:szCs w:val="20"/>
          <w:color w:val="auto"/>
        </w:rPr>
      </w:pPr>
    </w:p>
    <w:p>
      <w:pPr>
        <w:ind w:left="440" w:right="6319" w:hanging="432"/>
        <w:spacing w:after="0" w:line="313" w:lineRule="auto"/>
        <w:tabs>
          <w:tab w:leader="none" w:pos="434"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Jan-Anders Karlsson, Ph.D., Verona Pharma plc Peter N. Handrinos, Latham &amp; Watkins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166370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19"/>
      </w:cols>
      <w:pgMar w:left="2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2019-12-08T04:29:32Z</dcterms:created>
  <dcterms:modified xsi:type="dcterms:W3CDTF">2019-12-08T04:29:32Z</dcterms:modified>
</cp:coreProperties>
</file>