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3, 2023</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Verona Pharma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5917" w:type="dxa"/>
        <w:jc w:val="left"/>
        <w:tblInd w:w="0" w:type="dxa"/>
        <w:tblLayout w:type="fixed"/>
        <w:tblCellMar>
          <w:top w:w="28" w:type="dxa"/>
          <w:left w:w="28" w:type="dxa"/>
          <w:bottom w:w="28" w:type="dxa"/>
          <w:right w:w="28" w:type="dxa"/>
        </w:tblCellMar>
      </w:tblPr>
      <w:tblGrid>
        <w:gridCol w:w="854"/>
        <w:gridCol w:w="748"/>
        <w:gridCol w:w="753"/>
        <w:gridCol w:w="109"/>
        <w:gridCol w:w="109"/>
        <w:gridCol w:w="109"/>
        <w:gridCol w:w="408"/>
        <w:gridCol w:w="408"/>
        <w:gridCol w:w="413"/>
        <w:gridCol w:w="109"/>
        <w:gridCol w:w="109"/>
        <w:gridCol w:w="109"/>
        <w:gridCol w:w="490"/>
        <w:gridCol w:w="490"/>
        <w:gridCol w:w="699"/>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001-39067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98-1489389</w:t>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 More London Riverside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London SE1 2RE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+44 203 283 4200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 </w:t>
      </w:r>
    </w:p>
    <w:tbl>
      <w:tblPr>
        <w:tblW w:w="7724" w:type="dxa"/>
        <w:jc w:val="left"/>
        <w:tblInd w:w="0" w:type="dxa"/>
        <w:tblLayout w:type="fixed"/>
        <w:tblCellMar>
          <w:top w:w="28" w:type="dxa"/>
          <w:left w:w="28" w:type="dxa"/>
          <w:bottom w:w="28" w:type="dxa"/>
          <w:right w:w="28" w:type="dxa"/>
        </w:tblCellMar>
      </w:tblPr>
      <w:tblGrid>
        <w:gridCol w:w="1157"/>
        <w:gridCol w:w="1013"/>
        <w:gridCol w:w="1025"/>
        <w:gridCol w:w="539"/>
        <w:gridCol w:w="539"/>
        <w:gridCol w:w="541"/>
        <w:gridCol w:w="852"/>
        <w:gridCol w:w="852"/>
        <w:gridCol w:w="1206"/>
      </w:tblGrid>
      <w:tr>
        <w:trPr/>
        <w:tc>
          <w:tcPr>
            <w:tcW w:w="11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9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of each exchange on which </w:t>
              <w:br/>
              <w:t>registered</w:t>
            </w:r>
          </w:p>
        </w:tc>
      </w:tr>
      <w:tr>
        <w:trPr/>
        <w:tc>
          <w:tcPr>
            <w:tcW w:w="3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Ordinary shares, nominal value £0.05 </w:t>
              <w:br/>
              <w:t>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VRNA</w:t>
            </w:r>
          </w:p>
        </w:tc>
        <w:tc>
          <w:tcPr>
            <w:tcW w:w="29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2023, Verona Pharma plc announced its financial results for the quarter ended June 30, 2023. The full text of the press release issued in connection with the announcement is furnished as Exhibit 99.1 to this Current Report on Form 8-K.</w:t>
      </w:r>
    </w:p>
    <w:p>
      <w:pPr>
        <w:pStyle w:val="TextBody"/>
        <w:bidi w:val="0"/>
        <w:spacing w:lineRule="auto" w:line="288" w:before="1"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 Exhibits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exhibit relating to Item 2.02 shall be deemed to be furnished, and not filed:</w:t>
      </w:r>
    </w:p>
    <w:p>
      <w:pPr>
        <w:pStyle w:val="TextBody"/>
        <w:bidi w:val="0"/>
        <w:spacing w:lineRule="auto" w:line="288" w:before="0" w:after="0"/>
        <w:jc w:val="left"/>
        <w:rPr>
          <w:color w:val="000000"/>
          <w:shd w:fill="FFFFFF" w:val="clear"/>
        </w:rPr>
      </w:pPr>
      <w:r>
        <w:rPr>
          <w:color w:val="000000"/>
          <w:shd w:fill="FFFFFF" w:val="clear"/>
        </w:rPr>
        <w:t> </w:t>
      </w:r>
    </w:p>
    <w:tbl>
      <w:tblPr>
        <w:tblW w:w="1013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47"/>
        <w:gridCol w:w="2647"/>
        <w:gridCol w:w="376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86"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vrnaq22023pressrelease.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vrnaq22023pressrelease.htm">
              <w:r>
                <w:rPr>
                  <w:rStyle w:val="InternetLink"/>
                  <w:rFonts w:ascii="Times New Roman;sans-serif" w:hAnsi="Times New Roman;sans-serif"/>
                  <w:b w:val="false"/>
                  <w:color w:val="000080"/>
                  <w:sz w:val="20"/>
                  <w:u w:val="single"/>
                </w:rPr>
                <w:t xml:space="preserve">Press Release issued on </w:t>
              </w:r>
            </w:hyperlink>
            <w:hyperlink w:anchor="vrnaq22023pressrelease.htm">
              <w:r>
                <w:rPr>
                  <w:rStyle w:val="InternetLink"/>
                  <w:rFonts w:ascii="Times New Roman;sans-serif" w:hAnsi="Times New Roman;sans-serif"/>
                  <w:b w:val="false"/>
                  <w:color w:val="000080"/>
                  <w:sz w:val="20"/>
                  <w:u w:val="single"/>
                </w:rPr>
                <w:t>August 3</w:t>
              </w:r>
            </w:hyperlink>
            <w:hyperlink w:anchor="vrnaq22023pressrelease.htm">
              <w:r>
                <w:rPr>
                  <w:rStyle w:val="InternetLink"/>
                  <w:rFonts w:ascii="Times New Roman;sans-serif" w:hAnsi="Times New Roman;sans-serif"/>
                  <w:b w:val="false"/>
                  <w:color w:val="000080"/>
                  <w:sz w:val="20"/>
                  <w:u w:val="single"/>
                </w:rPr>
                <w:t>, 2023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88" w:type="dxa"/>
        <w:jc w:val="left"/>
        <w:tblInd w:w="0" w:type="dxa"/>
        <w:tblLayout w:type="fixed"/>
        <w:tblCellMar>
          <w:top w:w="28" w:type="dxa"/>
          <w:left w:w="28" w:type="dxa"/>
          <w:bottom w:w="28" w:type="dxa"/>
          <w:right w:w="28" w:type="dxa"/>
        </w:tblCellMar>
      </w:tblPr>
      <w:tblGrid>
        <w:gridCol w:w="667"/>
        <w:gridCol w:w="587"/>
        <w:gridCol w:w="590"/>
        <w:gridCol w:w="358"/>
        <w:gridCol w:w="358"/>
        <w:gridCol w:w="358"/>
        <w:gridCol w:w="948"/>
        <w:gridCol w:w="948"/>
        <w:gridCol w:w="137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VERONA PHARMA PLC</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 David Zaccardelli, Pharm. D.</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David Zaccardelli, Pharm. D.</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933575" cy="933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933575" cy="93345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20"/>
        <w:jc w:val="center"/>
        <w:rPr/>
      </w:pPr>
      <w:r>
        <w:rPr/>
      </w:r>
    </w:p>
    <w:p>
      <w:pPr>
        <w:pStyle w:val="TextBody"/>
        <w:bidi w:val="0"/>
        <w:spacing w:lineRule="auto" w:line="240" w:before="0" w:after="220"/>
        <w:jc w:val="center"/>
        <w:rPr>
          <w:rFonts w:ascii="Arial;sans-serif" w:hAnsi="Arial;sans-serif"/>
          <w:b/>
          <w:color w:val="000000"/>
          <w:sz w:val="28"/>
        </w:rPr>
      </w:pPr>
      <w:r>
        <w:rPr>
          <w:rFonts w:ascii="Arial;sans-serif" w:hAnsi="Arial;sans-serif"/>
          <w:b/>
          <w:color w:val="000000"/>
          <w:sz w:val="28"/>
        </w:rPr>
        <w:t xml:space="preserve">Verona Pharma Reports Second Quarter 2023 Financial Results and Provides Corporate Update </w:t>
      </w:r>
    </w:p>
    <w:p>
      <w:pPr>
        <w:pStyle w:val="TextBody"/>
        <w:bidi w:val="0"/>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NDA submitted to US FDA for ensifentrine for maintenance treatment of COPD</w:t>
      </w:r>
    </w:p>
    <w:p>
      <w:pPr>
        <w:pStyle w:val="TextBody"/>
        <w:bidi w:val="0"/>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Phase 3 ENHANCE data published in the American Journal of Respiratory and Critical Care Medicine</w:t>
      </w:r>
    </w:p>
    <w:p>
      <w:pPr>
        <w:pStyle w:val="TextBody"/>
        <w:bidi w:val="0"/>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Strong balance sheet to support commercial launch preparations</w:t>
      </w:r>
    </w:p>
    <w:p>
      <w:pPr>
        <w:pStyle w:val="TextBody"/>
        <w:bidi w:val="0"/>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Conference call today at 9:00 a.m. EDT / 2:00 p.m. BST</w:t>
      </w:r>
    </w:p>
    <w:p>
      <w:pPr>
        <w:pStyle w:val="TextBody"/>
        <w:bidi w:val="0"/>
        <w:spacing w:before="0" w:after="120"/>
        <w:jc w:val="center"/>
        <w:rPr/>
      </w:pPr>
      <w:r>
        <w:rPr/>
      </w:r>
    </w:p>
    <w:p>
      <w:pPr>
        <w:pStyle w:val="TextBody"/>
        <w:bidi w:val="0"/>
        <w:spacing w:lineRule="auto" w:line="240" w:before="0" w:after="120"/>
        <w:jc w:val="both"/>
        <w:rPr/>
      </w:pPr>
      <w:r>
        <w:rPr>
          <w:rFonts w:ascii="Arial;sans-serif" w:hAnsi="Arial;sans-serif"/>
          <w:b/>
          <w:color w:val="000000"/>
          <w:sz w:val="22"/>
        </w:rPr>
        <w:t>LONDON and RALEIGH, N.C., August 3, 2023</w:t>
      </w:r>
      <w:r>
        <w:rPr>
          <w:color w:val="000000"/>
        </w:rPr>
        <w:t xml:space="preserve"> – </w:t>
      </w:r>
      <w:r>
        <w:rPr>
          <w:rFonts w:ascii="Arial;sans-serif" w:hAnsi="Arial;sans-serif"/>
          <w:b w:val="false"/>
          <w:color w:val="000000"/>
          <w:sz w:val="22"/>
        </w:rPr>
        <w:t>Verona Pharma plc (Nasdaq: VRNA) (“Verona Pharma” or the “Company”), a clinical-stage biopharmaceutical company focused on respiratory diseases, announces its financial results for the second quarter ended June 30, 2023, and provides a corporate update.</w:t>
      </w:r>
    </w:p>
    <w:p>
      <w:pPr>
        <w:pStyle w:val="TextBody"/>
        <w:bidi w:val="0"/>
        <w:spacing w:lineRule="auto" w:line="240" w:before="0" w:after="120"/>
        <w:jc w:val="both"/>
        <w:rPr>
          <w:color w:val="000000"/>
        </w:rPr>
      </w:pPr>
      <w:r>
        <w:rPr>
          <w:color w:val="000000"/>
        </w:rPr>
        <w:t>“</w:t>
      </w:r>
      <w:r>
        <w:rPr>
          <w:rFonts w:ascii="Arial;sans-serif" w:hAnsi="Arial;sans-serif"/>
          <w:b w:val="false"/>
          <w:color w:val="000000"/>
          <w:sz w:val="22"/>
        </w:rPr>
        <w:t>In June, we submitted a New Drug Application (“NDA”) to the US Food and Drug Administration (“FDA”) for approval of ensifentrine for the maintenance treatment of patients with chronic obstructive pulmonary disease ("COPD"),” said David Zaccardelli, Pharm. D., President and Chief Executive Officer. “This brings us an important step closer towards providing this novel compound to the millions of symptomatic COPD patients in need of a new effective treatment approach. The FDA is expected to make a decision on acceptance of the NDA in the third quarter."</w:t>
      </w:r>
    </w:p>
    <w:p>
      <w:pPr>
        <w:pStyle w:val="TextBody"/>
        <w:bidi w:val="0"/>
        <w:spacing w:lineRule="auto" w:line="240" w:before="0" w:after="160"/>
        <w:jc w:val="both"/>
        <w:rPr/>
      </w:pPr>
      <w:r>
        <w:rPr>
          <w:color w:val="000000"/>
        </w:rPr>
        <w:t>“</w:t>
      </w:r>
      <w:r>
        <w:rPr>
          <w:rFonts w:ascii="Arial;sans-serif" w:hAnsi="Arial;sans-serif"/>
          <w:b w:val="false"/>
          <w:color w:val="000000"/>
          <w:sz w:val="22"/>
        </w:rPr>
        <w:t xml:space="preserve">Also in June, the </w:t>
      </w:r>
      <w:r>
        <w:rPr>
          <w:rFonts w:ascii="Arial;sans-serif" w:hAnsi="Arial;sans-serif"/>
          <w:b w:val="false"/>
          <w:i/>
          <w:color w:val="000000"/>
          <w:sz w:val="22"/>
        </w:rPr>
        <w:t xml:space="preserve">American Journal of Respiratory and Critical Care Medicine ("AJRCCM"), </w:t>
      </w:r>
      <w:r>
        <w:rPr>
          <w:rFonts w:ascii="Arial;sans-serif" w:hAnsi="Arial;sans-serif"/>
          <w:b w:val="false"/>
          <w:color w:val="000000"/>
          <w:sz w:val="22"/>
        </w:rPr>
        <w:t>published results from the successful Phase 3 ENHANCE trials. The data demonstrated ensifentrine improved lung function, symptoms and quality of life and substantially reduced the rate and risk of COPD exacerbations with a favorable safety profile. We are looking forward to presenting additional analyses from the ENHANCE program at the European Respiratory Society International Congress and at CHEST Annual Meeting later this year."</w:t>
      </w:r>
    </w:p>
    <w:p>
      <w:pPr>
        <w:pStyle w:val="TextBody"/>
        <w:bidi w:val="0"/>
        <w:spacing w:lineRule="auto" w:line="240" w:before="0" w:after="120"/>
        <w:jc w:val="both"/>
        <w:rPr>
          <w:rFonts w:ascii="Arial;sans-serif" w:hAnsi="Arial;sans-serif"/>
          <w:b/>
          <w:color w:val="000000"/>
          <w:sz w:val="22"/>
        </w:rPr>
      </w:pPr>
      <w:r>
        <w:rPr>
          <w:rFonts w:ascii="Arial;sans-serif" w:hAnsi="Arial;sans-serif"/>
          <w:b/>
          <w:color w:val="000000"/>
          <w:sz w:val="22"/>
        </w:rPr>
        <w:t>Program Updates and Key Milestones</w:t>
      </w:r>
    </w:p>
    <w:p>
      <w:pPr>
        <w:pStyle w:val="TextBody"/>
        <w:bidi w:val="0"/>
        <w:spacing w:lineRule="auto" w:line="240" w:before="0" w:after="120"/>
        <w:jc w:val="left"/>
        <w:rPr>
          <w:rFonts w:ascii="Arial;sans-serif" w:hAnsi="Arial;sans-serif"/>
          <w:b w:val="false"/>
          <w:color w:val="000000"/>
          <w:sz w:val="22"/>
        </w:rPr>
      </w:pPr>
      <w:r>
        <w:rPr>
          <w:rFonts w:ascii="Arial;sans-serif" w:hAnsi="Arial;sans-serif"/>
          <w:b w:val="false"/>
          <w:color w:val="000000"/>
          <w:sz w:val="22"/>
        </w:rPr>
        <w:t>The Company’s near-term planned milestones include:</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2"/>
        </w:rPr>
        <w:t>In the third quarter of 2023, the US FDA is expected to make a decision on acceptance of the Company's NDA for inhaled ensifentrine for the maintenance treatment of patients with COPD.</w:t>
      </w:r>
    </w:p>
    <w:p>
      <w:pPr>
        <w:pStyle w:val="TextBody"/>
        <w:bidi w:val="0"/>
        <w:spacing w:lineRule="auto" w:line="268" w:before="0" w:after="120"/>
        <w:ind w:left="0" w:right="0" w:hanging="360"/>
        <w:jc w:val="both"/>
        <w:rPr/>
      </w:pPr>
      <w:r>
        <w:rPr>
          <w:color w:val="000000"/>
        </w:rPr>
        <w:t>•</w:t>
      </w:r>
      <w:r>
        <w:rPr>
          <w:rFonts w:ascii="Arial;sans-serif" w:hAnsi="Arial;sans-serif"/>
          <w:b w:val="false"/>
          <w:color w:val="000000"/>
          <w:sz w:val="22"/>
        </w:rPr>
        <w:t xml:space="preserve">Also in the third quarter of 2023, the Company plans to continue to advance </w:t>
      </w:r>
      <w:r>
        <w:rPr>
          <w:rFonts w:ascii="Arial;sans-serif" w:hAnsi="Arial;sans-serif"/>
          <w:b w:val="false"/>
          <w:color w:val="000000"/>
          <w:sz w:val="24"/>
        </w:rPr>
        <w:t>its</w:t>
      </w:r>
      <w:r>
        <w:rPr>
          <w:color w:val="000000"/>
        </w:rPr>
        <w:t xml:space="preserve"> </w:t>
      </w:r>
      <w:r>
        <w:rPr>
          <w:rFonts w:ascii="Arial;sans-serif" w:hAnsi="Arial;sans-serif"/>
          <w:b w:val="false"/>
          <w:color w:val="000000"/>
          <w:sz w:val="22"/>
        </w:rPr>
        <w:t>commercialization efforts across medical affairs, marketing, commercial operations, IT and CMC as well as other departments to support the planned launch of ensifentrine in 2024, subject to the approval of the NDA.</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2"/>
        </w:rPr>
        <w:t>In the second half of 2023, the Company plans to present further analyses from the Phase 3 ENHANCE trials at the European Respiratory Society International Congress 2023 and at CHEST Annual Meeting 2023.</w:t>
      </w:r>
    </w:p>
    <w:p>
      <w:pPr>
        <w:pStyle w:val="TextBody"/>
        <w:bidi w:val="0"/>
        <w:spacing w:lineRule="auto" w:line="240" w:before="0" w:after="160"/>
        <w:ind w:left="0" w:right="0" w:hanging="360"/>
        <w:jc w:val="both"/>
        <w:rPr/>
      </w:pPr>
      <w:r>
        <w:rPr>
          <w:color w:val="000000"/>
        </w:rPr>
        <w:t>•</w:t>
      </w:r>
      <w:r>
        <w:rPr>
          <w:rFonts w:ascii="Arial;sans-serif" w:hAnsi="Arial;sans-serif"/>
          <w:b w:val="false"/>
          <w:color w:val="000000"/>
          <w:sz w:val="22"/>
        </w:rPr>
        <w:t>Also in the second half of 2023, the Company plans to host an analyst meeting providing an overview of its commercial launch plans.</w:t>
      </w:r>
    </w:p>
    <w:p>
      <w:pPr>
        <w:pStyle w:val="TextBody"/>
        <w:bidi w:val="0"/>
        <w:spacing w:lineRule="auto" w:line="240" w:before="0" w:after="120"/>
        <w:jc w:val="both"/>
        <w:rPr>
          <w:rFonts w:ascii="Arial;sans-serif" w:hAnsi="Arial;sans-serif"/>
          <w:b/>
          <w:color w:val="000000"/>
          <w:sz w:val="22"/>
        </w:rPr>
      </w:pPr>
      <w:r>
        <w:rPr>
          <w:rFonts w:ascii="Arial;sans-serif" w:hAnsi="Arial;sans-serif"/>
          <w:b/>
          <w:color w:val="000000"/>
          <w:sz w:val="22"/>
        </w:rPr>
        <w:t>Second Quarter and Recent Highlights</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2"/>
        </w:rPr>
        <w:t>In June 2023, the Company submitted a NDA to the US FDA for ensifentrine for the maintenance treatment of patients with COPD.</w:t>
      </w:r>
    </w:p>
    <w:p>
      <w:pPr>
        <w:pStyle w:val="TextBody"/>
        <w:bidi w:val="0"/>
        <w:spacing w:lineRule="auto" w:line="240" w:before="0" w:after="120"/>
        <w:ind w:left="0" w:right="0" w:hanging="360"/>
        <w:jc w:val="both"/>
        <w:rPr/>
      </w:pPr>
      <w:r>
        <w:rPr>
          <w:color w:val="000000"/>
        </w:rPr>
        <w:t>•</w:t>
      </w:r>
      <w:r>
        <w:rPr>
          <w:rFonts w:ascii="Arial;sans-serif" w:hAnsi="Arial;sans-serif"/>
          <w:b w:val="false"/>
          <w:color w:val="000000"/>
          <w:sz w:val="22"/>
        </w:rPr>
        <w:t xml:space="preserve">Also in June 2023, the </w:t>
      </w:r>
      <w:r>
        <w:rPr>
          <w:rFonts w:ascii="Arial;sans-serif" w:hAnsi="Arial;sans-serif"/>
          <w:b w:val="false"/>
          <w:i/>
          <w:color w:val="000000"/>
          <w:sz w:val="22"/>
        </w:rPr>
        <w:t>American Journal of Respiratory and Critical Care Medicine (“AJRCCM”)</w:t>
      </w:r>
      <w:r>
        <w:rPr>
          <w:color w:val="000000"/>
        </w:rPr>
        <w:t xml:space="preserve"> </w:t>
      </w:r>
      <w:r>
        <w:rPr>
          <w:rFonts w:ascii="Arial;sans-serif" w:hAnsi="Arial;sans-serif"/>
          <w:b w:val="false"/>
          <w:color w:val="000000"/>
          <w:sz w:val="22"/>
        </w:rPr>
        <w:t>published results from the successful Phase 3 ENHANCE trials evaluating ensifentrine in COPD.</w:t>
      </w:r>
    </w:p>
    <w:p>
      <w:pPr>
        <w:pStyle w:val="TextBody"/>
        <w:bidi w:val="0"/>
        <w:spacing w:lineRule="auto" w:line="240" w:before="0" w:after="160"/>
        <w:ind w:left="0" w:right="0" w:hanging="360"/>
        <w:jc w:val="both"/>
        <w:rPr/>
      </w:pPr>
      <w:r>
        <w:rPr>
          <w:color w:val="000000"/>
        </w:rPr>
        <w:t>•</w:t>
      </w:r>
      <w:r>
        <w:rPr>
          <w:rFonts w:ascii="Arial;sans-serif" w:hAnsi="Arial;sans-serif"/>
          <w:b w:val="false"/>
          <w:color w:val="000000"/>
          <w:sz w:val="22"/>
        </w:rPr>
        <w:t xml:space="preserve">In May 2023, the Company presented 12 abstracts and a symposium on expanded analyses of the ENHANCE studies with ensifentrine for the treatment of COPD at the American Thoracic Society International Conference ("ATS") 2023. The abstracts are published on the ATS website and in the </w:t>
      </w:r>
      <w:r>
        <w:rPr>
          <w:rFonts w:ascii="Arial;sans-serif" w:hAnsi="Arial;sans-serif"/>
          <w:b w:val="false"/>
          <w:i/>
          <w:color w:val="000000"/>
          <w:sz w:val="22"/>
        </w:rPr>
        <w:t>AJRCCM</w:t>
      </w:r>
      <w:r>
        <w:rPr>
          <w:rFonts w:ascii="Arial;sans-serif" w:hAnsi="Arial;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Arial;sans-serif" w:hAnsi="Arial;sans-serif"/>
          <w:b/>
          <w:color w:val="000000"/>
          <w:sz w:val="22"/>
        </w:rPr>
      </w:pPr>
      <w:r>
        <w:rPr>
          <w:rFonts w:ascii="Arial;sans-serif" w:hAnsi="Arial;sans-serif"/>
          <w:b/>
          <w:color w:val="000000"/>
          <w:sz w:val="22"/>
        </w:rPr>
        <w:t>Second Quarter 2023 Financial Results</w:t>
      </w:r>
    </w:p>
    <w:p>
      <w:pPr>
        <w:pStyle w:val="TextBody"/>
        <w:bidi w:val="0"/>
        <w:spacing w:lineRule="auto" w:line="240" w:before="0" w:after="120"/>
        <w:ind w:left="0" w:right="0" w:hanging="360"/>
        <w:jc w:val="both"/>
        <w:rPr/>
      </w:pPr>
      <w:r>
        <w:rPr>
          <w:color w:val="000000"/>
        </w:rPr>
        <w:t>•</w:t>
      </w:r>
      <w:r>
        <w:rPr>
          <w:rFonts w:ascii="Arial;sans-serif" w:hAnsi="Arial;sans-serif"/>
          <w:b/>
          <w:color w:val="000000"/>
          <w:sz w:val="22"/>
        </w:rPr>
        <w:t>Cash position:</w:t>
      </w:r>
      <w:r>
        <w:rPr>
          <w:color w:val="000000"/>
        </w:rPr>
        <w:t xml:space="preserve"> </w:t>
      </w:r>
      <w:r>
        <w:rPr>
          <w:rFonts w:ascii="Arial;sans-serif" w:hAnsi="Arial;sans-serif"/>
          <w:b w:val="false"/>
          <w:color w:val="000000"/>
          <w:sz w:val="22"/>
        </w:rPr>
        <w:t>Cash and cash equivalents at June 30, 2023, were $270.7 million (December 31, 2022: $227.8 million). The Company believes cash and cash equivalents at June 30, 2023, expected cash receipts from the UK tax credit program and funding expected to become available under the $150.0 million debt facility, will enable Verona Pharma to fund planned operating expenses and capital expenditure requirements through at least the end of 2025, including the commercial launch of ensifentrine in the US, if approved.</w:t>
      </w:r>
    </w:p>
    <w:p>
      <w:pPr>
        <w:pStyle w:val="TextBody"/>
        <w:bidi w:val="0"/>
        <w:spacing w:lineRule="auto" w:line="240" w:before="0" w:after="120"/>
        <w:ind w:left="0" w:right="0" w:hanging="360"/>
        <w:jc w:val="both"/>
        <w:rPr/>
      </w:pPr>
      <w:r>
        <w:rPr>
          <w:color w:val="000000"/>
        </w:rPr>
        <w:t>•</w:t>
      </w:r>
      <w:r>
        <w:rPr>
          <w:rFonts w:ascii="Arial;sans-serif" w:hAnsi="Arial;sans-serif"/>
          <w:b/>
          <w:color w:val="000000"/>
          <w:sz w:val="22"/>
        </w:rPr>
        <w:t>R&amp;D Expenses:</w:t>
      </w:r>
      <w:r>
        <w:rPr>
          <w:color w:val="000000"/>
        </w:rPr>
        <w:t xml:space="preserve"> </w:t>
      </w:r>
      <w:r>
        <w:rPr>
          <w:rFonts w:ascii="Arial;sans-serif" w:hAnsi="Arial;sans-serif"/>
          <w:b w:val="false"/>
          <w:color w:val="000000"/>
          <w:sz w:val="22"/>
        </w:rPr>
        <w:t>Research and development (“R&amp;D”) expenses were a net reversal of $2.5 million for the second quarter ended June 30, 2023 (Q2 2022: costs of $15.0 million). R&amp;D expenses were significantly lower in 2023 versus in 2022 as study conduct in the Phase 3 ENHANCE program completed late in 2022 with data analysis and wind-down expenses in Q2 2023. In addition, the Company favorably resolved a matter with a supplier, as well as certain disputed invoices, in Q2 2023 resulting in the reversal of approximately $6.3 million of costs accrued in prior periods, which resulted in net negative R&amp;D expense for the three months ended June 30, 2023.</w:t>
      </w:r>
    </w:p>
    <w:p>
      <w:pPr>
        <w:pStyle w:val="TextBody"/>
        <w:bidi w:val="0"/>
        <w:spacing w:lineRule="auto" w:line="240" w:before="0" w:after="120"/>
        <w:ind w:left="0" w:right="0" w:hanging="360"/>
        <w:jc w:val="both"/>
        <w:rPr/>
      </w:pPr>
      <w:r>
        <w:rPr>
          <w:color w:val="000000"/>
        </w:rPr>
        <w:t>•</w:t>
      </w:r>
      <w:r>
        <w:rPr>
          <w:rFonts w:ascii="Arial;sans-serif" w:hAnsi="Arial;sans-serif"/>
          <w:b/>
          <w:color w:val="000000"/>
          <w:sz w:val="22"/>
        </w:rPr>
        <w:t>SG&amp;A Expenses:</w:t>
      </w:r>
      <w:r>
        <w:rPr>
          <w:color w:val="000000"/>
        </w:rPr>
        <w:t xml:space="preserve"> </w:t>
      </w:r>
      <w:r>
        <w:rPr>
          <w:rFonts w:ascii="Arial;sans-serif" w:hAnsi="Arial;sans-serif"/>
          <w:b w:val="false"/>
          <w:color w:val="000000"/>
          <w:sz w:val="22"/>
        </w:rPr>
        <w:t>Selling general and administrative expenses (“SG&amp;A”) were $12.4 million for the second quarter ended June 30, 2023 (Q2 2022: $5.5 million). This increase was primarily due to a $5.0 million increase in people related costs, inclusive of share-based compensation, as well as an increase of $1.7 million for costs related to the build out of commercial and information technology infrastructure in preparation for a potential commercial launch. The Company expects SG&amp;A expenses to continue to be the main driver of expense as Verona Pharma prepares for a potential commercial launch in 2024.</w:t>
      </w:r>
    </w:p>
    <w:p>
      <w:pPr>
        <w:pStyle w:val="TextBody"/>
        <w:bidi w:val="0"/>
        <w:spacing w:lineRule="auto" w:line="240" w:before="0" w:after="160"/>
        <w:ind w:left="0" w:right="0" w:hanging="360"/>
        <w:jc w:val="both"/>
        <w:rPr/>
      </w:pPr>
      <w:r>
        <w:rPr>
          <w:color w:val="000000"/>
        </w:rPr>
        <w:t>•</w:t>
      </w:r>
      <w:r>
        <w:rPr>
          <w:rFonts w:ascii="Arial;sans-serif" w:hAnsi="Arial;sans-serif"/>
          <w:b/>
          <w:color w:val="000000"/>
          <w:sz w:val="22"/>
        </w:rPr>
        <w:t>Net loss:</w:t>
      </w:r>
      <w:r>
        <w:rPr>
          <w:color w:val="000000"/>
        </w:rPr>
        <w:t xml:space="preserve"> </w:t>
      </w:r>
      <w:r>
        <w:rPr>
          <w:rFonts w:ascii="Arial;sans-serif" w:hAnsi="Arial;sans-serif"/>
          <w:b w:val="false"/>
          <w:color w:val="000000"/>
          <w:sz w:val="22"/>
        </w:rPr>
        <w:t>Net loss was $8.8 million for the second quarter ended June 30, 2023 (Q2 2022: net loss $17.8 million).</w:t>
      </w:r>
    </w:p>
    <w:p>
      <w:pPr>
        <w:pStyle w:val="TextBody"/>
        <w:bidi w:val="0"/>
        <w:spacing w:lineRule="auto" w:line="24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Conference Call and Webcast Information</w:t>
      </w:r>
    </w:p>
    <w:p>
      <w:pPr>
        <w:pStyle w:val="TextBody"/>
        <w:bidi w:val="0"/>
        <w:spacing w:lineRule="auto" w:line="240" w:before="0" w:after="1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Verona Pharma will host an investment community webcast and conference call at 9:00 a.m. EDT / 2:00 p.m. BST on Thursday, August 3, 2023, to discuss the second quarter 2023 financial results and the corporate update.</w:t>
      </w:r>
    </w:p>
    <w:p>
      <w:pPr>
        <w:pStyle w:val="TextBody"/>
        <w:bidi w:val="0"/>
        <w:spacing w:lineRule="auto" w:line="240" w:before="0" w:after="160"/>
        <w:jc w:val="both"/>
        <w:rPr>
          <w:rFonts w:ascii="Arial;sans-serif" w:hAnsi="Arial;sans-serif"/>
          <w:b w:val="false"/>
          <w:color w:val="000000"/>
          <w:sz w:val="22"/>
        </w:rPr>
      </w:pPr>
      <w:r>
        <w:rPr>
          <w:rFonts w:ascii="Arial;sans-serif" w:hAnsi="Arial;sans-serif"/>
          <w:b w:val="false"/>
          <w:color w:val="000000"/>
          <w:sz w:val="22"/>
        </w:rPr>
        <w:t>To participate, please dial one of the following numbers and ask to be placed into the Verona Pharma second quarter earnings call:</w:t>
      </w:r>
    </w:p>
    <w:p>
      <w:pPr>
        <w:pStyle w:val="TextBody"/>
        <w:bidi w:val="0"/>
        <w:spacing w:lineRule="auto" w:line="240" w:before="0" w:after="160"/>
        <w:ind w:left="0" w:right="0" w:hanging="360"/>
        <w:jc w:val="both"/>
        <w:rPr/>
      </w:pPr>
      <w:r>
        <w:rPr>
          <w:color w:val="000000"/>
        </w:rPr>
        <w:t>•</w:t>
      </w:r>
      <w:r>
        <w:rPr>
          <w:rFonts w:ascii="Arial;sans-serif" w:hAnsi="Arial;sans-serif"/>
          <w:b w:val="false"/>
          <w:color w:val="000000"/>
          <w:sz w:val="22"/>
        </w:rPr>
        <w:t>+1-833-816-1396 for callers in the United States</w:t>
      </w:r>
    </w:p>
    <w:p>
      <w:pPr>
        <w:pStyle w:val="TextBody"/>
        <w:bidi w:val="0"/>
        <w:spacing w:lineRule="auto" w:line="240" w:before="0" w:after="160"/>
        <w:ind w:left="0" w:right="0" w:hanging="360"/>
        <w:jc w:val="both"/>
        <w:rPr/>
      </w:pPr>
      <w:r>
        <w:rPr>
          <w:color w:val="000000"/>
        </w:rPr>
        <w:t>•</w:t>
      </w:r>
      <w:r>
        <w:rPr>
          <w:rFonts w:ascii="Arial;sans-serif" w:hAnsi="Arial;sans-serif"/>
          <w:b w:val="false"/>
          <w:color w:val="000000"/>
          <w:sz w:val="22"/>
        </w:rPr>
        <w:t>+1-412-317-0489 for international callers</w:t>
      </w:r>
    </w:p>
    <w:p>
      <w:pPr>
        <w:pStyle w:val="TextBody"/>
        <w:bidi w:val="0"/>
        <w:spacing w:lineRule="auto" w:line="240" w:before="160" w:after="120"/>
        <w:jc w:val="both"/>
        <w:rPr>
          <w:rFonts w:ascii="Arial;sans-serif" w:hAnsi="Arial;sans-serif"/>
          <w:b w:val="false"/>
          <w:color w:val="000000"/>
          <w:sz w:val="22"/>
        </w:rPr>
      </w:pPr>
      <w:r>
        <w:rPr>
          <w:rFonts w:ascii="Arial;sans-serif" w:hAnsi="Arial;sans-serif"/>
          <w:b w:val="false"/>
          <w:color w:val="000000"/>
          <w:sz w:val="22"/>
        </w:rPr>
        <w:t xml:space="preserve">A live webcast will be available on the Events and Presentations link on the Investors page of the Company's website, www.veronapharma.com, and the audio replay will be available for 90 days. An electronic copy of the second quarter 2023 results press release will also be made available today on the Company’s website. </w:t>
      </w:r>
    </w:p>
    <w:p>
      <w:pPr>
        <w:pStyle w:val="TextBody"/>
        <w:bidi w:val="0"/>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For further information please contact:</w:t>
      </w:r>
    </w:p>
    <w:tbl>
      <w:tblPr>
        <w:tblW w:w="10205" w:type="dxa"/>
        <w:jc w:val="left"/>
        <w:tblInd w:w="0" w:type="dxa"/>
        <w:tblLayout w:type="fixed"/>
        <w:tblCellMar>
          <w:top w:w="28" w:type="dxa"/>
          <w:left w:w="28" w:type="dxa"/>
          <w:bottom w:w="28" w:type="dxa"/>
          <w:right w:w="28" w:type="dxa"/>
        </w:tblCellMar>
      </w:tblPr>
      <w:tblGrid>
        <w:gridCol w:w="1833"/>
        <w:gridCol w:w="1547"/>
        <w:gridCol w:w="1385"/>
        <w:gridCol w:w="1659"/>
        <w:gridCol w:w="1659"/>
        <w:gridCol w:w="2122"/>
      </w:tblGrid>
      <w:tr>
        <w:trPr/>
        <w:tc>
          <w:tcPr>
            <w:tcW w:w="183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op w:val="single" w:sz="6" w:space="0" w:color="CFCFCF"/>
              <w:left w:val="single" w:sz="6" w:space="0" w:color="CFCFCF"/>
            </w:tcBorders>
            <w:shd w:fill="FFFFFF" w:val="clear"/>
            <w:tcMar>
              <w:top w:w="30" w:type="dxa"/>
              <w:left w:w="237" w:type="dxa"/>
              <w:bottom w:w="0" w:type="dxa"/>
              <w:right w:w="0" w:type="dxa"/>
            </w:tcMar>
            <w:vAlign w:val="center"/>
          </w:tcPr>
          <w:p>
            <w:pPr>
              <w:pStyle w:val="TableContents"/>
              <w:bidi w:val="0"/>
              <w:spacing w:lineRule="auto" w:line="300" w:before="0" w:after="283"/>
              <w:jc w:val="left"/>
              <w:rPr>
                <w:rFonts w:ascii="Arial;sans-serif" w:hAnsi="Arial;sans-serif"/>
                <w:b/>
                <w:color w:val="000000"/>
                <w:sz w:val="22"/>
              </w:rPr>
            </w:pPr>
            <w:r>
              <w:rPr>
                <w:rFonts w:ascii="Arial;sans-serif" w:hAnsi="Arial;sans-serif"/>
                <w:b/>
                <w:color w:val="000000"/>
                <w:sz w:val="22"/>
              </w:rPr>
              <w:t>Verona Pharma plc</w:t>
            </w:r>
          </w:p>
        </w:tc>
        <w:tc>
          <w:tcPr>
            <w:tcW w:w="5440"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US Tel: +1-833-417-0262</w:t>
            </w:r>
          </w:p>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UK Tel: +44 (0)203 283 4200</w:t>
            </w:r>
          </w:p>
        </w:tc>
      </w:tr>
      <w:tr>
        <w:trPr/>
        <w:tc>
          <w:tcPr>
            <w:tcW w:w="4765" w:type="dxa"/>
            <w:gridSpan w:val="3"/>
            <w:tcBorders>
              <w:top w:val="single" w:sz="6" w:space="0" w:color="CFCFCF"/>
              <w:left w:val="single" w:sz="6" w:space="0" w:color="CFCFCF"/>
            </w:tcBorders>
            <w:shd w:fill="FFFFFF" w:val="clear"/>
            <w:tcMar>
              <w:top w:w="30" w:type="dxa"/>
              <w:left w:w="237"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Victoria Stewart, Senior Director of Investor Relations and Communications</w:t>
            </w:r>
          </w:p>
        </w:tc>
        <w:tc>
          <w:tcPr>
            <w:tcW w:w="5440"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bidi w:val="0"/>
              <w:spacing w:lineRule="auto" w:line="240" w:before="0" w:after="0"/>
              <w:jc w:val="left"/>
              <w:rPr>
                <w:rFonts w:ascii="Arial;sans-serif" w:hAnsi="Arial;sans-serif"/>
                <w:b w:val="false"/>
                <w:color w:val="0000FF"/>
                <w:sz w:val="22"/>
                <w:u w:val="single"/>
              </w:rPr>
            </w:pPr>
            <w:r>
              <w:rPr>
                <w:rFonts w:ascii="Arial;sans-serif" w:hAnsi="Arial;sans-serif"/>
                <w:b w:val="false"/>
                <w:color w:val="0000FF"/>
                <w:sz w:val="22"/>
                <w:u w:val="single"/>
              </w:rPr>
              <w:t>IR@veronapharma.com</w:t>
            </w:r>
          </w:p>
        </w:tc>
      </w:tr>
      <w:tr>
        <w:trPr/>
        <w:tc>
          <w:tcPr>
            <w:tcW w:w="4765" w:type="dxa"/>
            <w:gridSpan w:val="3"/>
            <w:tcBorders>
              <w:top w:val="single" w:sz="6" w:space="0" w:color="CFCFCF"/>
              <w:left w:val="single" w:sz="6" w:space="0" w:color="CFCFCF"/>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Argot Partners</w:t>
            </w:r>
          </w:p>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US Investor Enquiries</w:t>
            </w:r>
          </w:p>
        </w:tc>
        <w:tc>
          <w:tcPr>
            <w:tcW w:w="5440"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Tel: +1-212-600-1902</w:t>
            </w:r>
          </w:p>
          <w:p>
            <w:pPr>
              <w:pStyle w:val="TableContents"/>
              <w:bidi w:val="0"/>
              <w:spacing w:lineRule="auto" w:line="240" w:before="0" w:after="0"/>
              <w:jc w:val="left"/>
              <w:rPr>
                <w:rFonts w:ascii="Arial;sans-serif" w:hAnsi="Arial;sans-serif"/>
                <w:b w:val="false"/>
                <w:color w:val="0000FF"/>
                <w:sz w:val="22"/>
                <w:u w:val="single"/>
              </w:rPr>
            </w:pPr>
            <w:r>
              <w:rPr>
                <w:rFonts w:ascii="Arial;sans-serif" w:hAnsi="Arial;sans-serif"/>
                <w:b w:val="false"/>
                <w:color w:val="0000FF"/>
                <w:sz w:val="22"/>
                <w:u w:val="single"/>
              </w:rPr>
              <w:t>verona@argotpartners.com</w:t>
            </w:r>
          </w:p>
        </w:tc>
      </w:tr>
      <w:tr>
        <w:trPr/>
        <w:tc>
          <w:tcPr>
            <w:tcW w:w="4765" w:type="dxa"/>
            <w:gridSpan w:val="3"/>
            <w:tcBorders>
              <w:top w:val="single" w:sz="6" w:space="0" w:color="CFCFCF"/>
              <w:left w:val="single" w:sz="6" w:space="0" w:color="CFCFCF"/>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Ten Bridge Communications</w:t>
            </w:r>
          </w:p>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International / US Media Enquiries</w:t>
            </w:r>
          </w:p>
        </w:tc>
        <w:tc>
          <w:tcPr>
            <w:tcW w:w="5440" w:type="dxa"/>
            <w:gridSpan w:val="3"/>
            <w:tcBorders>
              <w:top w:val="single" w:sz="6" w:space="0" w:color="CFCFCF"/>
              <w:left w:val="single" w:sz="6" w:space="0" w:color="CFCFCF"/>
              <w:right w:val="single" w:sz="6" w:space="0" w:color="CFCFCF"/>
            </w:tcBorders>
            <w:shd w:fill="FFFFFF" w:val="clear"/>
            <w:tcMar>
              <w:top w:w="30" w:type="dxa"/>
              <w:left w:w="117"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Tel: +1-312-523-5016 tbcverona@tenbridgecommunications.com</w:t>
            </w:r>
          </w:p>
        </w:tc>
      </w:tr>
      <w:tr>
        <w:trPr/>
        <w:tc>
          <w:tcPr>
            <w:tcW w:w="4765" w:type="dxa"/>
            <w:gridSpan w:val="3"/>
            <w:tcBorders>
              <w:top w:val="single" w:sz="6" w:space="0" w:color="CFCFCF"/>
              <w:left w:val="single" w:sz="6" w:space="0" w:color="CFCFCF"/>
              <w:bottom w:val="single" w:sz="6" w:space="0" w:color="CFCFCF"/>
            </w:tcBorders>
            <w:shd w:fill="FFFFFF" w:val="clear"/>
            <w:tcMar>
              <w:top w:w="30" w:type="dxa"/>
              <w:left w:w="237"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22"/>
              </w:rPr>
            </w:pPr>
            <w:r>
              <w:rPr>
                <w:rFonts w:ascii="Arial;sans-serif" w:hAnsi="Arial;sans-serif"/>
                <w:b w:val="false"/>
                <w:color w:val="000000"/>
                <w:sz w:val="22"/>
              </w:rPr>
              <w:t>Leslie Humbel</w:t>
            </w:r>
          </w:p>
        </w:tc>
        <w:tc>
          <w:tcPr>
            <w:tcW w:w="5440" w:type="dxa"/>
            <w:gridSpan w:val="3"/>
            <w:tcBorders>
              <w:top w:val="single" w:sz="6" w:space="0" w:color="CFCFCF"/>
              <w:left w:val="single" w:sz="6" w:space="0" w:color="CFCFCF"/>
              <w:bottom w:val="single" w:sz="6" w:space="0" w:color="CFCFCF"/>
              <w:right w:val="single" w:sz="6" w:space="0" w:color="CFCFCF"/>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120"/>
        <w:jc w:val="both"/>
        <w:rPr>
          <w:rFonts w:ascii="Arial;sans-serif" w:hAnsi="Arial;sans-serif"/>
          <w:b/>
          <w:color w:val="000000"/>
          <w:sz w:val="22"/>
        </w:rPr>
      </w:pPr>
      <w:r>
        <w:rPr>
          <w:rFonts w:ascii="Arial;sans-serif" w:hAnsi="Arial;sans-serif"/>
          <w:b/>
          <w:color w:val="000000"/>
          <w:sz w:val="22"/>
        </w:rPr>
        <w:t>About Verona Pharma</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both"/>
        <w:rPr/>
      </w:pPr>
      <w:r>
        <w:rPr>
          <w:rFonts w:ascii="Arial;sans-serif" w:hAnsi="Arial;sans-serif"/>
          <w:b w:val="false"/>
          <w:color w:val="000000"/>
          <w:sz w:val="22"/>
        </w:rPr>
        <w:t xml:space="preserve">Verona Pharma is a clinical-stage biopharmaceutical company focused on developing and commercializing innovative therapies for the treatment of chronic respiratory diseases with significant unmet medical needs. If successfully developed and approved, Verona Pharma’s product candidate, ensifentrine, has the potential to be the first non-sterodial therapy for the treatment of respiratory diseases that combines bronchodilator and anti-inflammatory activities in one compound. The Company has evaluated nebulized ensifentrine in its Phase 3 clinical program ENHANCE (“Ensifentrine as a Novel inHAled Nebulized COPD thErapy”) for COPD maintenance treatment. Ensifentrine met the primary endpoint in both ENHANCE-1 and ENHANCE-2 trials demonstrating statistically significant and clinically meaningful improvements in lung function. In addition, ensifentrine substantially reduced the rate and risk of COPD exacerbations in pooled analysis from ENHANCE-1 and ENHANCE-2. In the second quarter of 2023, Verona Pharma submitted a New Drug Application (“NDA”) to the US Food and Drug Administration (“FDA”) for ensifentrine for the maintenance treatment of patients with COPD. Two additional formulations of ensifentrine have been evaluated in Phase 2 studies for the treatment of COPD: dry powder inhaler (“DPI”) and pressurized metered-dose inhaler (“pMDI”). Ensifentrine has potential applications in cystic fibrosis, asthma and other respiratory diseases. For more information, please visit </w:t>
      </w:r>
      <w:r>
        <w:rPr>
          <w:rFonts w:ascii="Arial;sans-serif" w:hAnsi="Arial;sans-serif"/>
          <w:b w:val="false"/>
          <w:color w:val="0000FF"/>
          <w:sz w:val="22"/>
          <w:u w:val="single"/>
        </w:rPr>
        <w:t>www.veronapharma.com</w:t>
      </w:r>
      <w:r>
        <w:rPr>
          <w:rFonts w:ascii="Arial;sans-serif" w:hAnsi="Arial;sans-serif"/>
          <w:b w:val="false"/>
          <w:color w:val="000000"/>
          <w:sz w:val="22"/>
        </w:rPr>
        <w:t xml:space="preserve">. </w:t>
      </w:r>
    </w:p>
    <w:p>
      <w:pPr>
        <w:pStyle w:val="TextBody"/>
        <w:bidi w:val="0"/>
        <w:spacing w:lineRule="auto" w:line="240" w:before="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40" w:before="0" w:after="120"/>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All statements contained in this press release that do not relate to matters of historical fact should be considered forward-looking statements, including, but not limited to, statements regarding our operational review, outlook and financial review, the timing of the FDA’s decisions on the acceptance and approval of the NDA for ensifentrine, the development of ensifentrine and plans to release data from the ENHANCE trials at future scientific conferences, upcoming events and presentations, the planned US commercial launch of ensifentrine and timing thereof and the advancement of commercialization efforts in support of the launch, the potential for ensifentrine to be the first therapy for the treatment of respiratory diseases to combine bronchodilator and non-steroidal anti-inflammatory benefits in one compound, and the potential of ensifentrine in the treatment of cystic fibrosis, asthma and other respiratory diseases, as well as the potential of the DPI and pMDI formulations of ensifentrine, the funding we expect to become available under the $150.0 million debt financing facility and from cash receipts from UK tax credits, and the sufficiency of cash and cash equivalents, and the cash runway period provided by the sources of financing through to at least the end of 2025 and expected to fully fund the planned commercial launch. </w:t>
      </w:r>
    </w:p>
    <w:p>
      <w:pPr>
        <w:pStyle w:val="TextBody"/>
        <w:bidi w:val="0"/>
        <w:spacing w:lineRule="auto" w:line="240"/>
        <w:jc w:val="both"/>
        <w:rPr>
          <w:rFonts w:ascii="Arial;sans-serif" w:hAnsi="Arial;sans-serif"/>
          <w:b w:val="false"/>
          <w:color w:val="000000"/>
          <w:sz w:val="22"/>
        </w:rPr>
      </w:pPr>
      <w:r>
        <w:rPr>
          <w:rFonts w:ascii="Arial;sans-serif" w:hAnsi="Arial;sans-serif"/>
          <w:b w:val="false"/>
          <w:color w:val="000000"/>
          <w:sz w:val="22"/>
        </w:rPr>
        <w:t xml:space="preserve">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2022, as updated in our Quarterly Reports on Form 10-Q for the quarters ended March 31, 2023 and June 30, 2023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center"/>
        <w:rPr>
          <w:rFonts w:ascii="Arial;sans-serif" w:hAnsi="Arial;sans-serif"/>
          <w:b/>
          <w:color w:val="232323"/>
          <w:sz w:val="24"/>
        </w:rPr>
      </w:pPr>
      <w:r>
        <w:rPr>
          <w:rFonts w:ascii="Arial;sans-serif" w:hAnsi="Arial;sans-serif"/>
          <w:b/>
          <w:color w:val="232323"/>
          <w:sz w:val="24"/>
        </w:rPr>
        <w:t>Verona Pharma plc</w:t>
      </w:r>
    </w:p>
    <w:p>
      <w:pPr>
        <w:pStyle w:val="TextBody"/>
        <w:bidi w:val="0"/>
        <w:spacing w:lineRule="auto" w:line="333" w:before="0" w:after="120"/>
        <w:jc w:val="center"/>
        <w:rPr>
          <w:rFonts w:ascii="Arial;sans-serif" w:hAnsi="Arial;sans-serif"/>
          <w:b/>
          <w:color w:val="232323"/>
          <w:sz w:val="24"/>
        </w:rPr>
      </w:pPr>
      <w:r>
        <w:rPr>
          <w:rFonts w:ascii="Arial;sans-serif" w:hAnsi="Arial;sans-serif"/>
          <w:b/>
          <w:color w:val="232323"/>
          <w:sz w:val="24"/>
        </w:rPr>
        <w:t>Consolidated Financial Summary</w:t>
      </w:r>
    </w:p>
    <w:p>
      <w:pPr>
        <w:pStyle w:val="TextBody"/>
        <w:bidi w:val="0"/>
        <w:spacing w:lineRule="auto" w:line="333" w:before="0" w:after="120"/>
        <w:jc w:val="center"/>
        <w:rPr>
          <w:rFonts w:ascii="Arial;sans-serif" w:hAnsi="Arial;sans-serif"/>
          <w:b/>
          <w:color w:val="232323"/>
          <w:sz w:val="24"/>
          <w:shd w:fill="FFFFFF" w:val="clear"/>
        </w:rPr>
      </w:pPr>
      <w:r>
        <w:rPr>
          <w:rFonts w:ascii="Arial;sans-serif" w:hAnsi="Arial;sans-serif"/>
          <w:b/>
          <w:color w:val="232323"/>
          <w:sz w:val="24"/>
          <w:shd w:fill="FFFFFF" w:val="clear"/>
        </w:rPr>
        <w:t>(unaudited)</w:t>
      </w:r>
    </w:p>
    <w:p>
      <w:pPr>
        <w:pStyle w:val="TextBody"/>
        <w:bidi w:val="0"/>
        <w:spacing w:lineRule="auto" w:line="240" w:before="0" w:after="0"/>
        <w:jc w:val="center"/>
        <w:rPr>
          <w:rFonts w:ascii="Arial;sans-serif" w:hAnsi="Arial;sans-serif"/>
          <w:b/>
          <w:color w:val="232323"/>
          <w:sz w:val="20"/>
          <w:shd w:fill="FFFFFF" w:val="clear"/>
        </w:rPr>
      </w:pPr>
      <w:r>
        <w:rPr>
          <w:rFonts w:ascii="Arial;sans-serif" w:hAnsi="Arial;sans-serif"/>
          <w:b/>
          <w:color w:val="232323"/>
          <w:sz w:val="20"/>
          <w:shd w:fill="FFFFFF" w:val="clear"/>
        </w:rPr>
        <w:t>(in thousands, except per share amounts)</w:t>
      </w:r>
    </w:p>
    <w:p>
      <w:pPr>
        <w:pStyle w:val="TextBody"/>
        <w:bidi w:val="0"/>
        <w:spacing w:before="0" w:after="0"/>
        <w:jc w:val="center"/>
        <w:rPr/>
      </w:pPr>
      <w:r>
        <w:rPr/>
      </w:r>
    </w:p>
    <w:tbl>
      <w:tblPr>
        <w:tblW w:w="8734" w:type="dxa"/>
        <w:jc w:val="left"/>
        <w:tblInd w:w="0" w:type="dxa"/>
        <w:tblLayout w:type="fixed"/>
        <w:tblCellMar>
          <w:top w:w="28" w:type="dxa"/>
          <w:left w:w="28" w:type="dxa"/>
          <w:bottom w:w="28" w:type="dxa"/>
          <w:right w:w="28" w:type="dxa"/>
        </w:tblCellMar>
      </w:tblPr>
      <w:tblGrid>
        <w:gridCol w:w="1839"/>
        <w:gridCol w:w="1620"/>
        <w:gridCol w:w="1626"/>
        <w:gridCol w:w="109"/>
        <w:gridCol w:w="109"/>
        <w:gridCol w:w="109"/>
        <w:gridCol w:w="471"/>
        <w:gridCol w:w="398"/>
        <w:gridCol w:w="398"/>
        <w:gridCol w:w="243"/>
        <w:gridCol w:w="243"/>
        <w:gridCol w:w="243"/>
        <w:gridCol w:w="471"/>
        <w:gridCol w:w="353"/>
        <w:gridCol w:w="502"/>
      </w:tblGrid>
      <w:tr>
        <w:trPr/>
        <w:tc>
          <w:tcPr>
            <w:tcW w:w="183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00" w:before="0" w:after="283"/>
              <w:jc w:val="center"/>
              <w:rPr>
                <w:color w:val="000000"/>
              </w:rPr>
            </w:pPr>
            <w:r>
              <w:rPr>
                <w:color w:val="000000"/>
              </w:rPr>
              <w:t> </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(2,474)</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14,982</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12,439 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5,526</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9,965 </w:t>
            </w:r>
          </w:p>
        </w:tc>
        <w:tc>
          <w:tcPr>
            <w:tcW w:w="3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right w:val="single" w:sz="8" w:space="0" w:color="000000"/>
            </w:tcBorders>
            <w:tcMar>
              <w:top w:w="3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20,508</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(9,965)</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right w:val="single" w:sz="8" w:space="0" w:color="000000"/>
            </w:tcBorders>
            <w:tcMar>
              <w:top w:w="3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(20,508)</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Other income/(expense)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(1,934)</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5,409</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165</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(740)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(91)</w:t>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Foreign exchange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(2,662)</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Total 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3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right w:val="single" w:sz="8" w:space="0" w:color="000000"/>
            </w:tcBorders>
            <w:tcMar>
              <w:top w:w="3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2,821</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(8,497)</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right w:val="single" w:sz="8" w:space="0" w:color="000000"/>
            </w:tcBorders>
            <w:tcMar>
              <w:top w:w="3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(17,687)</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(79)</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(8,807)</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top w:val="single" w:sz="8" w:space="0" w:color="000000"/>
              <w:right w:val="single" w:sz="8" w:space="0" w:color="000000"/>
            </w:tcBorders>
            <w:tcMar>
              <w:top w:w="3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(17,766)</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6"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634,469</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484,778</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Loss per ordinary share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(0.04)</w:t>
            </w:r>
          </w:p>
        </w:tc>
      </w:tr>
      <w:tr>
        <w:trPr/>
        <w:tc>
          <w:tcPr>
            <w:tcW w:w="5085" w:type="dxa"/>
            <w:gridSpan w:val="3"/>
            <w:tcBorders>
              <w:left w:val="single" w:sz="8" w:space="0" w:color="000000"/>
            </w:tcBorders>
            <w:tcMar>
              <w:top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6"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Jun-30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6" w:space="0" w:color="000000"/>
              <w:right w:val="single" w:sz="8" w:space="0" w:color="000000"/>
            </w:tcBorders>
            <w:tcMar>
              <w:top w:w="30" w:type="dxa"/>
              <w:left w:w="0" w:type="dxa"/>
              <w:bottom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Mar-31</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right w:val="single" w:sz="8" w:space="0" w:color="000000"/>
            </w:tcBorders>
            <w:tcMar>
              <w:top w:w="0" w:type="dxa"/>
              <w:left w:w="0" w:type="dxa"/>
              <w:bottom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270,727</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291,415</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303,929</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323,146</w:t>
            </w:r>
          </w:p>
        </w:tc>
      </w:tr>
      <w:tr>
        <w:trPr/>
        <w:tc>
          <w:tcPr>
            <w:tcW w:w="508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273,093</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tcMar>
              <w:top w:w="0" w:type="dxa"/>
              <w:left w:w="0" w:type="dxa"/>
              <w:bottom w:w="0" w:type="dxa"/>
              <w:right w:w="75"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276,749</w:t>
            </w:r>
          </w:p>
        </w:tc>
      </w:tr>
      <w:tr>
        <w:trPr/>
        <w:tc>
          <w:tcPr>
            <w:tcW w:w="508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2653</Words>
  <Characters>15068</Characters>
  <CharactersWithSpaces>17618</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