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5405755</wp:posOffset>
            </wp:positionH>
            <wp:positionV relativeFrom="page">
              <wp:posOffset>294640</wp:posOffset>
            </wp:positionV>
            <wp:extent cx="1998345" cy="763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30,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Transmission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Securities and Exchange 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Abigail Jacobs</w:t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F-3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May 22, 2018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No. 333-225107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80"/>
            <w:col w:w="10120"/>
          </w:cols>
          <w:pgMar w:left="240" w:top="1440" w:right="2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Jacobs: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 w:firstLine="648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accordance with Rule 461 of Regulation C of the General Rules and Regulations under the Securities Act of 1933, as amended, we hereby request the acceleration of the effective date of the above-referenced Registration Statement so that it will become effective on June 1, 2018 at 4:00 p.m. Eastern Time or as soon thereafter as practicable, or at such later time as Verona Pharma plc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 or its counsel may request via telephone call to the staff. Please contact Peter Handrinos of Latham &amp; Watkins LLP, counsel to the Company, at (617) 948-6060, or in his absence, Nathan Ajiashvili of Latham &amp; Watkins LLP at (212) 906-2916, to provide notice of effectiveness, or if you have any other questions or concerns regarding this matter.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175895</wp:posOffset>
            </wp:positionV>
            <wp:extent cx="72675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5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Piers Morgan</w:t>
            </w:r>
          </w:p>
        </w:tc>
      </w:tr>
      <w:tr>
        <w:trPr>
          <w:trHeight w:val="19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Piers Morgan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Chief Financial Officer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80" w:right="8140" w:hanging="272"/>
        <w:spacing w:after="0" w:line="308" w:lineRule="auto"/>
        <w:tabs>
          <w:tab w:leader="none" w:pos="31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Verona Pharma plc Claire Poll, Verona Pharma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168910</wp:posOffset>
            </wp:positionV>
            <wp:extent cx="7267575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2019-12-08T14:13:10Z</dcterms:created>
  <dcterms:modified xsi:type="dcterms:W3CDTF">2019-12-08T14:13:10Z</dcterms:modified>
</cp:coreProperties>
</file>