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196"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7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MERCK SHARP &amp; DOHME LLC</w:t>
      </w:r>
    </w:p>
    <w:p>
      <w:pPr>
        <w:spacing w:after="0" w:line="45"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by Merck Sharp &amp; Dohme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Verona Pharma plc.</w:t>
      </w:r>
    </w:p>
    <w:p>
      <w:pPr>
        <w:spacing w:after="0" w:line="20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This filing contains a message from Ostra Jewell, Senior Vice President, Human Resources at Verona Pharma plc (“Verona”), to the employees of Verona, delivered via email enclosure on September 10, 2025 (the “Employee Email”). The Employee Email is related to the potential acquisition of Verona by Merck Sharp &amp; Dohme LLC and includes a town hall presentation of Merck &amp; Co., Inc., dated September 5,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Verona Pharma employees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Verona SVP, HR, Ostra Jewell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September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Recap from Verona Employee Town Hall with Merck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 Verona,</w:t>
      </w:r>
    </w:p>
    <w:p>
      <w:pPr>
        <w:spacing w:after="0" w:line="22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color w:val="auto"/>
        </w:rPr>
        <w:t xml:space="preserve">Thank you to all who joined us for the </w:t>
      </w:r>
      <w:r>
        <w:rPr>
          <w:rFonts w:ascii="Times New Roman" w:cs="Times New Roman" w:eastAsia="Times New Roman" w:hAnsi="Times New Roman"/>
          <w:sz w:val="18"/>
          <w:szCs w:val="18"/>
          <w:b w:val="1"/>
          <w:bCs w:val="1"/>
          <w:color w:val="auto"/>
        </w:rPr>
        <w:t>Verona Employee Town Hall with Merck</w:t>
      </w:r>
      <w:r>
        <w:rPr>
          <w:rFonts w:ascii="Times New Roman" w:cs="Times New Roman" w:eastAsia="Times New Roman" w:hAnsi="Times New Roman"/>
          <w:sz w:val="18"/>
          <w:szCs w:val="18"/>
          <w:color w:val="auto"/>
        </w:rPr>
        <w:t xml:space="preserve"> last week! I hope you found it valuable and informative as we continue our integration planning.</w:t>
      </w:r>
    </w:p>
    <w:p>
      <w:pPr>
        <w:spacing w:after="0" w:line="15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During the meeting, Merck’s leaders provided updates on retention agreements and the integration timeline, and I shared more information on severance. If you were unable to attend or should you want a recap, below is a summary of key takeaways and attached are the slides.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Takeaways</w:t>
      </w:r>
    </w:p>
    <w:p>
      <w:pPr>
        <w:spacing w:after="0" w:line="11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Overall Tone: </w:t>
      </w:r>
      <w:r>
        <w:rPr>
          <w:rFonts w:ascii="Times New Roman" w:cs="Times New Roman" w:eastAsia="Times New Roman" w:hAnsi="Times New Roman"/>
          <w:sz w:val="18"/>
          <w:szCs w:val="18"/>
          <w:color w:val="auto"/>
        </w:rPr>
        <w:t>Merck values Verona’s culture and expertise, wants to minimize business disruption, and offers expanded resources and career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Retention Agreements</w:t>
      </w:r>
    </w:p>
    <w:p>
      <w:pPr>
        <w:spacing w:after="0" w:line="135" w:lineRule="exact"/>
        <w:rPr>
          <w:sz w:val="20"/>
          <w:szCs w:val="20"/>
          <w:color w:val="auto"/>
        </w:rPr>
      </w:pPr>
    </w:p>
    <w:p>
      <w:pPr>
        <w:ind w:left="960" w:right="6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(with the exception of select executives) were offered a retention agreement on August 29. Your retention acceptance is due back to me no later than September 19.</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preserves eligibility for retention bonuses; not signing does not change employment but forfeits the retention benefit.</w:t>
      </w:r>
    </w:p>
    <w:p>
      <w:pPr>
        <w:spacing w:after="0" w:line="130"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periods define the timeframe Merck needs employees during integration; accepting a permanent Merck role during retention does not forfeit the retention payment.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retention periods can be adjusted by mutual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w:t>
      </w:r>
    </w:p>
    <w:p>
      <w:pPr>
        <w:spacing w:after="0" w:line="135" w:lineRule="exact"/>
        <w:rPr>
          <w:sz w:val="20"/>
          <w:szCs w:val="20"/>
          <w:color w:val="auto"/>
        </w:rPr>
      </w:pPr>
    </w:p>
    <w:p>
      <w:pPr>
        <w:ind w:left="960" w:right="70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are eligible for a change-in-control severance package as long as you complete knowledge transfer and you incur a qualifying termination of employment (and aren’t terminated for cause or resign).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offered a full-time Merck role and you decline it, you remain eligible for severance at the end of your retention.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severance increased to six months (previously three months for senior manager and below; directors had six months).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slide 11 for more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Integration Timeline</w:t>
      </w:r>
    </w:p>
    <w:p>
      <w:pPr>
        <w:spacing w:after="0" w:line="135" w:lineRule="exact"/>
        <w:rPr>
          <w:sz w:val="20"/>
          <w:szCs w:val="20"/>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in the pre-closing quiet period, so certain activities and communications are limited by regulations until close.</w:t>
      </w:r>
    </w:p>
    <w:p>
      <w:pPr>
        <w:sectPr>
          <w:pgSz w:w="11900" w:h="16838" w:orient="portrait"/>
          <w:cols w:equalWidth="0" w:num="1">
            <w:col w:w="11020"/>
          </w:cols>
          <w:pgMar w:left="440" w:top="270" w:right="439" w:bottom="1440" w:gutter="0" w:footer="0" w:header="0"/>
        </w:sectPr>
      </w:pPr>
    </w:p>
    <w:bookmarkStart w:id="2" w:name="page3"/>
    <w:bookmarkEnd w:id="2"/>
    <w:p>
      <w:pPr>
        <w:ind w:left="960" w:right="340" w:hanging="53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Close is the completion of the deal, when Verona Pharma becomes a wholly owned subsidiary of Merck; Day One is typically the first business day after close.</w:t>
      </w:r>
    </w:p>
    <w:p>
      <w:pPr>
        <w:spacing w:after="0" w:line="67" w:lineRule="exact"/>
        <w:rPr>
          <w:rFonts w:ascii="Times New Roman" w:cs="Times New Roman" w:eastAsia="Times New Roman" w:hAnsi="Times New Roman"/>
          <w:sz w:val="18"/>
          <w:szCs w:val="18"/>
          <w:color w:val="auto"/>
        </w:rPr>
      </w:pPr>
    </w:p>
    <w:p>
      <w:pPr>
        <w:ind w:left="1420" w:right="240" w:hanging="439"/>
        <w:spacing w:after="0" w:line="282" w:lineRule="auto"/>
        <w:tabs>
          <w:tab w:leader="none" w:pos="1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business disruption is expected on Day One. Primary goals are business continuity and maintaining commercial/pipeline momentum.</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date for many integration milestones is April 1, 2026 (specifically, transition to Merck payroll, benefits, financial and HR systems, and distribution of Merck laptops). Merck is still developing the integration plan so this date is not yet final.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 Steps &amp; Support</w:t>
      </w:r>
    </w:p>
    <w:p>
      <w:pPr>
        <w:spacing w:after="0" w:line="135" w:lineRule="exact"/>
        <w:rPr>
          <w:sz w:val="20"/>
          <w:szCs w:val="20"/>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sign your retention agreement and send to me by the September 19 deadline.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short “Day-in-the-Life” tool (for those who have been asked to) and return to me no later than September 19.</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Verona leadership remains the primary point of contact during the pre-closing quiet period; Merck integration team will regularly check in.</w:t>
      </w:r>
    </w:p>
    <w:p>
      <w:pPr>
        <w:spacing w:after="0" w:line="142" w:lineRule="exact"/>
        <w:rPr>
          <w:rFonts w:ascii="Times New Roman" w:cs="Times New Roman" w:eastAsia="Times New Roman" w:hAnsi="Times New Roman"/>
          <w:sz w:val="17"/>
          <w:szCs w:val="17"/>
          <w:color w:val="auto"/>
        </w:rPr>
      </w:pPr>
    </w:p>
    <w:p>
      <w:pPr>
        <w:ind w:left="960" w:right="420" w:hanging="53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Resource Guide, which was first provided with your retention agreements, will continue to be updated with FAQs and answers.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as always for your engagement, and please continue to reach out to me with any questions.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Ostra</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between Verona Pharma and Merck, Verona Pharma has filed with the Securities and Exchange Commission (“SEC”) a proxy statement on Schedule 14A. Additionally, Verona Pharma may file other relevant materials with the SEC in connection with the proposed transaction. Investors and securityholders of Verona Pharma are urged to read the proxy statement (which includes an explanatory statement in respect of the Scheme of Arrangement of Verona Pharma, in accordance with the requirements of the U.K. Companies Act 2006)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definitive version of the proxy statement has been mailed or otherwise made available to Verona Pharma’s</w:t>
      </w:r>
    </w:p>
    <w:p>
      <w:pPr>
        <w:sectPr>
          <w:pgSz w:w="11900" w:h="16838" w:orient="portrait"/>
          <w:cols w:equalWidth="0" w:num="1">
            <w:col w:w="10980"/>
          </w:cols>
          <w:pgMar w:left="440" w:top="270" w:right="479" w:bottom="1440" w:gutter="0" w:footer="0" w:header="0"/>
        </w:sectPr>
      </w:pPr>
    </w:p>
    <w:bookmarkStart w:id="3" w:name="page4"/>
    <w:bookmarkEnd w:id="3"/>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securityholders. Investors and securityholders may obtain a copy of the proxy statement as well as other filings containing information about the proposed transaction that are filed by Verona Pharma or Merck with the SEC, free of charge on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on the investor relations page of Verona Pharma’s website at </w:t>
      </w:r>
      <w:r>
        <w:rPr>
          <w:rFonts w:ascii="Times New Roman" w:cs="Times New Roman" w:eastAsia="Times New Roman" w:hAnsi="Times New Roman"/>
          <w:sz w:val="18"/>
          <w:szCs w:val="18"/>
          <w:u w:val="single" w:color="auto"/>
          <w:color w:val="auto"/>
        </w:rPr>
        <w:t>www.veronapharma.com/investors</w:t>
      </w:r>
      <w:r>
        <w:rPr>
          <w:rFonts w:ascii="Times New Roman" w:cs="Times New Roman" w:eastAsia="Times New Roman" w:hAnsi="Times New Roman"/>
          <w:sz w:val="18"/>
          <w:szCs w:val="18"/>
          <w:color w:val="auto"/>
        </w:rPr>
        <w:t xml:space="preserve">, by contacting Verona Pharma’s investor relations department at </w:t>
      </w:r>
      <w:r>
        <w:rPr>
          <w:rFonts w:ascii="Times New Roman" w:cs="Times New Roman" w:eastAsia="Times New Roman" w:hAnsi="Times New Roman"/>
          <w:sz w:val="18"/>
          <w:szCs w:val="18"/>
          <w:u w:val="single" w:color="auto"/>
          <w:color w:val="auto"/>
        </w:rPr>
        <w:t>IR@veronapharma.com</w:t>
      </w:r>
      <w:r>
        <w:rPr>
          <w:rFonts w:ascii="Times New Roman" w:cs="Times New Roman" w:eastAsia="Times New Roman" w:hAnsi="Times New Roman"/>
          <w:sz w:val="18"/>
          <w:szCs w:val="18"/>
          <w:color w:val="auto"/>
        </w:rPr>
        <w:t xml:space="preserve">, or on Merck’s website at </w:t>
      </w:r>
      <w:r>
        <w:rPr>
          <w:rFonts w:ascii="Times New Roman" w:cs="Times New Roman" w:eastAsia="Times New Roman" w:hAnsi="Times New Roman"/>
          <w:sz w:val="18"/>
          <w:szCs w:val="18"/>
          <w:u w:val="single" w:color="auto"/>
          <w:color w:val="auto"/>
        </w:rPr>
        <w:t>www.merck.com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Verona Pharma, Merck and certain of their directors and executive officers may be deemed to be participants in the solicitation of proxies from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of Verona Pharma in connection with the proposed transaction. Information about Verona Pharma’s directors and executive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 description of their direct interests, by security holdings or otherwise, is included in the proxy statement. You may also find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Verona Pharma’s directors and executive officers in Verona Pharma’s proxy statement for its 2025 Annual General Meeting filed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2025 and Verona Pharma’s other filings with the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any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ownership on Form 3 or Form 4 filed with the SEC after such proxy statement. Information about Merck and its directors and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can be found in Merck’s proxy statement filed on April 9, 2025 and Merck’s other filings with the SEC available at the SEC’s Internet site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any statements of beneficial ownership on Form 3 or Form 4 filed with the SEC after such proxy statement. Verona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may obtain additional information regarding the direct and indirect interests of the participants in the solicitation of proxies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proposed transaction, including the interests of Verona Pharma directors and executive officers in the proposed transaction, which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different than those of Verona Pharma shareholders generally, by reading the proxy statement and any other relevant documents that are filed or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the SEC relating to the proposed transaction. You may obtain free copies of these document using the sources indicated above.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U.S. Private Securities Litigation Reform Act of 1995, including with respect to the proposed acquisition of Verona Pharma, and readers are cautioned not to place undue reliance on such statements. Such forward-looking statements include, but are not limited to, the ability of Merck and Verona Pharma to complete the transactions contemplated by the transaction agreement, including statements about the transaction contemplated thereby, statements about the expected timetable for completing the transaction, Verona Pharma’s beliefs and expectations and statements about the benefits sought to be achieved in the proposed acquisition, the potential effects of the acquisition on Verona Pharma, as well as the expected benefits and success of Verona Pharma’s products and product candidates. These statements are based upon the current beliefs and expectations of Verona Pharma’s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ectPr>
          <w:pgSz w:w="11900" w:h="16838" w:orient="portrait"/>
          <w:cols w:equalWidth="0" w:num="1">
            <w:col w:w="11000"/>
          </w:cols>
          <w:pgMar w:left="440" w:top="270" w:right="459" w:bottom="1440" w:gutter="0" w:footer="0" w:header="0"/>
        </w:sectPr>
      </w:pPr>
    </w:p>
    <w:bookmarkStart w:id="4" w:name="page5"/>
    <w:bookmarkEnd w:id="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Verona Pharma’s dependence on the successful commercialization of Ohtuvayre and the uncertain market acceptance of Ohtuvayre as a treatment for COPD; and risks related to pharmaceutical product development, including Verona Pharma’s ongoing development of ensifentrine and any other product candidates and combinations, and the uncertainty of clinical success.</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Verona Pharma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Verona Pharma’s Annual Report on Form 10-K for the year ended December 31, 2024 and Verona Pharma’s other filings with the SEC.</w:t>
      </w:r>
    </w:p>
    <w:p>
      <w:pPr>
        <w:sectPr>
          <w:pgSz w:w="11900" w:h="16838" w:orient="portrait"/>
          <w:cols w:equalWidth="0" w:num="1">
            <w:col w:w="10920"/>
          </w:cols>
          <w:pgMar w:left="440" w:top="270" w:right="539" w:bottom="1440" w:gutter="0" w:footer="0" w:header="0"/>
        </w:sectPr>
      </w:pPr>
    </w:p>
    <w:bookmarkStart w:id="5" w:name="page6"/>
    <w:bookmarkEnd w:id="5"/>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5"/>
    </w:lvl>
    <w:lvl w:ilvl="1">
      <w:lvlJc w:val="left"/>
      <w:lvlText w:val="%2."/>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2025-09-11T05:42:07Z</dcterms:created>
  <dcterms:modified xsi:type="dcterms:W3CDTF">2025-09-11T05:42:07Z</dcterms:modified>
</cp:coreProperties>
</file>