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5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EBSWORTH DAVID R</w:t>
              </w:r>
            </w:hyperlink>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ind w:left="60"/>
              <w:spacing w:after="0" w:line="162"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Verona Pharma plc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VRNA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60"/>
              <w:spacing w:after="0" w:line="131"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40" w:type="dxa"/>
            <w:vAlign w:val="bottom"/>
            <w:gridSpan w:val="4"/>
            <w:vMerge w:val="restart"/>
          </w:tcPr>
          <w:p>
            <w:pPr>
              <w:ind w:left="200"/>
              <w:spacing w:after="0" w:line="131"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020" w:type="dxa"/>
            <w:vAlign w:val="bottom"/>
          </w:tcPr>
          <w:p>
            <w:pPr>
              <w:spacing w:after="0"/>
              <w:rPr>
                <w:sz w:val="18"/>
                <w:szCs w:val="18"/>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04/28/2022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17"/>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40" w:type="dxa"/>
            <w:vAlign w:val="bottom"/>
          </w:tcPr>
          <w:p>
            <w:pPr>
              <w:ind w:left="120"/>
              <w:spacing w:after="0" w:line="200" w:lineRule="exact"/>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0.5038</w:t>
            </w:r>
            <w:r>
              <w:rPr>
                <w:rFonts w:ascii="Times New Roman" w:cs="Times New Roman" w:eastAsia="Times New Roman" w:hAnsi="Times New Roman"/>
                <w:sz w:val="20"/>
                <w:szCs w:val="20"/>
                <w:color w:val="008000"/>
                <w:w w:val="91"/>
                <w:vertAlign w:val="superscript"/>
              </w:rPr>
              <w:t>(1)</w:t>
            </w:r>
          </w:p>
        </w:tc>
        <w:tc>
          <w:tcPr>
            <w:tcW w:w="12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04/27/2032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0000FF"/>
              </w:rPr>
              <w:t>200,000</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and becomes exercisable as to 25% on each of July 28, 2022, October 28, 2022, January 28, 2023 and April 28, 2023.</w:t>
      </w:r>
    </w:p>
    <w:p>
      <w:pPr>
        <w:spacing w:after="0" w:line="6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for David R. Ebsworth</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10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2022-04-29T22:54:38Z</dcterms:created>
  <dcterms:modified xsi:type="dcterms:W3CDTF">2022-04-29T22:54:38Z</dcterms:modified>
</cp:coreProperties>
</file>