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7047230" cy="4822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82282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ACKERMANN CHRISTINA</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Verona Pharma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VRNA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05/14/2025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9" w:lineRule="exact"/>
        <w:rPr>
          <w:sz w:val="24"/>
          <w:szCs w:val="24"/>
          <w:color w:val="auto"/>
        </w:rPr>
      </w:pPr>
    </w:p>
    <w:p>
      <w:pPr>
        <w:sectPr>
          <w:pgSz w:w="11900" w:h="16838" w:orient="portrait"/>
          <w:cols w:equalWidth="0" w:num="3">
            <w:col w:w="3180" w:space="720"/>
            <w:col w:w="3116" w:space="720"/>
            <w:col w:w="3344"/>
          </w:cols>
          <w:pgMar w:left="460" w:top="216" w:right="359" w:bottom="1440" w:gutter="0" w:footer="0" w:header="0"/>
          <w:type w:val="continuous"/>
        </w:sectPr>
      </w:pPr>
    </w:p>
    <w:p>
      <w:pPr>
        <w:spacing w:after="0" w:line="230"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SE1 2RE</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386"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8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1"/>
                <w:szCs w:val="11"/>
                <w:color w:val="auto"/>
              </w:rPr>
            </w:pPr>
          </w:p>
        </w:tc>
        <w:tc>
          <w:tcPr>
            <w:tcW w:w="1040" w:type="dxa"/>
            <w:vAlign w:val="bottom"/>
          </w:tcPr>
          <w:p>
            <w:pPr>
              <w:ind w:left="2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4"/>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ind w:left="780"/>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7"/>
                <w:szCs w:val="17"/>
                <w:color w:val="0000FF"/>
              </w:rPr>
              <w:t>05/14/2025</w:t>
            </w:r>
          </w:p>
        </w:tc>
        <w:tc>
          <w:tcPr>
            <w:tcW w:w="10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40,000</w:t>
            </w:r>
          </w:p>
        </w:tc>
        <w:tc>
          <w:tcPr>
            <w:tcW w:w="6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1.9338</w:t>
            </w:r>
          </w:p>
        </w:tc>
        <w:tc>
          <w:tcPr>
            <w:tcW w:w="1260" w:type="dxa"/>
            <w:vAlign w:val="bottom"/>
            <w:tcBorders>
              <w:bottom w:val="single" w:sz="8" w:color="2C2C2C"/>
            </w:tcBorders>
            <w:gridSpan w:val="3"/>
          </w:tcPr>
          <w:p>
            <w:pPr>
              <w:jc w:val="right"/>
              <w:ind w:right="342"/>
              <w:spacing w:after="0"/>
              <w:rPr>
                <w:sz w:val="20"/>
                <w:szCs w:val="20"/>
                <w:color w:val="auto"/>
              </w:rPr>
            </w:pPr>
            <w:r>
              <w:rPr>
                <w:rFonts w:ascii="Times New Roman" w:cs="Times New Roman" w:eastAsia="Times New Roman" w:hAnsi="Times New Roman"/>
                <w:sz w:val="17"/>
                <w:szCs w:val="17"/>
                <w:color w:val="0000FF"/>
              </w:rPr>
              <w:t>81,880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7"/>
                <w:szCs w:val="17"/>
                <w:color w:val="0000FF"/>
              </w:rPr>
              <w:t>05/14/2025</w:t>
            </w:r>
          </w:p>
        </w:tc>
        <w:tc>
          <w:tcPr>
            <w:tcW w:w="10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40,000</w:t>
            </w:r>
          </w:p>
        </w:tc>
        <w:tc>
          <w:tcPr>
            <w:tcW w:w="6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8.44</w:t>
            </w:r>
            <w:r>
              <w:rPr>
                <w:rFonts w:ascii="Times New Roman" w:cs="Times New Roman" w:eastAsia="Times New Roman" w:hAnsi="Times New Roman"/>
                <w:sz w:val="21"/>
                <w:szCs w:val="21"/>
                <w:color w:val="008000"/>
                <w:w w:val="97"/>
                <w:vertAlign w:val="superscript"/>
              </w:rPr>
              <w:t>(3)</w:t>
            </w:r>
          </w:p>
        </w:tc>
        <w:tc>
          <w:tcPr>
            <w:tcW w:w="1260" w:type="dxa"/>
            <w:vAlign w:val="bottom"/>
            <w:tcBorders>
              <w:bottom w:val="single" w:sz="8" w:color="2C2C2C"/>
            </w:tcBorders>
            <w:gridSpan w:val="3"/>
          </w:tcPr>
          <w:p>
            <w:pPr>
              <w:jc w:val="center"/>
              <w:ind w:right="262"/>
              <w:spacing w:after="0"/>
              <w:rPr>
                <w:sz w:val="20"/>
                <w:szCs w:val="20"/>
                <w:color w:val="auto"/>
              </w:rPr>
            </w:pPr>
            <w:r>
              <w:rPr>
                <w:rFonts w:ascii="Times New Roman" w:cs="Times New Roman" w:eastAsia="Times New Roman" w:hAnsi="Times New Roman"/>
                <w:sz w:val="17"/>
                <w:szCs w:val="17"/>
                <w:color w:val="0000FF"/>
              </w:rPr>
              <w:t>41,880</w:t>
            </w:r>
            <w:r>
              <w:rPr>
                <w:rFonts w:ascii="Times New Roman" w:cs="Times New Roman" w:eastAsia="Times New Roman" w:hAnsi="Times New Roman"/>
                <w:sz w:val="21"/>
                <w:szCs w:val="21"/>
                <w:color w:val="008000"/>
                <w:vertAlign w:val="superscript"/>
              </w:rPr>
              <w:t>(4)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0"/>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4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4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4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4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Pr>
          <w:p>
            <w:pPr>
              <w:ind w:left="140"/>
              <w:spacing w:after="0"/>
              <w:rPr>
                <w:sz w:val="20"/>
                <w:szCs w:val="20"/>
                <w:color w:val="auto"/>
              </w:rPr>
            </w:pPr>
            <w:r>
              <w:rPr>
                <w:rFonts w:ascii="Arial" w:cs="Arial" w:eastAsia="Arial" w:hAnsi="Arial"/>
                <w:sz w:val="11"/>
                <w:szCs w:val="11"/>
                <w:b w:val="1"/>
                <w:bCs w:val="1"/>
                <w:color w:val="auto"/>
              </w:rPr>
              <w:t>of (D) (Instr. 3,</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Pr>
          <w:p>
            <w:pPr>
              <w:ind w:left="140"/>
              <w:spacing w:after="0"/>
              <w:rPr>
                <w:sz w:val="20"/>
                <w:szCs w:val="20"/>
                <w:color w:val="auto"/>
              </w:rPr>
            </w:pPr>
            <w:r>
              <w:rPr>
                <w:rFonts w:ascii="Arial" w:cs="Arial" w:eastAsia="Arial" w:hAnsi="Arial"/>
                <w:sz w:val="11"/>
                <w:szCs w:val="11"/>
                <w:b w:val="1"/>
                <w:bCs w:val="1"/>
                <w:color w:val="auto"/>
              </w:rPr>
              <w:t>4 and 5)</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04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Options</w:t>
            </w:r>
          </w:p>
        </w:tc>
        <w:tc>
          <w:tcPr>
            <w:tcW w:w="760" w:type="dxa"/>
            <w:vAlign w:val="bottom"/>
            <w:vMerge w:val="restart"/>
          </w:tcPr>
          <w:p>
            <w:pPr>
              <w:ind w:left="1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1.9338</w:t>
            </w:r>
            <w:r>
              <w:rPr>
                <w:rFonts w:ascii="Times New Roman" w:cs="Times New Roman" w:eastAsia="Times New Roman" w:hAnsi="Times New Roman"/>
                <w:sz w:val="21"/>
                <w:szCs w:val="21"/>
                <w:color w:val="008000"/>
                <w:vertAlign w:val="superscript"/>
              </w:rPr>
              <w:t>(5)</w:t>
            </w:r>
          </w:p>
        </w:tc>
        <w:tc>
          <w:tcPr>
            <w:tcW w:w="1060" w:type="dxa"/>
            <w:vAlign w:val="bottom"/>
            <w:vMerge w:val="restart"/>
          </w:tcPr>
          <w:p>
            <w:pPr>
              <w:jc w:val="right"/>
              <w:ind w:right="161"/>
              <w:spacing w:after="0"/>
              <w:rPr>
                <w:sz w:val="20"/>
                <w:szCs w:val="20"/>
                <w:color w:val="auto"/>
              </w:rPr>
            </w:pPr>
            <w:r>
              <w:rPr>
                <w:rFonts w:ascii="Times New Roman" w:cs="Times New Roman" w:eastAsia="Times New Roman" w:hAnsi="Times New Roman"/>
                <w:sz w:val="13"/>
                <w:szCs w:val="13"/>
                <w:color w:val="0000FF"/>
              </w:rPr>
              <w:t>05/14/2025</w:t>
            </w:r>
          </w:p>
        </w:tc>
        <w:tc>
          <w:tcPr>
            <w:tcW w:w="1100" w:type="dxa"/>
            <w:vAlign w:val="bottom"/>
          </w:tcPr>
          <w:p>
            <w:pPr>
              <w:spacing w:after="0"/>
              <w:rPr>
                <w:sz w:val="11"/>
                <w:szCs w:val="11"/>
                <w:color w:val="auto"/>
              </w:rPr>
            </w:pP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104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00FF"/>
              </w:rPr>
              <w:t>40,000</w:t>
            </w:r>
            <w:r>
              <w:rPr>
                <w:rFonts w:ascii="Times New Roman" w:cs="Times New Roman" w:eastAsia="Times New Roman" w:hAnsi="Times New Roman"/>
                <w:sz w:val="21"/>
                <w:szCs w:val="21"/>
                <w:color w:val="008000"/>
                <w:vertAlign w:val="superscript"/>
              </w:rPr>
              <w:t>(5)</w:t>
            </w: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04/28/2034</w:t>
            </w:r>
          </w:p>
        </w:tc>
        <w:tc>
          <w:tcPr>
            <w:tcW w:w="660" w:type="dxa"/>
            <w:vAlign w:val="bottom"/>
            <w:vMerge w:val="continue"/>
          </w:tcPr>
          <w:p>
            <w:pPr>
              <w:spacing w:after="0"/>
              <w:rPr>
                <w:sz w:val="11"/>
                <w:szCs w:val="11"/>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40,000</w:t>
            </w:r>
          </w:p>
        </w:tc>
        <w:tc>
          <w:tcPr>
            <w:tcW w:w="60" w:type="dxa"/>
            <w:vAlign w:val="bottom"/>
          </w:tcPr>
          <w:p>
            <w:pPr>
              <w:spacing w:after="0"/>
              <w:rPr>
                <w:sz w:val="11"/>
                <w:szCs w:val="11"/>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200,000</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tcPr>
          <w:p>
            <w:pPr>
              <w:ind w:left="60"/>
              <w:spacing w:after="0" w:line="167" w:lineRule="exact"/>
              <w:rPr>
                <w:sz w:val="20"/>
                <w:szCs w:val="20"/>
                <w:color w:val="auto"/>
              </w:rPr>
            </w:pPr>
            <w:r>
              <w:rPr>
                <w:rFonts w:ascii="Times New Roman" w:cs="Times New Roman" w:eastAsia="Times New Roman" w:hAnsi="Times New Roman"/>
                <w:sz w:val="12"/>
                <w:szCs w:val="12"/>
                <w:color w:val="0000FF"/>
              </w:rPr>
              <w:t>Shares</w:t>
            </w:r>
            <w:r>
              <w:rPr>
                <w:rFonts w:ascii="Times New Roman" w:cs="Times New Roman" w:eastAsia="Times New Roman" w:hAnsi="Times New Roman"/>
                <w:sz w:val="19"/>
                <w:szCs w:val="19"/>
                <w:color w:val="008000"/>
                <w:vertAlign w:val="superscript"/>
              </w:rPr>
              <w:t>(5)</w:t>
            </w:r>
          </w:p>
        </w:tc>
        <w:tc>
          <w:tcPr>
            <w:tcW w:w="5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instruction entered into on February 12, 2025.</w:t>
      </w:r>
    </w:p>
    <w:p>
      <w:pPr>
        <w:spacing w:after="0" w:line="41" w:lineRule="exact"/>
        <w:rPr>
          <w:rFonts w:ascii="Times New Roman" w:cs="Times New Roman" w:eastAsia="Times New Roman" w:hAnsi="Times New Roman"/>
          <w:sz w:val="13"/>
          <w:szCs w:val="13"/>
          <w:color w:val="008000"/>
        </w:rPr>
      </w:pPr>
    </w:p>
    <w:p>
      <w:pPr>
        <w:ind w:left="40" w:right="16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a weighted average price of the ADSs divided by eight (8). The securities were sold in multiple transactions at prices ranging from $8.3894 to $8.5688 per Ordinary Share, inclusive (or $67.115 to $68.55 per ADS, inclusive). The Reporting Person undertakes to provide to the Issuer, any securityholder of the Issuer, or the staff of the Securities and Exchange Commission, upon request, full information regarding the number of securities sold at each separate price within the range set forth in this footnote.</w:t>
      </w:r>
    </w:p>
    <w:p>
      <w:pPr>
        <w:spacing w:after="0" w:line="27"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41,880 Ordinary Shares represented by 5,235 ADSs.</w:t>
      </w:r>
    </w:p>
    <w:p>
      <w:pPr>
        <w:spacing w:after="0" w:line="41" w:lineRule="exact"/>
        <w:rPr>
          <w:rFonts w:ascii="Times New Roman" w:cs="Times New Roman" w:eastAsia="Times New Roman" w:hAnsi="Times New Roman"/>
          <w:sz w:val="13"/>
          <w:szCs w:val="13"/>
          <w:color w:val="008000"/>
        </w:rPr>
      </w:pPr>
    </w:p>
    <w:p>
      <w:pPr>
        <w:ind w:left="40" w:right="58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securities underlying the option and the exercise price therefor are listed in terms of Ordinary Shares, however, each security is represented by American Depositary Shares, each of which represents eight (8) Ordinary Shares of the Issuer.</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w:t>
      </w:r>
    </w:p>
    <w:p>
      <w:pPr>
        <w:ind w:left="6600"/>
        <w:spacing w:after="0" w:line="183" w:lineRule="auto"/>
        <w:rPr>
          <w:sz w:val="20"/>
          <w:szCs w:val="20"/>
          <w:color w:val="auto"/>
        </w:rPr>
      </w:pPr>
      <w:r>
        <w:rPr>
          <w:rFonts w:ascii="Times New Roman" w:cs="Times New Roman" w:eastAsia="Times New Roman" w:hAnsi="Times New Roman"/>
          <w:sz w:val="17"/>
          <w:szCs w:val="17"/>
          <w:color w:val="0000FF"/>
        </w:rPr>
        <w:t xml:space="preserve">/s/ Andrew Fisher, Attorney-in- </w:t>
      </w:r>
      <w:r>
        <w:rPr>
          <w:rFonts w:ascii="Times New Roman" w:cs="Times New Roman" w:eastAsia="Times New Roman" w:hAnsi="Times New Roman"/>
          <w:sz w:val="33"/>
          <w:szCs w:val="33"/>
          <w:color w:val="0000FF"/>
          <w:vertAlign w:val="subscript"/>
        </w:rPr>
        <w:t>05/16/2025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29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Christina Ackermann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-21590</wp:posOffset>
            </wp:positionV>
            <wp:extent cx="1237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3761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-86360</wp:posOffset>
            </wp:positionV>
            <wp:extent cx="480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81871"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2025-05-16T15:35:47Z</dcterms:created>
  <dcterms:modified xsi:type="dcterms:W3CDTF">2025-05-16T15:35:47Z</dcterms:modified>
</cp:coreProperties>
</file>