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2" w:lineRule="exact"/>
        <w:rPr>
          <w:sz w:val="24"/>
          <w:szCs w:val="24"/>
          <w:color w:val="auto"/>
        </w:rPr>
      </w:pPr>
    </w:p>
    <w:p>
      <w:pPr>
        <w:ind w:left="540" w:hanging="388"/>
        <w:spacing w:after="0"/>
        <w:tabs>
          <w:tab w:leader="none" w:pos="540" w:val="left"/>
        </w:tabs>
        <w:numPr>
          <w:ilvl w:val="0"/>
          <w:numId w:val="1"/>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ANNUAL REPORT PURSUANT TO SECTION 13 OR 15(d) OF THE SECURITIES EXCHANGE ACT OF 1934</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2024</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OR</w:t>
      </w:r>
    </w:p>
    <w:p>
      <w:pPr>
        <w:spacing w:after="0" w:line="16" w:lineRule="exact"/>
        <w:rPr>
          <w:sz w:val="24"/>
          <w:szCs w:val="24"/>
          <w:color w:val="auto"/>
        </w:rPr>
      </w:pPr>
    </w:p>
    <w:p>
      <w:pPr>
        <w:jc w:val="center"/>
        <w:ind w:left="5400" w:right="160" w:hanging="5231"/>
        <w:spacing w:after="0" w:line="256" w:lineRule="auto"/>
        <w:tabs>
          <w:tab w:leader="none" w:pos="562"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__________ TO __________</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001-38067</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Verona Pharma plc</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6"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360" w:type="dxa"/>
            <w:vAlign w:val="bottom"/>
          </w:tcPr>
          <w:p>
            <w:pPr>
              <w:jc w:val="center"/>
              <w:ind w:right="1437"/>
              <w:spacing w:after="0"/>
              <w:rPr>
                <w:sz w:val="20"/>
                <w:szCs w:val="20"/>
                <w:color w:val="auto"/>
              </w:rPr>
            </w:pPr>
            <w:r>
              <w:rPr>
                <w:rFonts w:ascii="Times New Roman" w:cs="Times New Roman" w:eastAsia="Times New Roman" w:hAnsi="Times New Roman"/>
                <w:sz w:val="18"/>
                <w:szCs w:val="18"/>
                <w:b w:val="1"/>
                <w:bCs w:val="1"/>
                <w:color w:val="auto"/>
                <w:w w:val="99"/>
              </w:rPr>
              <w:t>United Kingdom</w:t>
            </w:r>
          </w:p>
        </w:tc>
        <w:tc>
          <w:tcPr>
            <w:tcW w:w="3740" w:type="dxa"/>
            <w:vAlign w:val="bottom"/>
          </w:tcPr>
          <w:p>
            <w:pPr>
              <w:jc w:val="center"/>
              <w:ind w:left="1439"/>
              <w:spacing w:after="0"/>
              <w:rPr>
                <w:sz w:val="20"/>
                <w:szCs w:val="20"/>
                <w:color w:val="auto"/>
              </w:rPr>
            </w:pPr>
            <w:r>
              <w:rPr>
                <w:rFonts w:ascii="Times New Roman" w:cs="Times New Roman" w:eastAsia="Times New Roman" w:hAnsi="Times New Roman"/>
                <w:sz w:val="18"/>
                <w:szCs w:val="18"/>
                <w:b w:val="1"/>
                <w:bCs w:val="1"/>
                <w:color w:val="auto"/>
                <w:w w:val="98"/>
              </w:rPr>
              <w:t>98-1489389</w:t>
            </w:r>
          </w:p>
        </w:tc>
      </w:tr>
      <w:tr>
        <w:trPr>
          <w:trHeight w:val="193"/>
        </w:trPr>
        <w:tc>
          <w:tcPr>
            <w:tcW w:w="5360" w:type="dxa"/>
            <w:vAlign w:val="bottom"/>
          </w:tcPr>
          <w:p>
            <w:pPr>
              <w:jc w:val="center"/>
              <w:ind w:right="1437"/>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3740" w:type="dxa"/>
            <w:vAlign w:val="bottom"/>
          </w:tcPr>
          <w:p>
            <w:pPr>
              <w:jc w:val="center"/>
              <w:ind w:left="1459"/>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514"/>
        </w:trPr>
        <w:tc>
          <w:tcPr>
            <w:tcW w:w="5360" w:type="dxa"/>
            <w:vAlign w:val="bottom"/>
          </w:tcPr>
          <w:p>
            <w:pPr>
              <w:jc w:val="center"/>
              <w:ind w:right="1437"/>
              <w:spacing w:after="0"/>
              <w:rPr>
                <w:sz w:val="20"/>
                <w:szCs w:val="20"/>
                <w:color w:val="auto"/>
              </w:rPr>
            </w:pPr>
            <w:r>
              <w:rPr>
                <w:rFonts w:ascii="Times New Roman" w:cs="Times New Roman" w:eastAsia="Times New Roman" w:hAnsi="Times New Roman"/>
                <w:sz w:val="18"/>
                <w:szCs w:val="18"/>
                <w:b w:val="1"/>
                <w:bCs w:val="1"/>
                <w:color w:val="auto"/>
                <w:w w:val="99"/>
              </w:rPr>
              <w:t>3 More London Riverside</w:t>
            </w:r>
          </w:p>
        </w:tc>
        <w:tc>
          <w:tcPr>
            <w:tcW w:w="3740" w:type="dxa"/>
            <w:vAlign w:val="bottom"/>
          </w:tcPr>
          <w:p>
            <w:pPr>
              <w:spacing w:after="0"/>
              <w:rPr>
                <w:sz w:val="24"/>
                <w:szCs w:val="24"/>
                <w:color w:val="auto"/>
              </w:rPr>
            </w:pPr>
          </w:p>
        </w:tc>
      </w:tr>
      <w:tr>
        <w:trPr>
          <w:trHeight w:val="238"/>
        </w:trPr>
        <w:tc>
          <w:tcPr>
            <w:tcW w:w="5360" w:type="dxa"/>
            <w:vAlign w:val="bottom"/>
          </w:tcPr>
          <w:p>
            <w:pPr>
              <w:jc w:val="center"/>
              <w:ind w:right="1437"/>
              <w:spacing w:after="0"/>
              <w:rPr>
                <w:sz w:val="20"/>
                <w:szCs w:val="20"/>
                <w:color w:val="auto"/>
              </w:rPr>
            </w:pPr>
            <w:r>
              <w:rPr>
                <w:rFonts w:ascii="Times New Roman" w:cs="Times New Roman" w:eastAsia="Times New Roman" w:hAnsi="Times New Roman"/>
                <w:sz w:val="18"/>
                <w:szCs w:val="18"/>
                <w:b w:val="1"/>
                <w:bCs w:val="1"/>
                <w:color w:val="auto"/>
              </w:rPr>
              <w:t>London SE1 2RE United Kingdom</w:t>
            </w:r>
          </w:p>
        </w:tc>
        <w:tc>
          <w:tcPr>
            <w:tcW w:w="3740" w:type="dxa"/>
            <w:vAlign w:val="bottom"/>
          </w:tcPr>
          <w:p>
            <w:pPr>
              <w:jc w:val="center"/>
              <w:ind w:left="1459"/>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220"/>
        </w:trPr>
        <w:tc>
          <w:tcPr>
            <w:tcW w:w="5360" w:type="dxa"/>
            <w:vAlign w:val="bottom"/>
          </w:tcPr>
          <w:p>
            <w:pPr>
              <w:jc w:val="center"/>
              <w:ind w:right="143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740" w:type="dxa"/>
            <w:vAlign w:val="bottom"/>
          </w:tcPr>
          <w:p>
            <w:pPr>
              <w:jc w:val="center"/>
              <w:ind w:left="1439"/>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+44 203 283 4200</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59"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44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240" w:type="dxa"/>
            <w:vAlign w:val="bottom"/>
            <w:tcBorders>
              <w:bottom w:val="single" w:sz="8" w:color="auto"/>
            </w:tcBorders>
          </w:tcPr>
          <w:p>
            <w:pPr>
              <w:jc w:val="center"/>
              <w:ind w:left="59"/>
              <w:spacing w:after="0"/>
              <w:rPr>
                <w:sz w:val="20"/>
                <w:szCs w:val="20"/>
                <w:color w:val="auto"/>
              </w:rPr>
            </w:pPr>
            <w:r>
              <w:rPr>
                <w:rFonts w:ascii="Times New Roman" w:cs="Times New Roman" w:eastAsia="Times New Roman" w:hAnsi="Times New Roman"/>
                <w:sz w:val="18"/>
                <w:szCs w:val="18"/>
                <w:b w:val="1"/>
                <w:bCs w:val="1"/>
                <w:color w:val="auto"/>
              </w:rPr>
              <w:t>Trading Symbol</w:t>
            </w:r>
          </w:p>
        </w:tc>
        <w:tc>
          <w:tcPr>
            <w:tcW w:w="4560" w:type="dxa"/>
            <w:vAlign w:val="bottom"/>
            <w:tcBorders>
              <w:bottom w:val="single" w:sz="8" w:color="auto"/>
            </w:tcBorders>
          </w:tcPr>
          <w:p>
            <w:pPr>
              <w:jc w:val="center"/>
              <w:ind w:right="299"/>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0"/>
        </w:trPr>
        <w:tc>
          <w:tcPr>
            <w:tcW w:w="442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Ordinary shares, nominal value £0.05 per share*</w:t>
            </w:r>
          </w:p>
        </w:tc>
        <w:tc>
          <w:tcPr>
            <w:tcW w:w="2240" w:type="dxa"/>
            <w:vAlign w:val="bottom"/>
          </w:tcPr>
          <w:p>
            <w:pPr>
              <w:jc w:val="center"/>
              <w:ind w:left="59"/>
              <w:spacing w:after="0"/>
              <w:rPr>
                <w:sz w:val="20"/>
                <w:szCs w:val="20"/>
                <w:color w:val="auto"/>
              </w:rPr>
            </w:pPr>
            <w:r>
              <w:rPr>
                <w:rFonts w:ascii="Times New Roman" w:cs="Times New Roman" w:eastAsia="Times New Roman" w:hAnsi="Times New Roman"/>
                <w:sz w:val="14"/>
                <w:szCs w:val="14"/>
                <w:color w:val="auto"/>
              </w:rPr>
              <w:t>VRNA</w:t>
            </w:r>
          </w:p>
        </w:tc>
        <w:tc>
          <w:tcPr>
            <w:tcW w:w="4560" w:type="dxa"/>
            <w:vAlign w:val="bottom"/>
          </w:tcPr>
          <w:p>
            <w:pPr>
              <w:jc w:val="center"/>
              <w:ind w:right="299"/>
              <w:spacing w:after="0"/>
              <w:rPr>
                <w:sz w:val="20"/>
                <w:szCs w:val="20"/>
                <w:color w:val="auto"/>
              </w:rPr>
            </w:pPr>
            <w:r>
              <w:rPr>
                <w:rFonts w:ascii="Times New Roman" w:cs="Times New Roman" w:eastAsia="Times New Roman" w:hAnsi="Times New Roman"/>
                <w:sz w:val="14"/>
                <w:szCs w:val="14"/>
                <w:color w:val="auto"/>
              </w:rPr>
              <w:t>The Nasdaq Stock Market LLC (Nasdaq Global Market)</w:t>
            </w:r>
          </w:p>
        </w:tc>
      </w:tr>
    </w:tbl>
    <w:p>
      <w:pPr>
        <w:spacing w:after="0" w:line="190" w:lineRule="exact"/>
        <w:rPr>
          <w:sz w:val="24"/>
          <w:szCs w:val="24"/>
          <w:color w:val="auto"/>
        </w:rPr>
      </w:pPr>
    </w:p>
    <w:p>
      <w:pPr>
        <w:ind w:right="60" w:firstLine="8"/>
        <w:spacing w:after="0" w:line="271" w:lineRule="auto"/>
        <w:tabs>
          <w:tab w:leader="none" w:pos="108"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ordinary shares are represented by American Depositary Shares (each representing 8 ordinary shares), which are exempt from the operation of Section 12(a) of the Securities Exchange Act of 1934, as amended, pursuant to Rule 12a-8 thereunder.</w:t>
      </w: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Act: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None</w:t>
      </w:r>
    </w:p>
    <w:p>
      <w:pPr>
        <w:spacing w:after="0" w:line="205" w:lineRule="exact"/>
        <w:rPr>
          <w:sz w:val="24"/>
          <w:szCs w:val="24"/>
          <w:color w:val="auto"/>
        </w:rPr>
      </w:pPr>
    </w:p>
    <w:p>
      <w:pPr>
        <w:ind w:right="1800"/>
        <w:spacing w:after="0" w:line="246"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Indicate by check mark if the registrant is not required to file reports pursuant to Section 13 or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24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120"/>
        <w:spacing w:after="0" w:line="21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 w:lineRule="exact"/>
        <w:rPr>
          <w:sz w:val="24"/>
          <w:szCs w:val="24"/>
          <w:color w:val="auto"/>
        </w:rPr>
      </w:pPr>
    </w:p>
    <w:p>
      <w:pPr>
        <w:ind w:right="440"/>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8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Accelerated filer</w:t>
            </w:r>
          </w:p>
        </w:tc>
        <w:tc>
          <w:tcPr>
            <w:tcW w:w="1620" w:type="dxa"/>
            <w:vAlign w:val="bottom"/>
            <w:vMerge w:val="restart"/>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108"/>
        </w:trPr>
        <w:tc>
          <w:tcPr>
            <w:tcW w:w="3240" w:type="dxa"/>
            <w:vAlign w:val="bottom"/>
            <w:vMerge w:val="continue"/>
          </w:tcPr>
          <w:p>
            <w:pPr>
              <w:spacing w:after="0"/>
              <w:rPr>
                <w:sz w:val="9"/>
                <w:szCs w:val="9"/>
                <w:color w:val="auto"/>
              </w:rPr>
            </w:pPr>
          </w:p>
        </w:tc>
        <w:tc>
          <w:tcPr>
            <w:tcW w:w="2140" w:type="dxa"/>
            <w:vAlign w:val="bottom"/>
          </w:tcPr>
          <w:p>
            <w:pPr>
              <w:spacing w:after="0"/>
              <w:rPr>
                <w:sz w:val="9"/>
                <w:szCs w:val="9"/>
                <w:color w:val="auto"/>
              </w:rPr>
            </w:pPr>
          </w:p>
        </w:tc>
        <w:tc>
          <w:tcPr>
            <w:tcW w:w="3760" w:type="dxa"/>
            <w:vAlign w:val="bottom"/>
            <w:vMerge w:val="continue"/>
          </w:tcPr>
          <w:p>
            <w:pPr>
              <w:spacing w:after="0"/>
              <w:rPr>
                <w:sz w:val="9"/>
                <w:szCs w:val="9"/>
                <w:color w:val="auto"/>
              </w:rPr>
            </w:pPr>
          </w:p>
        </w:tc>
        <w:tc>
          <w:tcPr>
            <w:tcW w:w="1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38"/>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40" w:type="dxa"/>
            <w:vAlign w:val="bottom"/>
          </w:tcPr>
          <w:p>
            <w:pPr>
              <w:ind w:left="1620"/>
              <w:spacing w:after="0" w:line="181" w:lineRule="exact"/>
              <w:rPr>
                <w:sz w:val="20"/>
                <w:szCs w:val="20"/>
                <w:color w:val="auto"/>
              </w:rPr>
            </w:pPr>
            <w:r>
              <w:rPr>
                <w:rFonts w:ascii="MS PGothic" w:cs="MS PGothic" w:eastAsia="MS PGothic" w:hAnsi="MS PGothic"/>
                <w:sz w:val="18"/>
                <w:szCs w:val="18"/>
                <w:color w:val="auto"/>
              </w:rPr>
              <w:t>☐</w:t>
            </w:r>
          </w:p>
        </w:tc>
        <w:tc>
          <w:tcPr>
            <w:tcW w:w="376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Small reporting company</w:t>
            </w:r>
          </w:p>
        </w:tc>
        <w:tc>
          <w:tcPr>
            <w:tcW w:w="1620" w:type="dxa"/>
            <w:vAlign w:val="bottom"/>
            <w:vMerge w:val="restart"/>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5"/>
        </w:trPr>
        <w:tc>
          <w:tcPr>
            <w:tcW w:w="3240" w:type="dxa"/>
            <w:vAlign w:val="bottom"/>
            <w:vMerge w:val="continue"/>
          </w:tcPr>
          <w:p>
            <w:pPr>
              <w:spacing w:after="0"/>
              <w:rPr>
                <w:sz w:val="3"/>
                <w:szCs w:val="3"/>
                <w:color w:val="auto"/>
              </w:rPr>
            </w:pPr>
          </w:p>
        </w:tc>
        <w:tc>
          <w:tcPr>
            <w:tcW w:w="2140" w:type="dxa"/>
            <w:vAlign w:val="bottom"/>
          </w:tcPr>
          <w:p>
            <w:pPr>
              <w:spacing w:after="0"/>
              <w:rPr>
                <w:sz w:val="3"/>
                <w:szCs w:val="3"/>
                <w:color w:val="auto"/>
              </w:rPr>
            </w:pPr>
          </w:p>
        </w:tc>
        <w:tc>
          <w:tcPr>
            <w:tcW w:w="3760" w:type="dxa"/>
            <w:vAlign w:val="bottom"/>
            <w:vMerge w:val="continue"/>
          </w:tcPr>
          <w:p>
            <w:pPr>
              <w:spacing w:after="0"/>
              <w:rPr>
                <w:sz w:val="3"/>
                <w:szCs w:val="3"/>
                <w:color w:val="auto"/>
              </w:rPr>
            </w:pPr>
          </w:p>
        </w:tc>
        <w:tc>
          <w:tcPr>
            <w:tcW w:w="16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3"/>
        </w:trPr>
        <w:tc>
          <w:tcPr>
            <w:tcW w:w="3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620" w:type="dxa"/>
            <w:vAlign w:val="bottom"/>
          </w:tcPr>
          <w:p>
            <w:pPr>
              <w:ind w:left="146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spacing w:after="0" w:line="143"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right="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49"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44" w:lineRule="exact"/>
        <w:rPr>
          <w:sz w:val="24"/>
          <w:szCs w:val="24"/>
          <w:color w:val="auto"/>
        </w:rPr>
      </w:pPr>
    </w:p>
    <w:p>
      <w:pPr>
        <w:jc w:val="both"/>
        <w:spacing w:after="0"/>
        <w:rPr>
          <w:sz w:val="20"/>
          <w:szCs w:val="20"/>
          <w:color w:val="auto"/>
        </w:rPr>
      </w:pPr>
      <w:r>
        <w:rPr>
          <w:rFonts w:ascii="Times New Roman" w:cs="Times New Roman" w:eastAsia="Times New Roman" w:hAnsi="Times New Roman"/>
          <w:sz w:val="18"/>
          <w:szCs w:val="18"/>
          <w:color w:val="auto"/>
        </w:rPr>
        <w:t>The aggregate market value of the registrant's voting and non-voting common equity held by non-affiliates was approximately $1.1 billion as of June 30, 2024, the last business day of the registrant's most recently completed second fiscal quarter. Solely for purposes of this disclosure, shares held by executive officers, directors and certain shareholders of the registrant as of such date have been excluded because such persons or entities may be deemed to be affiliates of the registrant.</w:t>
      </w:r>
    </w:p>
    <w:p>
      <w:pPr>
        <w:spacing w:after="0" w:line="77" w:lineRule="exact"/>
        <w:rPr>
          <w:sz w:val="24"/>
          <w:szCs w:val="24"/>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As of February 24, 2025, the registrant had 679,831,046 ordinary shares, nominal value £0.05 per share, outstanding, which if all held in ADS form, would be represented by 84,978,881 American Depositary Shares, each representing eight (8) ordinary shares.</w:t>
      </w:r>
    </w:p>
    <w:p>
      <w:pPr>
        <w:sectPr>
          <w:pgSz w:w="11900" w:h="16838" w:orient="portrait"/>
          <w:cols w:equalWidth="0" w:num="1">
            <w:col w:w="11240"/>
          </w:cols>
          <w:pgMar w:left="320" w:top="1440" w:right="339" w:bottom="0" w:gutter="0" w:footer="0" w:header="0"/>
        </w:sectPr>
      </w:pPr>
    </w:p>
    <w:bookmarkStart w:id="1" w:name="page2"/>
    <w:bookmarkEnd w:id="1"/>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Portions of the registrant’s definitive proxy statement that the registrant intends to file with the Securities and Exchange Commission pursuant to Regulation 14A in connection with the registrant’s 2025 Annual Meeting of Shareholders are incorporated by reference into Part III of this Annual Report on Form 10-K to the extent stated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933450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2" w:name="page3"/>
    <w:bookmarkEnd w:id="2"/>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All references in this Annual Report on Form 10-K (the “Annual Report”), to “Verona,” the “Company,” the "group", “we,” “us” and “our” refer to Verona Pharma plc and its consolidated subsidiaries. In this Annual Report, the U.S. Securities and Exchange Commission is referred to as the “SEC”, the Securities Act of 1933, as amended, is referred to as the “Securities Act” and the Securities Exchange Act of 1934, as amended, is referred to as the “Exchange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 TRADENAMES AND SERVICE MARKS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Annual Report may include trademarks, tradenames and service marks that are the property of other organizations. Solely for convenience, trademarks and tradenames referred to in this Annual Report appear without the ® and ™ symbols, but those references are not intended to indicate, in any way, that we will not assert, to the fullest extent under applicable law, our rights or that the applicable owner will not assert its rights, to these trademarks and tradenames.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0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This Annual Report contains statements that constitute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All statements other than statements of historical facts contained in this Annual Report, including without limitation statements regarding our future results of operations and financial position, business strategy and plans and objectives of management for future operations, the commercial and marketing strategy of Ohtuvayre, market adoption of Ohtuvayre as a treatment for COPD; the ongoing development of ensifentrine and any other product candidates and combinations, including statements regarding the expected initiation, timing, progress and availability of data from our clinical trials and potential regulatory approvals and the expected regulations applicable to ensifentrine and any other product candidates, research and development costs, timing and likelihood of success, potential collaborations, the duration of our patent portfolio, our estimates regarding expenses, future revenues, capital requirements, debt service obligations and our need for additional financing, the funding we expect to become available and conditions under the 2024 Term Loans and RIPSA, and the sufficiency of our cash and cash equivalents to fund operations, are forward-looking statements.</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forward-looking statements in this Annual Report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Annual Report and are subject to a number of known and unknown risks, uncertainties and assumptions, including the important factors described under the sections in this Annual Report entitled “Risk Factors” and “Management’s Discussion and Analysis of Financial Condition and Results of Operations” and in our other filings with the SEC.</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Except as required by applicable law, we do not plan to publicly update or revise any forward-looking statements contained herein, whether as a result of any new information, future events, changed circumstances or otherwise. We intend the forward-looking statements contained in this Annual Report to be covered by the safe harbor provisions for forward-looking statements contained in Section 27A of the Securities Act and Section 21E of the Exchange Act. Additionally, certain information we may disclose (either herein or elsewhere) is informed by the expectations of various stakeholders or third-party frameworks and, as such, may not necessarily be material for purposes of our filings under U.S. federal securities laws, even if we use “material” or similar language in discussing such matters.</w:t>
      </w:r>
    </w:p>
    <w:p>
      <w:pPr>
        <w:spacing w:after="0" w:line="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Annual Report contains market data and industry forecasts that were obtained from industry publications. These data involve a number of assumptions and limitations, and you are cautioned not to give undue weight to such estimates. We have not independently verified any third-party information. While we believe the market position, market opportunity and market size information included in this Annual Report is generally reliable, such information is inherently imprecise.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939165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described in Part I, Item 1A. “Risk Factors” in this Annual Report. You should carefully consider these risks and uncertainties when investing in our ADSs. The principal risks and uncertainties affecting our business include the following:</w:t>
      </w:r>
    </w:p>
    <w:p>
      <w:pPr>
        <w:spacing w:after="0" w:line="76" w:lineRule="exact"/>
        <w:rPr>
          <w:sz w:val="20"/>
          <w:szCs w:val="20"/>
          <w:color w:val="auto"/>
        </w:rPr>
      </w:pPr>
    </w:p>
    <w:p>
      <w:pPr>
        <w:ind w:left="320" w:hanging="312"/>
        <w:spacing w:after="0"/>
        <w:tabs>
          <w:tab w:leader="none" w:pos="3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and have not generated any significant product revenue.</w:t>
      </w:r>
    </w:p>
    <w:p>
      <w:pPr>
        <w:spacing w:after="0" w:line="90"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6"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our credit facility place restrictions on our operating and financial flexibility, and our existing and any future indebtedness could adversely affect our ability to operate our business;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RIPSA place restrictions on our operating and financial flexibility, and if we fail to comply with certain covenants in the RIPSA, our results of operations and financial condition may be harmed;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solely on the success of ensifentrine, which was recently approved by the FDA as Ohtuvayre. If we are unable to continue to commercialize Ohtuvayre, or successfully develop ensifentrine for other indications, our ability to generate revenue and our financial condition will be adversely affected;</w:t>
      </w:r>
    </w:p>
    <w:p>
      <w:pPr>
        <w:spacing w:after="0" w:line="75"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incur additional costs or experience delays in completing, or ultimately be unable to complete, the development and commercialization of our product candidates;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product and product candidates may have serious adverse, undesirable or unacceptable side effects which may delay or prevent marketing approval;</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enroll patients in our clinical trials for other indications, or enrollment is slower than anticipated, our research and development efforts could be adversely affected;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become exposed to costly and damaging liability claims, either when testing ensifentrine in the clinic or at the commercial stage, and our product liability insurance may not cover all damages from such claims;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approval processes are lengthy, time consuming and inherently unpredictable, and if we are ultimately unable to obtain regulatory approval for our product candidates, our business will be substantially harmed;</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Enacted and future legislation may increase the difficulty and cost for us to obtain marketing approval of and commercialize our product candidates and may affect the prices we may set;</w:t>
      </w:r>
    </w:p>
    <w:p>
      <w:pPr>
        <w:spacing w:after="0" w:line="54"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competitive and rapidly changing industry, which may result in others discovering, developing or commercializing competing products before or more successfully than we do;</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including Ohtuvayre, do not gain market acceptance or if we fail to accurately forecast demand or manage our inventories, our business will suffer because we might not be able to fund future operations;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commercial capabilities and infrastructure, including sales, marketing, operations, manufacturing, distribution, and reimbursement infrastructure, may not be adequate to successfully commercialize Ohtuvayre;</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including independent clinical investigators and clinical research organizations, to conduct our pre-clinical studies and clinical trials;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spacing w:after="0" w:line="72" w:lineRule="exact"/>
        <w:rPr>
          <w:sz w:val="20"/>
          <w:szCs w:val="20"/>
          <w:color w:val="auto"/>
        </w:rPr>
      </w:pPr>
    </w:p>
    <w:p>
      <w:pPr>
        <w:ind w:left="332" w:right="20"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enter into new strategic relationships for ensifentrine, our business, research and development and commercialization prospects could be adversely affected;</w:t>
      </w:r>
    </w:p>
    <w:p>
      <w:pPr>
        <w:spacing w:after="0" w:line="40"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party manufacturers and suppliers for production of the active pharmaceutical ingredient ensifentrine and formulated drug products derived therefrom. Our dependence on these third parties may impair continued commercialization of Ohtuvayre and the advancement of our research and development programs;</w:t>
      </w:r>
    </w:p>
    <w:p>
      <w:pPr>
        <w:spacing w:after="0" w:line="55" w:lineRule="exact"/>
        <w:rPr>
          <w:rFonts w:ascii="Times New Roman" w:cs="Times New Roman" w:eastAsia="Times New Roman" w:hAnsi="Times New Roman"/>
          <w:sz w:val="18"/>
          <w:szCs w:val="18"/>
          <w:color w:val="auto"/>
        </w:rPr>
      </w:pPr>
    </w:p>
    <w:p>
      <w:pPr>
        <w:ind w:left="332"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and expect to continue to rely, on third parties for the sales, marketing, reimbursement and distribution of our drug products, and a failure by these third parties to adequately perform would adversely affect our business;</w:t>
      </w:r>
    </w:p>
    <w:p>
      <w:pPr>
        <w:spacing w:after="0" w:line="54" w:lineRule="exact"/>
        <w:rPr>
          <w:rFonts w:ascii="Times New Roman" w:cs="Times New Roman" w:eastAsia="Times New Roman" w:hAnsi="Times New Roman"/>
          <w:sz w:val="18"/>
          <w:szCs w:val="18"/>
          <w:color w:val="auto"/>
        </w:rPr>
      </w:pPr>
    </w:p>
    <w:p>
      <w:pPr>
        <w:ind w:left="332" w:hanging="332"/>
        <w:spacing w:after="0" w:line="250"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manufacturers’, suppliers’ and other critical third parties’ cybersecurity risk management program and processes may not be effective in protecting our systems, networks and Confidential Information;</w:t>
      </w:r>
    </w:p>
    <w:p>
      <w:pPr>
        <w:spacing w:after="0" w:line="68" w:lineRule="exact"/>
        <w:rPr>
          <w:rFonts w:ascii="Times New Roman" w:cs="Times New Roman" w:eastAsia="Times New Roman" w:hAnsi="Times New Roman"/>
          <w:sz w:val="18"/>
          <w:szCs w:val="18"/>
          <w:color w:val="auto"/>
        </w:rPr>
      </w:pPr>
    </w:p>
    <w:p>
      <w:pPr>
        <w:ind w:left="332" w:right="20"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on patents and other intellectual property rights to protect ensifentrine, the enforcement, defense and maintenance of which may be challenging and costly;</w:t>
      </w:r>
    </w:p>
    <w:p>
      <w:pPr>
        <w:spacing w:after="0" w:line="40"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55" w:lineRule="exact"/>
        <w:rPr>
          <w:rFonts w:ascii="Times New Roman" w:cs="Times New Roman" w:eastAsia="Times New Roman" w:hAnsi="Times New Roman"/>
          <w:sz w:val="18"/>
          <w:szCs w:val="18"/>
          <w:color w:val="auto"/>
        </w:rPr>
      </w:pPr>
    </w:p>
    <w:p>
      <w:pPr>
        <w:ind w:left="332"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identify relevant third-party patents or may incorrectly interpret the relevance, scope or expiration of a third-party patent which might adversely affect our ability to develop, manufacture and market ensifentrine;</w:t>
      </w:r>
    </w:p>
    <w:p>
      <w:pPr>
        <w:spacing w:after="0" w:line="54" w:lineRule="exact"/>
        <w:rPr>
          <w:rFonts w:ascii="Times New Roman" w:cs="Times New Roman" w:eastAsia="Times New Roman" w:hAnsi="Times New Roman"/>
          <w:sz w:val="18"/>
          <w:szCs w:val="18"/>
          <w:color w:val="auto"/>
        </w:rPr>
      </w:pPr>
    </w:p>
    <w:p>
      <w:pPr>
        <w:ind w:left="332" w:hanging="332"/>
        <w:spacing w:after="0" w:line="250"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ensifentrine, which could be expensive, time consuming and unsuccessful, and issued patents could be found invalid or unenforceable if challenged in court;</w:t>
      </w:r>
    </w:p>
    <w:p>
      <w:pPr>
        <w:spacing w:after="0" w:line="68"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growth and ability to compete depends on our ability to retain our key personnel and recruit additional qualified personnel;</w:t>
      </w:r>
    </w:p>
    <w:p>
      <w:pPr>
        <w:spacing w:after="0" w:line="90" w:lineRule="exact"/>
        <w:rPr>
          <w:rFonts w:ascii="Times New Roman" w:cs="Times New Roman" w:eastAsia="Times New Roman" w:hAnsi="Times New Roman"/>
          <w:sz w:val="18"/>
          <w:szCs w:val="18"/>
          <w:color w:val="auto"/>
        </w:rPr>
      </w:pPr>
    </w:p>
    <w:p>
      <w:pPr>
        <w:ind w:left="332"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expand our development, regulatory and sales and marketing capabilities, and as a result, we may encounter difficulties in managing our growth, which could disrupt our operations;</w:t>
      </w:r>
    </w:p>
    <w:p>
      <w:pPr>
        <w:spacing w:after="0" w:line="54" w:lineRule="exact"/>
        <w:rPr>
          <w:rFonts w:ascii="Times New Roman" w:cs="Times New Roman" w:eastAsia="Times New Roman" w:hAnsi="Times New Roman"/>
          <w:sz w:val="18"/>
          <w:szCs w:val="18"/>
          <w:color w:val="auto"/>
        </w:rPr>
      </w:pPr>
    </w:p>
    <w:p>
      <w:pPr>
        <w:ind w:left="312" w:hanging="312"/>
        <w:spacing w:after="0"/>
        <w:tabs>
          <w:tab w:leader="none" w:pos="31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American Depositary Shares may be volatile and may fluctuate due to factors beyond our control;</w:t>
      </w:r>
    </w:p>
    <w:p>
      <w:pPr>
        <w:spacing w:after="0" w:line="90" w:lineRule="exact"/>
        <w:rPr>
          <w:rFonts w:ascii="Times New Roman" w:cs="Times New Roman" w:eastAsia="Times New Roman" w:hAnsi="Times New Roman"/>
          <w:sz w:val="18"/>
          <w:szCs w:val="18"/>
          <w:color w:val="auto"/>
        </w:rPr>
      </w:pPr>
    </w:p>
    <w:p>
      <w:pPr>
        <w:ind w:left="332" w:right="20" w:hanging="332"/>
        <w:spacing w:after="0" w:line="266" w:lineRule="auto"/>
        <w:tabs>
          <w:tab w:leader="none" w:pos="32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incur increased costs as a result of operating as a public company in the United States, and our senior management are required to devote substantial time to new compliance initiatives and corporate governance practices; and</w:t>
      </w:r>
    </w:p>
    <w:p>
      <w:pPr>
        <w:spacing w:after="0" w:line="54"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could adversely affect our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956310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5" w:name="page6"/>
    <w:bookmarkEnd w:id="5"/>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380" w:type="dxa"/>
            <w:vAlign w:val="bottom"/>
            <w:gridSpan w:val="9"/>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Table of Contents</w:t>
            </w:r>
          </w:p>
        </w:tc>
        <w:tc>
          <w:tcPr>
            <w:tcW w:w="1080" w:type="dxa"/>
            <w:vAlign w:val="bottom"/>
            <w:shd w:val="clear" w:color="auto" w:fill="CCEEFF"/>
          </w:tcPr>
          <w:p>
            <w:pPr>
              <w:spacing w:after="0"/>
              <w:rPr>
                <w:sz w:val="19"/>
                <w:szCs w:val="19"/>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76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48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08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Page</w:t>
            </w:r>
          </w:p>
        </w:tc>
      </w:tr>
      <w:tr>
        <w:trPr>
          <w:trHeight w:val="210"/>
        </w:trPr>
        <w:tc>
          <w:tcPr>
            <w:tcW w:w="20" w:type="dxa"/>
            <w:vAlign w:val="bottom"/>
            <w:shd w:val="clear" w:color="auto" w:fill="CCEEFF"/>
          </w:tcPr>
          <w:p>
            <w:pPr>
              <w:spacing w:after="0"/>
              <w:rPr>
                <w:sz w:val="18"/>
                <w:szCs w:val="18"/>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w:t>
            </w: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Business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1A.</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Risk Factors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24</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1B.</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Unresolved Staff Comments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72</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1C.</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Cybersecurity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72</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2.</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Properties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73</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3.</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Legal Proceedings</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73</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73</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5.</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Market for Registrant’s Common Equity, Related Stockholder Matters and Issuer Purchases of Equity Securities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74</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780" w:type="dxa"/>
            <w:vAlign w:val="bottom"/>
            <w:tcBorders>
              <w:top w:val="single" w:sz="8" w:color="0000FF"/>
            </w:tcBorders>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6.</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[Reserved]</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75</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7.</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75</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7A.</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080" w:type="dxa"/>
            <w:vAlign w:val="bottom"/>
            <w:shd w:val="clear" w:color="auto" w:fill="CCEEFF"/>
          </w:tcPr>
          <w:p>
            <w:pPr>
              <w:spacing w:after="0"/>
              <w:rPr>
                <w:sz w:val="24"/>
                <w:szCs w:val="24"/>
                <w:color w:val="auto"/>
              </w:rPr>
            </w:pP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8.</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Financial Statements and Supplementary Data</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88</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9.</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Changes in and Disagreements with Accountants on Accounting and Financial Disclosure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88</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6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0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9A.</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88</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9B.</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Other Information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89</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9C.</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Disclosures Regarding Foreign Jurisdictions that Prevent Inspections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89</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30"/>
        </w:trPr>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III</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10.</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Directors, Executive Officers and Corporate Governance</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90</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11.</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Executive Compensation</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90</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12.</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 and Related Stockholder Matters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90</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Borders>
              <w:top w:val="single" w:sz="8" w:color="0000FF"/>
            </w:tcBorders>
          </w:tcPr>
          <w:p>
            <w:pPr>
              <w:spacing w:after="0"/>
              <w:rPr>
                <w:sz w:val="11"/>
                <w:szCs w:val="11"/>
                <w:color w:val="auto"/>
              </w:rPr>
            </w:pPr>
          </w:p>
        </w:tc>
        <w:tc>
          <w:tcPr>
            <w:tcW w:w="76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660" w:type="dxa"/>
            <w:vAlign w:val="bottom"/>
            <w:tcBorders>
              <w:top w:val="single" w:sz="8" w:color="0000FF"/>
            </w:tcBorders>
          </w:tcPr>
          <w:p>
            <w:pPr>
              <w:spacing w:after="0"/>
              <w:rPr>
                <w:sz w:val="11"/>
                <w:szCs w:val="11"/>
                <w:color w:val="auto"/>
              </w:rPr>
            </w:pPr>
          </w:p>
        </w:tc>
        <w:tc>
          <w:tcPr>
            <w:tcW w:w="480" w:type="dxa"/>
            <w:vAlign w:val="bottom"/>
            <w:tcBorders>
              <w:top w:val="single" w:sz="8" w:color="0000FF"/>
            </w:tcBorders>
          </w:tcPr>
          <w:p>
            <w:pPr>
              <w:spacing w:after="0"/>
              <w:rPr>
                <w:sz w:val="11"/>
                <w:szCs w:val="11"/>
                <w:color w:val="auto"/>
              </w:rPr>
            </w:pPr>
          </w:p>
        </w:tc>
        <w:tc>
          <w:tcPr>
            <w:tcW w:w="10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820" w:type="dxa"/>
            <w:vAlign w:val="bottom"/>
            <w:tcBorders>
              <w:top w:val="single" w:sz="8" w:color="0000FF"/>
            </w:tcBorders>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13.</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Certain Relationships and Related Transactions, and Director Independence</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90</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40" w:type="dxa"/>
            <w:vAlign w:val="bottom"/>
            <w:tcBorders>
              <w:top w:val="single" w:sz="8" w:color="0000FF"/>
            </w:tcBorders>
            <w:shd w:val="clear" w:color="auto" w:fill="CCEEFF"/>
          </w:tcPr>
          <w:p>
            <w:pPr>
              <w:spacing w:after="0"/>
              <w:rPr>
                <w:sz w:val="11"/>
                <w:szCs w:val="11"/>
                <w:color w:val="auto"/>
              </w:rPr>
            </w:pPr>
          </w:p>
        </w:tc>
        <w:tc>
          <w:tcPr>
            <w:tcW w:w="84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440" w:type="dxa"/>
            <w:vAlign w:val="bottom"/>
            <w:tcBorders>
              <w:top w:val="single" w:sz="8" w:color="0000FF"/>
            </w:tcBorders>
            <w:shd w:val="clear" w:color="auto" w:fill="CCEEFF"/>
          </w:tcPr>
          <w:p>
            <w:pPr>
              <w:spacing w:after="0"/>
              <w:rPr>
                <w:sz w:val="11"/>
                <w:szCs w:val="11"/>
                <w:color w:val="auto"/>
              </w:rPr>
            </w:pPr>
          </w:p>
        </w:tc>
        <w:tc>
          <w:tcPr>
            <w:tcW w:w="76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660" w:type="dxa"/>
            <w:vAlign w:val="bottom"/>
            <w:tcBorders>
              <w:top w:val="single" w:sz="8" w:color="0000FF"/>
            </w:tcBorders>
            <w:shd w:val="clear" w:color="auto" w:fill="CCEEFF"/>
          </w:tcPr>
          <w:p>
            <w:pPr>
              <w:spacing w:after="0"/>
              <w:rPr>
                <w:sz w:val="11"/>
                <w:szCs w:val="11"/>
                <w:color w:val="auto"/>
              </w:rPr>
            </w:pPr>
          </w:p>
        </w:tc>
        <w:tc>
          <w:tcPr>
            <w:tcW w:w="480" w:type="dxa"/>
            <w:vAlign w:val="bottom"/>
            <w:tcBorders>
              <w:top w:val="single" w:sz="8" w:color="0000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14.</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Principal Accounting Fees and Services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90</w:t>
            </w:r>
          </w:p>
        </w:tc>
      </w:tr>
      <w:tr>
        <w:trPr>
          <w:trHeight w:val="129"/>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29"/>
        </w:trPr>
        <w:tc>
          <w:tcPr>
            <w:tcW w:w="20" w:type="dxa"/>
            <w:vAlign w:val="bottom"/>
            <w:shd w:val="clear" w:color="auto" w:fill="CCEEFF"/>
          </w:tcPr>
          <w:p>
            <w:pPr>
              <w:spacing w:after="0"/>
              <w:rPr>
                <w:sz w:val="19"/>
                <w:szCs w:val="19"/>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 IV</w:t>
            </w:r>
          </w:p>
        </w:tc>
        <w:tc>
          <w:tcPr>
            <w:tcW w:w="6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97"/>
        </w:trPr>
        <w:tc>
          <w:tcPr>
            <w:tcW w:w="20" w:type="dxa"/>
            <w:vAlign w:val="bottom"/>
          </w:tcPr>
          <w:p>
            <w:pPr>
              <w:spacing w:after="0"/>
              <w:rPr>
                <w:sz w:val="24"/>
                <w:szCs w:val="24"/>
                <w:color w:val="auto"/>
              </w:rPr>
            </w:pPr>
          </w:p>
        </w:tc>
        <w:tc>
          <w:tcPr>
            <w:tcW w:w="7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15.</w:t>
            </w:r>
          </w:p>
        </w:tc>
        <w:tc>
          <w:tcPr>
            <w:tcW w:w="9380" w:type="dxa"/>
            <w:vAlign w:val="bottom"/>
            <w:gridSpan w:val="24"/>
          </w:tcPr>
          <w:p>
            <w:pPr>
              <w:ind w:left="660"/>
              <w:spacing w:after="0"/>
              <w:rPr>
                <w:sz w:val="20"/>
                <w:szCs w:val="20"/>
                <w:color w:val="auto"/>
              </w:rPr>
            </w:pPr>
            <w:r>
              <w:rPr>
                <w:rFonts w:ascii="Times New Roman" w:cs="Times New Roman" w:eastAsia="Times New Roman" w:hAnsi="Times New Roman"/>
                <w:sz w:val="18"/>
                <w:szCs w:val="18"/>
                <w:color w:val="0000FF"/>
              </w:rPr>
              <w:t>Exhibits, Financial Statement Schedules</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91</w:t>
            </w:r>
          </w:p>
        </w:tc>
      </w:tr>
      <w:tr>
        <w:trPr>
          <w:trHeight w:val="128"/>
        </w:trPr>
        <w:tc>
          <w:tcPr>
            <w:tcW w:w="20" w:type="dxa"/>
            <w:vAlign w:val="bottom"/>
          </w:tcPr>
          <w:p>
            <w:pPr>
              <w:spacing w:after="0"/>
              <w:rPr>
                <w:sz w:val="11"/>
                <w:szCs w:val="11"/>
                <w:color w:val="auto"/>
              </w:rPr>
            </w:pPr>
          </w:p>
        </w:tc>
        <w:tc>
          <w:tcPr>
            <w:tcW w:w="52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4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30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spacing w:after="0"/>
              <w:rPr>
                <w:sz w:val="11"/>
                <w:szCs w:val="11"/>
                <w:color w:val="auto"/>
              </w:rPr>
            </w:pPr>
          </w:p>
        </w:tc>
        <w:tc>
          <w:tcPr>
            <w:tcW w:w="84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8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76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0000FF"/>
              </w:rPr>
              <w:t>Item 16.</w:t>
            </w:r>
          </w:p>
        </w:tc>
        <w:tc>
          <w:tcPr>
            <w:tcW w:w="9380" w:type="dxa"/>
            <w:vAlign w:val="bottom"/>
            <w:gridSpan w:val="24"/>
            <w:shd w:val="clear" w:color="auto" w:fill="CCEEFF"/>
          </w:tcPr>
          <w:p>
            <w:pPr>
              <w:ind w:left="660"/>
              <w:spacing w:after="0"/>
              <w:rPr>
                <w:sz w:val="20"/>
                <w:szCs w:val="20"/>
                <w:color w:val="auto"/>
              </w:rPr>
            </w:pPr>
            <w:r>
              <w:rPr>
                <w:rFonts w:ascii="Times New Roman" w:cs="Times New Roman" w:eastAsia="Times New Roman" w:hAnsi="Times New Roman"/>
                <w:sz w:val="18"/>
                <w:szCs w:val="18"/>
                <w:color w:val="0000FF"/>
              </w:rPr>
              <w:t>Form 10-K Summary</w:t>
            </w:r>
          </w:p>
        </w:tc>
        <w:tc>
          <w:tcPr>
            <w:tcW w:w="1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92</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520" w:type="dxa"/>
            <w:vAlign w:val="bottom"/>
            <w:tcBorders>
              <w:top w:val="single" w:sz="8" w:color="0000FF"/>
            </w:tcBorders>
            <w:shd w:val="clear" w:color="auto" w:fill="CCEEFF"/>
          </w:tcPr>
          <w:p>
            <w:pPr>
              <w:spacing w:after="0"/>
              <w:rPr>
                <w:sz w:val="11"/>
                <w:szCs w:val="11"/>
                <w:color w:val="auto"/>
              </w:rPr>
            </w:pPr>
          </w:p>
        </w:tc>
        <w:tc>
          <w:tcPr>
            <w:tcW w:w="8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60" w:type="dxa"/>
            <w:vAlign w:val="bottom"/>
            <w:tcBorders>
              <w:top w:val="single" w:sz="8" w:color="0000FF"/>
            </w:tcBorders>
            <w:shd w:val="clear" w:color="auto" w:fill="CCEEFF"/>
          </w:tcPr>
          <w:p>
            <w:pPr>
              <w:spacing w:after="0"/>
              <w:rPr>
                <w:sz w:val="11"/>
                <w:szCs w:val="11"/>
                <w:color w:val="auto"/>
              </w:rPr>
            </w:pPr>
          </w:p>
        </w:tc>
        <w:tc>
          <w:tcPr>
            <w:tcW w:w="100" w:type="dxa"/>
            <w:vAlign w:val="bottom"/>
            <w:tcBorders>
              <w:top w:val="single" w:sz="8" w:color="0000FF"/>
            </w:tcBorders>
            <w:shd w:val="clear" w:color="auto" w:fill="CCEEFF"/>
          </w:tcPr>
          <w:p>
            <w:pPr>
              <w:spacing w:after="0"/>
              <w:rPr>
                <w:sz w:val="11"/>
                <w:szCs w:val="11"/>
                <w:color w:val="auto"/>
              </w:rPr>
            </w:pPr>
          </w:p>
        </w:tc>
        <w:tc>
          <w:tcPr>
            <w:tcW w:w="120" w:type="dxa"/>
            <w:vAlign w:val="bottom"/>
            <w:tcBorders>
              <w:top w:val="single" w:sz="8" w:color="0000FF"/>
            </w:tcBorders>
            <w:shd w:val="clear" w:color="auto" w:fill="CCEEFF"/>
          </w:tcPr>
          <w:p>
            <w:pPr>
              <w:spacing w:after="0"/>
              <w:rPr>
                <w:sz w:val="11"/>
                <w:szCs w:val="11"/>
                <w:color w:val="auto"/>
              </w:rPr>
            </w:pPr>
          </w:p>
        </w:tc>
        <w:tc>
          <w:tcPr>
            <w:tcW w:w="300" w:type="dxa"/>
            <w:vAlign w:val="bottom"/>
            <w:tcBorders>
              <w:top w:val="single" w:sz="8" w:color="0000FF"/>
            </w:tcBorders>
            <w:shd w:val="clear" w:color="auto" w:fill="CCEEFF"/>
          </w:tcPr>
          <w:p>
            <w:pPr>
              <w:spacing w:after="0"/>
              <w:rPr>
                <w:sz w:val="11"/>
                <w:szCs w:val="11"/>
                <w:color w:val="auto"/>
              </w:rPr>
            </w:pPr>
          </w:p>
        </w:tc>
        <w:tc>
          <w:tcPr>
            <w:tcW w:w="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0000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00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7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7"/>
              </w:rPr>
              <w:t>Signatures</w:t>
            </w: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1093470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Business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innovative therapeutics for the treatment of respiratory diseases with significant unmet medical needs.</w:t>
      </w:r>
    </w:p>
    <w:p>
      <w:pPr>
        <w:spacing w:after="0" w:line="5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U.S. Food and Drug Administration (“FDA”) approved Ohtuvayre (ensifentrine) for the maintenance treatment of chronic obstructive pulmonary disease (“COPD”) in adult patients and we launched Ohtuvayre in the U.S. through an exclusive network of accredited specialty pharmacies in August 2024. Ohtuvayre is the our first commercial product and the first inhaled therapy with a novel mechanism of action available for the maintenance treatment of COPD in more than 20 years.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are commercializing Ohtuvayre for the maintenance treatment of COPD in the U.S. Outside the U.S., we intend to license Ohtuvayre to companies with expertise and experience in developing and commercializing products in those regions. To that end, we have entered into a strategic collaboration with Nuance Pharma Limited, a Shanghai-based specialty pharmaceutical company (“Nuance Pharma”), to develop and commercialize ensifentrine, including Ohtuvayre, in Greater China. In February 2025, Nuance announced that Ohtuvayre was approved in Macau, the first approval outside of the U.S., for the maintenance treatment of COPD in adult patients. In addition, in September 2024, Nuance completed enrollment in its own pivotal Phase 3 trial evaluating ensifentrine for the maintenance treatment of COPD in China and results are expected in mid-2025.</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approval of Ohtuvayre in the U.S. was based on extensive data including the Phase 3 ENHANCE (“Ensifentrine as a Novel inHAled Nebulized COPD thErapy”) trials, the results of which have been published in the American Journal of Respiratory and Critical Care Medicine (“AJRCCM”). Ohtuvayre met the primary endpoint in both the ENHANCE-1 and ENHANCE-2 trials demonstrating statistically significant and clinically meaningful improvements in measures of lung function. In addition, other endpoint data demonstrated that Ohtuvayre substantially reduced the rate and risk of COPD exacerbations in ENHANCE-1 and ENHANCE-2. Ohtuvayre was well tolerated in both trials.</w:t>
      </w:r>
    </w:p>
    <w:p>
      <w:pPr>
        <w:spacing w:after="0" w:line="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2024, we presented additional analyses of data from the ENHANCE trials at international scientific conferences and the data were published in peer reviewed publications:</w:t>
      </w:r>
    </w:p>
    <w:p>
      <w:pPr>
        <w:spacing w:after="0" w:line="54" w:lineRule="exact"/>
        <w:rPr>
          <w:sz w:val="20"/>
          <w:szCs w:val="20"/>
          <w:color w:val="auto"/>
        </w:rPr>
      </w:pPr>
    </w:p>
    <w:p>
      <w:pPr>
        <w:jc w:val="both"/>
        <w:ind w:left="340" w:hanging="332"/>
        <w:spacing w:after="0" w:line="23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2024, we presented eight posters, including two mini oral symposia, highlighting additional pooled analyses of the ENHANCE studies at the American Thoracic Society International Conference (“ATS”) 2024. A pooled analysis demonstrating reductions in the rate and risk of exacerbations with Ohtuvayre was presented as part of the ‘Late Breaking Mini Symposium’ focusing on new breakthroughs. In addition, we hosted an exhibition booth exploring the role of PDE in inflammation and lung function impairment in COPD as well as three innovation hub presentations led by clinical experts. The abstracts were published on the ATS website and in the publication, AJRCCM;</w:t>
      </w:r>
    </w:p>
    <w:p>
      <w:pPr>
        <w:spacing w:after="0" w:line="80"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gave an oral presentation and presented three posters on additional analyses from the ENHANCE studies at the European Respiratory Society International Congress 2024. The analyses summarized the efficacy and safety of Ohtuvayre in subgroups of patients and a pooled analysis of patient reported outcomes demonstrated its effect on reducing cough and sputum. The abstracts were published in the publication, European Respiratory Journal; and</w:t>
      </w:r>
    </w:p>
    <w:p>
      <w:pPr>
        <w:spacing w:after="0" w:line="76"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gave four oral presentations and presented two posters on analyses from the ENHANCE studies at CHEST Annual Meeting 2024 (“CHEST”). These included subgroup data supporting improvements in lung function, symptoms and quality of life, as well as reductions in the rate of exacerbations, regardless of COPD severity (moderate or severe), smoking status (current or former) and chronic bronchitis (with or without). An analysis of Ohtuvayre’s impact on reducing exacerbation rates and COPD-related healthcare resource utilization was also presented. The analyses were published in the CHEST Annual Meeting on-line supplement.</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the third quarter of 2024, we initiated two Phase 2 clinical trials:</w:t>
      </w:r>
    </w:p>
    <w:p>
      <w:pPr>
        <w:spacing w:after="0" w:line="90" w:lineRule="exact"/>
        <w:rPr>
          <w:sz w:val="20"/>
          <w:szCs w:val="20"/>
          <w:color w:val="auto"/>
        </w:rPr>
      </w:pPr>
    </w:p>
    <w:p>
      <w:pPr>
        <w:ind w:left="340" w:hanging="332"/>
        <w:spacing w:after="0" w:line="266" w:lineRule="auto"/>
        <w:tabs>
          <w:tab w:leader="none" w:pos="3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dose-ranging trial with a glycopyrrolate, a Long-Acting Muscarinic Antagonist (“LAMA”), supporting a fixed-dose combination program with ensifentrine for the maintenance treatment of COPD via delivery in a nebulizer, and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7" w:name="page8"/>
    <w:bookmarkEnd w:id="7"/>
    <w:p>
      <w:pPr>
        <w:spacing w:after="0" w:line="72" w:lineRule="exact"/>
        <w:rPr>
          <w:sz w:val="20"/>
          <w:szCs w:val="20"/>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assessing the efficacy and safety of nebulized ensifentrine in patients with non-cystic fibrosis bronchiectasis (“bronchiectasis”).</w:t>
      </w:r>
    </w:p>
    <w:p>
      <w:pPr>
        <w:spacing w:after="0" w:line="9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Overview of COPD and current treatments</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COPD is a common, progressive, life-threatening respiratory disease without a cure. It causes loss of lung function, leading to debilitating breathlessness, hospitalizations, and death. COPD has a major impact on everyday life. Patients struggle with basic activities such as getting out of bed, showering, eating, and walking. Worldwide, COPD affects approximately 392 million people and is the third leading cause of death, according to the Global Initiative for Chronic Obstructive Lung Disease.</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goal of COPD pharmacological therapy is to improve patients’ quality of life by reducing symptoms, decreasing the quantity and severity of exacerbations (often an escalation of symptoms) and to improve patients’ ability to function.</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For approximately 40 years, the treatment of COPD has been dominated by three classes of inhaled therapies approved for use by the FDA and the European Commission based on the European Medicines Agency’s (“EMA”) opinion: anti-muscarinics, beta-agonists and inhaled corticosteroids (“ICSs”). COPD patients are frequently treated with bronchodilators, including LAMAs and long-acting beta-agonists (“LABAs”), to relieve airway constriction and make it easier to breathe. In addition, patients at risk for exacerbations may be prescribed ICSs to prevent them.</w:t>
      </w:r>
    </w:p>
    <w:p>
      <w:pPr>
        <w:spacing w:after="0" w:line="73" w:lineRule="exact"/>
        <w:rPr>
          <w:sz w:val="20"/>
          <w:szCs w:val="20"/>
          <w:color w:val="auto"/>
        </w:rPr>
      </w:pPr>
    </w:p>
    <w:p>
      <w:pPr>
        <w:jc w:val="both"/>
        <w:ind w:right="20"/>
        <w:spacing w:after="0" w:line="222" w:lineRule="auto"/>
        <w:rPr>
          <w:sz w:val="20"/>
          <w:szCs w:val="20"/>
          <w:color w:val="auto"/>
        </w:rPr>
      </w:pPr>
      <w:r>
        <w:rPr>
          <w:rFonts w:ascii="Times New Roman" w:cs="Times New Roman" w:eastAsia="Times New Roman" w:hAnsi="Times New Roman"/>
          <w:sz w:val="18"/>
          <w:szCs w:val="18"/>
          <w:color w:val="auto"/>
        </w:rPr>
        <w:t>Certain COPD patients are treated with the oral PDE4 inhibitor, roflumilast (Daliresp</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has demonstrated a reduction in exacerbation risk in patients with severe chronic bronchitis. However, oral PDE4 therapy results in systemic exposure, which has been associated with unfavorable gastrointestinal side-effects such as nausea, emesis, diarrhea, abdominal pain, loss of appetite and weight loss.</w:t>
      </w:r>
    </w:p>
    <w:p>
      <w:pPr>
        <w:spacing w:after="0" w:line="7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Approximately 8.6 million COPD patients in the U.S. receive LAMA, LABA, or ICS treatments alone or in combination regardless of COPD severity. Despite these medications and the earlier use of dual (LAMA / LABA) and triple (LAMA / LABA / ICS) therapies, many patients continue to suffer debilitating symptoms. According to a December 2022 study by Phreesia, 49% of patients continue to have symptoms more than 24 days a month. This burden leaves a significant opportunity for new inhaled therapies that offer additional benefit added to the three main classes of treatment. New treatment options are urgently needed to help improve lung function and symptoms, reduce exacerbations and improve overall quality of life in these patients.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Ensifentrine</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Ensifentrine is a first-in-class, inhaled, small molecule and selective, dual PDE3 and PDE4 inhibitor. This dual inhibition enables it to act as a bronchodilator and a non-steroidal anti-inflammatory agent in a single compound. Importantly, ensifentrine’s therapeutic profile differentiates it from existing classes of bronchodilator and anti-inflammatory treatments. We are not aware of any other single compound in clinical development in the U.S. or Europe or approved by the FDA nor the European Commission for the treatment of respiratory diseases that acts both as a bronchodilator and anti-inflammatory agent. Ensifentrine is the first novel inhaled mechanism approved for the maintenance treatment of COPD in over 20 years and the only bronchodilator option that can be added to existing classes of inhaled therapies including LAMA, LABA and ICS.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Safety profile</w:t>
      </w:r>
    </w:p>
    <w:p>
      <w:pPr>
        <w:spacing w:after="0" w:line="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Ensifentrine has been well tolerated in clinical trials involving approximately 3,000 subjects to date. Additionally, ensifentrine did not prolong the QT interval or impact other cardiac conduction parameters in a thorough QT study in healthy volunteers. It is delivered directly to the lungs by inhalation to maximize pulmonary exposure to ensifentrine while minimizing systemic exposure. This feature minimizes any systemic side-effects such as the gastrointestinal disturbance associated with oral PDE4 inhibitors. In addition, in non-clinical trials ensifentrine has demonstrated high selectivity for PDE3 and PDE4 over other enzymes and receptors, which is believed to minimize off-target effects.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Differentiated profile</w:t>
      </w:r>
    </w:p>
    <w:p>
      <w:pPr>
        <w:spacing w:after="0" w:line="9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By selectively inhibiting PDE3 and PDE4, ensifentrine impacts three key mechanisms in respiratory disease: bronchodilation, inflammation and mucociliary clearance. Ensifentrine is designed to increase the levels of cellular cAMP and cGMP in smooth muscle cells and inflammatory cells, resulting in bronchodilator and anti-inflammatory effects. Ensifentrine has also been shown to stimulate the cystic fibrosis transmembrane conductance regulator (“CFTR”), which is an ion channel in the epithelial cells lining the airways. Mutations in the CFTR protein result in poorly or non-functioning ion channels, which cause CF. CFTR dysfunction is also potentially important in COPD. CFTR stimulation leads to improved electrolyte balance in the lung and thinning of the mucus, which facilitates mucociliary clearance and leads to improved lung function and potentially a reduction in lung infections.</w:t>
      </w:r>
    </w:p>
    <w:p>
      <w:pPr>
        <w:spacing w:after="0" w:line="6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Dual inhibition of PDE3 and PDE4 has shown enhanced or synergistic effects compared with inhibition of either PDE alone on contraction of airway smooth muscle and suppression of inflammatory mediator release in several preclinical studies.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7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believe these enhanced effects may increase the utility of ensifentrine in the treatment of respiratory diseases including COPD, bronchiectasis, asthma and CF.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200660</wp:posOffset>
            </wp:positionV>
            <wp:extent cx="6249035" cy="3308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903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update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3 ENHANCE program</w:t>
      </w:r>
    </w:p>
    <w:p>
      <w:pPr>
        <w:spacing w:after="0" w:line="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approval of Ohtuvayre was based on extensive data including the Phase 3 ENHANCE trials, the results of which were published in the American Journal of Respiratory and Critical Care Medicine.</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reported positive top-line results from ENHANCE-2 and ENHANCE-1 in August and December 2022, respectively. Ohtuvayre successfully met the primary endpoints in both trials, demonstrating statistically significant and clinically meaningful improvements in measures of lung function in moderate to severe COPD patients. Improvements in symptoms and quality of life measures were shown in both trials, which reached statistical significance in ENHANCE-1. Other endpoint data showed Ohtuvayre substantially reduced the rate and risk of moderate to severe COPD exacerbations and was well tolerated in both trials.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ENHANCE trials were designed to evaluate Ohtuvayre as monotherapy and added onto a single bronchodilator. Each trial enrolled approximately 800 subjects, for a total of approximately 1,600 subjects, at sites primarily in the U.S. and Europe. The two trials provided replicate evidence of efficacy and safety data over 24 weeks and ENHANCE-1 also evaluated longer-term safety in approximately 400 subjects over 48 weeks.</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Subject demographics and disease characteristics were well balanced between treatment groups in both trials.</w:t>
      </w:r>
    </w:p>
    <w:p>
      <w:pPr>
        <w:spacing w:after="0" w:line="104" w:lineRule="exact"/>
        <w:rPr>
          <w:sz w:val="20"/>
          <w:szCs w:val="20"/>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ENHANCE-1 approximately 69% of subjects received background COPD therapy, either a LAMA or a LABA. Additionally, approximately 20% of all subjects received ICS with concomitant LAMA or LABA.</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ENHANCE-2 approximately 55% of subjects received background COPD therapy, either a LAMA or a LABA. Additionally, approximately 15% of all subjects received ICS with concomitant LAMA or LABA.</w:t>
      </w:r>
    </w:p>
    <w:p>
      <w:pPr>
        <w:spacing w:after="0" w:line="41" w:lineRule="exact"/>
        <w:rPr>
          <w:sz w:val="20"/>
          <w:szCs w:val="20"/>
          <w:color w:val="auto"/>
        </w:rPr>
      </w:pPr>
    </w:p>
    <w:p>
      <w:pPr>
        <w:jc w:val="both"/>
        <w:ind w:left="340" w:hanging="323"/>
        <w:spacing w:after="0" w:line="250" w:lineRule="auto"/>
        <w:rPr>
          <w:sz w:val="20"/>
          <w:szCs w:val="20"/>
          <w:color w:val="auto"/>
        </w:rPr>
      </w:pPr>
      <w:r>
        <w:rPr>
          <w:rFonts w:ascii="Times New Roman" w:cs="Times New Roman" w:eastAsia="Times New Roman" w:hAnsi="Times New Roman"/>
          <w:sz w:val="18"/>
          <w:szCs w:val="18"/>
          <w:color w:val="auto"/>
        </w:rPr>
        <w:t>We believe Ohtuvayre can change the treatment paradigm for COPD. The totality of data from clinical trials, in particular the top-line results from the ENHANCE program, including improvements in measures of lung function, symptoms, quality of life measures, and exacerbation reductions, coupled with the consistent safety results, support our belief.</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6172200" cy="33261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6172200" cy="3326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Formulations</w:t>
      </w:r>
    </w:p>
    <w:p>
      <w:pPr>
        <w:spacing w:after="0" w:line="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developed formulations of ensifentrine for the three most widely used inhalation devices: nebulizer, DPI and pMDI. The nebulized formulation of ensifentrine is designed for use in a standard jet nebulizer, not a proprietary device. Delivery of COPD medications by nebulizer is important because such medications can be used by adults of almost any age and dexterity and regardless of peak inspiratory flow, offering advantages to patients who struggle to operate handheld inhaler devices or have low peak inspiratory flow. DPI and pMDI handheld inhaler formats are relatively portable and convenient and are also important delivery mechanisms.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While we continue to focus on development of the nebulized formulation of ensifentrine, we believe the development of pMDI and DPI formulations of ensifentrine provides additional lifecycle opportunities including new potential indications, formulation combinations and collaborations. In February 2021, we reported positive results from the second, multiple dose part of a Phase 2 trial with pMDI ensifentrine in patients with moderate to severe COPD. Ensifentrine delivered by pMDI met all of the primary and secondary lung function endpoints. The improvement in lung function was dose-ordered and statistically significant at peak and over the 12-hour dosing interval compared with placebo, and supports twice-daily dosing of ensifentrine via pMDI for the treatment of COPD. Data from the single dose part of the study were reported in March 2020.</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successfully demonstrated proof of concept in Phase 2 COPD trials with all three formulations. In addition, the data from Phase 2 trials were consistent across the three formulations. All three dosage forms have demonstrated statistically significant and clinically meaningful improvements in lung function and duration of action, supporting twice-daily dosing and a safety profile similar to placebo.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6172200" cy="33343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172200" cy="3334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Clinical Development Activities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Ensifentrine / Long-Acting Muscarinic Antagonist fixed-dose combination</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Fixed-dose combination therapies such as LABA / LAMA, LABA / ICS and LABA / LAMA / ICS are commonly used in the treatment of COPD and, based on our market research, an unmet need exists for a nebulized fixed-dose combination therapy. We believe the combination of ensifentrine with a LAMA could provide COPD patients with the first nebulized fixed-dosed combination with the potential to provide bronchodilation through a dual mechanism and also non-steroidal anti-inflammatory effects via PDE inhibition.</w:t>
      </w:r>
    </w:p>
    <w:p>
      <w:pPr>
        <w:spacing w:after="0" w:line="7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developing a fixed-dose combination formulation with ensifentrine and glycopyrrolate, a LAMA, for the maintenance treatment of patients with COPD via delivery in a nebulizer. We have filed patent applications in multiple jurisdictions including the U.S.</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2024, we completed enrollment in a Phase 2 dose-ranging trial with glycopyrrolate, a LAMA, supporting a fixed-dose combination program for the maintenance treatment of COPD via a nebulizer. The glycopyrrolate dose-ranging trial has successfully completed and we plan to initiate a Phase 2b trial with a fixed dose combination of ensifentrine and glycopyrrolate in the second half of 2025.</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Non-cystic fibrosis bronchiectasis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Bronchiectasis is a chronic lung disease characterized by persistent cough, excess sputum production and frequent respiratory infections with more severe patients suffering exacerbations. The condition affects up to 500,000 adults in the U.S. and no therapies are specifically approved to treat it. Physicians currently use bronchodilators, antibiotics, steroids, mucus thinners and surgery.</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the clinical results of ensifentrine observed in patients with COPD, including improvements in lung function and symptoms of cough and sputum, we believe that ensifentrine could potentially be an effective treatment for bronchiectasis. In the third quarter of 2024, we began enrollment in a Phase 2 clinical trial to assess the efficacy and safety of nebulized ensifentrine in patients with bronchiectasis.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Potential additional indications for ensifentrine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1" w:name="page12"/>
    <w:bookmarkEnd w:id="11"/>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Cystic fibrosis and asthma</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COPD and bronchiectasis, we believe ensifentrine has potential applications in other respiratory diseases including CF and asthma providing pipeline expansion opportunities and the potential for collaborations outside the U.S.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CF is a progressive, fatal genetic disease without a cure and a median age of survival of 61 years. The condition is characterized by thick, sticky mucus that damages many of the body’s organs. It causes repeat and persistent lung infections that result in frequent exacerbations and hospitalizations. Other symptoms include malnutrition, constipation and diarrhea, and some adults develop diabetes, arthritis and liver problems.</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CF is the most common fatal inherited disease in the U.S. and Europe. Approximately 40,000 people in the U.S. and an estimated 105,000 people worldwide have been diagnosed with CF across more than 90 countries and approximately 1,000 new cases are diagnosed each year, according to the Cystic Fibrosis Foundation. The U.S. and European regulatory authorities consider CF to be a rare, or orphan, disease and provide incentives to encourage development of effective new treatments. CF patients endure multiple daily medications, frequent exacerbations and hospitalizations. Ultimately, selected patients have lung transplants.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 Phase 2a clinical trial, a single dose of nebulized ensifentrine demonstrated an improvement in lung function in patients with CF. In addition, in preclinical studies, ensifentrine activated the cystic fibrosis transmembrane conductance regulator (“CFTR”), which is beneficial in reducing mucous viscosity and improving mucociliary clearance. We believe these data support the continued development of ensifentrine as a potential therapy for CF.</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Asthma is a common chronic inflammatory lung condition that causes sporadic breathing difficulties. The disease causes narrowing and swelling of the airways leading to symptoms including difficulty breathing, wheezing, coughing and tightness in the chest. Exposure to triggers such as allergens or irritants can lead to asthma attacks.</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Asthma attacks vary in severity and frequency. More than 260 million people worldwide suffer from asthma and it is the most common chronic disease among children, according to estimates from the World Health Organization. Approximately 60% of adult asthmatics in the U.S. have uncontrolled asthma despite regularly taking medication. Although there is no cure, symptoms may be prevented by avoiding triggers and through established maintenance therapies including bronchodilators, ICS, anti-IgE agents and leukotriene inhibitors.</w:t>
      </w:r>
    </w:p>
    <w:p>
      <w:pPr>
        <w:spacing w:after="0" w:line="7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 xml:space="preserve">Ensifentrine has shown potential in a Phase 2a clinical trial in asthma. The data from this trial, published in October 2019 in the journal </w:t>
      </w:r>
      <w:r>
        <w:rPr>
          <w:rFonts w:ascii="Times New Roman" w:cs="Times New Roman" w:eastAsia="Times New Roman" w:hAnsi="Times New Roman"/>
          <w:sz w:val="18"/>
          <w:szCs w:val="18"/>
          <w:i w:val="1"/>
          <w:iCs w:val="1"/>
          <w:color w:val="auto"/>
        </w:rPr>
        <w:t>Pulmonary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Pharmacology &amp; Therapeutic</w:t>
      </w:r>
      <w:r>
        <w:rPr>
          <w:rFonts w:ascii="Times New Roman" w:cs="Times New Roman" w:eastAsia="Times New Roman" w:hAnsi="Times New Roman"/>
          <w:sz w:val="18"/>
          <w:szCs w:val="18"/>
          <w:color w:val="auto"/>
        </w:rPr>
        <w:t>s, demonstrated that ensifentrine produced dose-dependent improvements in lung function that were comparable to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rescue medication, high dose nebulized albuterol. Importantly, ensifentrine was well tolerated and patients experienced fewer systemic effects than those receiving albuterol.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team</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expert team has decades of experience in developing and commercializing respiratory therapeutics including the following COPD therapeutics: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Anoro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Flovent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Flutiform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Incruse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Serevent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Symbicort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Tudorza Pressair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Ventolin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do not have manufacturing facilities and rely on, and expect to continue to rely on, third-party contract manufacturing organizations (“CMOs”) for the supply of current good manufacturing practices (“cGMP”) compliant clinical trial materials of ensifentrine, and any future product candidates, as well as for commercial quantities of ensifentrine and any future product candidates, if approved.</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While we may contract with other CMOs in the future, we currently have one CMO for the manufacture of ensifentrine drug substance and one CMO for each formulation of ensifentrine.</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of our current CMOs have commercial scale manufacturing capabilities. We believe that the ensifentrine drug substance and drug product manufacturing processes can be transferred to other CMOs to produce clinical and commercial supplies in the ordinary course of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COMMERCIALIZATION</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Following approval of Ohtuvayre on June 26, 2024, we fully staffed our sales and field reimbursement teams with approximately 120 employees. In August 2024, Ohtuvayre was available through an exclusive network of accredited specialty pharmacies. Our personal and non-personal promotion is focused on promoting Ohtuvayre to the highest prescribing healthcare providers (“HCPs”) that treat large numbers of COPD patients. Our field representatives call on approximately 14,500 HCPs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comprised of pulmonologists, internal medicine, primary care, nurse practitioners and physician assistants. In addition to those promotional efforts, we launched speaker education programs and, at the end of 2024, had completed approximately 120 of these programs. Our teams have also supported the launch of Ohtuvayre through attendance at key national and regional pulmonary meetings.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the 2025 GOLD report added Ohtuvayre to the COPD treatment algorithm. Typically updated each year, this report provide a framework for physicians to diagnose, assess and manage treatment of COPD. Ohtuvayre’s inclusion in GOLD further supports our belief that Ohtuvayre can change the treatment paradigm for COPD.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Following the end of the fourth quarter, our permanent, product-specific J-code for Ohtuvayre became effective from January 1, 2025.</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Looking ahead, we will continue to focus on engaging with the highest prescribing HCPs through in-person or digital promotion and progress our patient engagement plans to support and accelerate the launch of Ohtuvayre.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United States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U.S., we are commercializing nebulized ensifentrine ourselves. Current maintenance COPD treatments in the U.S. generate over $10 billion in sales. In the U.S., approximately 8.6 million patients receive chronic maintenance treatment for COPD. These patients receive LAMAs, LABAs, and ICS products alone or in combination across all COPD severities. Despite the use of these therapies, approximately 50% of patients report having symptoms for more than 24 days a month. This burden is significant and highlights the need for new and novel mechanisms of actions to treat COPD patients. These patients need therapies that can help improve their lung function and symptoms. In addition to the number of patients that remain symptomatic, COPD places a tremendous burden on the U.S. healthcare system with approximately $50 billion in direct and indirect costs.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Based on our market research, conducted with U.S. healthcare providers and payers, we believe Ohtuvayre will be widely adopted with use as an add on therapy across all symptomatic patients regardless of COPD severity and treatment. Most of Ohtuvayre’s use is expected as an add on therapy to current patients who are on LAMA, LABA / ICS, LAMA / LABA, or triple therapy. This is due to the urgent unmet need for new therapies to help improve lung function, symptoms and quality of life in these patients. Our market research also suggests the majority of Ohtuvayre usage would be initially commenced by pulmonologists. Due to this focused prescriber base, we believe our field sales force of approximately 120 representatives will be able to reach the potential opportunity.</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International</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COPD affects approximately 392 million people worldwide with many patients remaining undiagnosed. Our strategy outside of the U.S. including Asia, Europe and Latin America, is to establish partnerships with leading companies that can support the further development and commercialization of ensifentrine in those regions.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June 2021, we executed on this strategy by entering into a strategic collaboration with Nuance Pharma, a Shanghai-based specialty pharmaceutical company, with a potential value of up to $219.0 million to develop and commercialize ensifentrine in Greater China. Under the terms of the agreement, we granted Nuance Pharma the exclusive rights to develop and commercialize ensifentrine in Greater China. In return, we received an aggregate $40.0 million upfront payment consisting of $25.0 million in cash and an equity interest valued at $15.0 million, as of June 9, 2021, in Nuance Biotech, the parent company of Nuance Pharma. We are eligible to receive further milestone payments of up to $179.0 million that are triggered upon achievement of certain clinical, regulatory and commercial milestones as well as tiered double-digit royalties on net sales in Greater China.</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Nuance Pharma is responsible for all costs related to clinical development and commercialization in Greater China. A joint steering committee has been established to ensure ensifentrine’s clinical development in the region aligns with our global development and commercialization strategy. In February 2025, Nuance Pharma announced that Ohtuvayre was approved in Macau, the first approval outside of the U.S., for the maintenance treatment of COPD in adult patients. In addition, in September 2024, Nuance Pharma completed enrollment in its own pivotal Phase 3 trial evaluating ensifentrine for the maintenance treatment of COPD in mainland China. Results from this trial are expected in 2025.</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pharmaceutical industry is characterized by rapidly advancing technologies, intense competition and a strong emphasis on proprietary drugs. We face potential competition from many different sources, including major pharmaceutical, specialty pharmaceutical and biotechnology companies, academic institutions, governmental agencies and public and private research institutions. Ohtuvayre is competing with existing treatments and new treatments that may become available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Ohtuvayre is a unique, first-in-class therapeutic candidate with both bronchodilator and non-steroidal anti-inflammatory properties in a single molecule. As far as we are aware, no other dual PDE3 and PDE4 inhibitor is on the market nor in clinical development in the U.S. or Europe. Based on initial launch data, Ohtuvayre is used across the patient spectrum regardless of severity. Our market research as well as early clinical use by HCPs, suggests that Ohtuvayre will be used as an add on therapy in symptomatic patients across all existing classes of therapies (LAMA, LABA, ICS). Some HCPs have indicated that as they become comfortable prescribing Ohtuvayre they would consider using it earlier in the treatment paradigm. This potentially includes use as a monotherapy as well as before ICS based on ensifentrine’s clinical profile.</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Consequently, we believe Ohtuvayre’s unique profile will enable it to compete with all approved COPD therapies including nebulized and handheld inhaler formulations, DPI and pMDI. Furthermore, because Ohtuvayre’s mechanism of action is complementary to available therapies, we believe it will be used in addition to these treatments.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the currently approved nebulizer products for the maintenance treatment of COPD, we consider ensifentrine’s potential competitors in the U.S.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market to be LABAs (Brovana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Perforomist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LAMAs (Yupelri</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p>
    <w:p>
      <w:pPr>
        <w:spacing w:after="0" w:line="13" w:lineRule="exact"/>
        <w:rPr>
          <w:sz w:val="20"/>
          <w:szCs w:val="20"/>
          <w:color w:val="auto"/>
        </w:rPr>
      </w:pPr>
    </w:p>
    <w:p>
      <w:pPr>
        <w:jc w:val="both"/>
        <w:spacing w:after="0" w:line="192" w:lineRule="auto"/>
        <w:rPr>
          <w:sz w:val="20"/>
          <w:szCs w:val="20"/>
          <w:color w:val="auto"/>
        </w:rPr>
      </w:pPr>
      <w:r>
        <w:rPr>
          <w:rFonts w:ascii="Times New Roman" w:cs="Times New Roman" w:eastAsia="Times New Roman" w:hAnsi="Times New Roman"/>
          <w:sz w:val="18"/>
          <w:szCs w:val="18"/>
          <w:color w:val="auto"/>
        </w:rPr>
        <w:t>In the DPI/pMDI maintenance treatment of COPD market, ensifentrine’s current closest potential competitors are Symbicort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AstraZeneca plc, Spiriva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long-acting anti-muscarinic bronchodilator marketed by Boehringer Ingelheim GmbH, Advair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GlaxoSmithKline plc, Breo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combination of a long-acting beta2-agonist bronchodilator and ICS marketed by GlaxoSmithKline, and Anoro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 combination of a long-acting beta2-agonist bronchodilator and long-acting anti-muscarinic bronchodilator marketed by GlaxoSmithKline. A triple-combination therapy of a LAMA, a LABA and ICS, developed by GlaxoSmithKline, Trelegy Ellipta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has been approved in the U.S. and the European Union and AstraZeneca also has a triple-therapy combination product (LAMA / LABA / ICS), Breztri Aerosphere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that was approved in the U.S. in July 2020, in the European Union in December 2020 and in China in December 2019. In addition, Chiesi’s triple-therapy combination product, Trimbow</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was approved in the European Union in 2017 and is in Phase 3 trials in the US.</w:t>
      </w:r>
    </w:p>
    <w:p>
      <w:pPr>
        <w:spacing w:after="0" w:line="74"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8"/>
          <w:szCs w:val="18"/>
          <w:color w:val="auto"/>
        </w:rPr>
        <w:t>In September 2024, the first injectable biologic, Sanofi’s anti-IL4, Dupixent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was approved in the U.S. for a subset of approximately 300,000 COPD patients with an eosinophilic phenotype. Other injectable biologics in Phase 3 trials for the prevention of COPD exacerbations include AstraZeneca’s anti-IL33, tozorakimab, GlaxoSmithKline’s anti-IL5, Nucala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Chiesi’s PDE4 inhibitor, tanimilast. We are also aware of several anti-inflammatories and bronchodilators that are in Phase 2 clinical trials for the treatment of COPD.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strive to protect and enhance the proprietary technologies, inventions and improvements that we believe are important to our business, including seeking, maintaining and defending patent rights, whether developed internally or licensed from third parties. Our policy is to seek to protect our proprietary position by, among other methods, pursuing and obtaining patent protection in the U.S. and in jurisdictions outside of the U.S. related to our proprietary technology, inventions, improvements, platforms and our product candidates that are important to the development and implementation of our business.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December 31, 2024, our patent portfolio included twelve issued U.S. patents, sixteen pending U.S. patent applications (including three U.S. provisional patent applications), ninety-seven issued foreign patents and eighty-three pending foreign applications (including eight international PCT applications). These patents and patent applications include claims directed to certain respirable formulations comprising ensifentrine, a crystalline form of ensifentrine, combinations of ensifentrine with certain respiratory drugs, certain salts and other solid forms of ensifentrine, and ensifentrine for use in certain treatments of particular respiratory disorders, with expected expiry dates up to 2045.</w:t>
      </w:r>
    </w:p>
    <w:p>
      <w:pPr>
        <w:spacing w:after="0" w:line="80"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We have registered “Verona Pharma” and its associated logo as trademarks in the U.S. and certain other key jurisdictions including the EU and UK. We have also registered “Ohtuvayre” and “Verona Pathway Plus”, including their respective logos, in the EU and UK and have made applications to register in the U.S. and certain other key jurisdictions.</w:t>
      </w:r>
    </w:p>
    <w:p>
      <w:pPr>
        <w:spacing w:after="0" w:line="76" w:lineRule="exact"/>
        <w:rPr>
          <w:sz w:val="20"/>
          <w:szCs w:val="20"/>
          <w:color w:val="auto"/>
        </w:rPr>
      </w:pPr>
    </w:p>
    <w:p>
      <w:pPr>
        <w:jc w:val="both"/>
        <w:spacing w:after="0" w:line="201" w:lineRule="exact"/>
        <w:rPr>
          <w:sz w:val="20"/>
          <w:szCs w:val="20"/>
          <w:color w:val="auto"/>
        </w:rPr>
      </w:pPr>
      <w:r>
        <w:rPr>
          <w:rFonts w:ascii="Times New Roman" w:cs="Times New Roman" w:eastAsia="Times New Roman" w:hAnsi="Times New Roman"/>
          <w:sz w:val="18"/>
          <w:szCs w:val="18"/>
          <w:color w:val="auto"/>
        </w:rPr>
        <w:t>Individual patents extend for varying periods depending on the date of filing of the patent application or the date of patent issuance and the legal term of patents in the countries in which they are obtained. Generally, patents issued for regularly filed applications in the U.S. are granted a term of 20 years from the earliest effective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provisional filing date. In addition, in certain instances, a patent term can be extended to recapture a portion of the U.S. Patent and Trademark Office, or the USPTO, delay in issuing the patent as well as a portion of the term effectively lost as a result of the FDA regulatory review period. However, as to the FDA component, the restoration period cannot be longer than five years and the total patent term including the restoration period must not exceed 14 years following FDA approval. The duration of foreign patents varies in accordance with provisions of applicable local law, but typically is also 20 years from the earliest effective filing date. However, the actual protection afforded by a patent varies on a product-by-product basis, from country to country and depends upon many factors, including the type of patent, the scope of its coverage, the availability of regulatory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extensions, the availability of legal remedies in a particular country and the validity and enforceability of the patent.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 an example of patent protection afforded to drug products, in the U.S., once a new drug application (or “NDA”) is approved for product, that product becomes a “reference listed drug” in the FDA’s publication, “Approved Drug Products with Therapeutic Equivalence Evaluations,” commonly known as the Orange Book. In seeking approval for an NDA, applicants are required to list with the FDA patents whose claims cover the applicant’s product. Upon approval of an NDA, each of the patents listed in the application for the product is then published in the Orange Book. Currently, there are three patents listed in the Orange Book for our product Ohtuvayre. Additional pending patent applications related to Ohtuvayre may result in granted patents that are eligible for Orange Book listing. The reference listed drug (and the patents listed in the Orange Book for such drug) may be cited by potential competitors in support of approval of an abbreviated new drug application (or “ANDA”) for a generic version of the reference listed drug. Any applicant who files an ANDA seeking approval of a generic equivalent version of a reference listed drug listed in the Orange Book must certify to the FDA that (1) no patent information on the drug or method of use that is the subject of the application has been submitted to the FDA; (2) such patent has expired; (3) the date on which such patent expires; or (4) such patent is invalid or will not be infringed upon by the manufacture, use or sale of the drug product for which the application is submitted. If the applicant does not challenge the listed patents or does not indicate that it is not seeking approval of a patented method of use, the ANDA will not be approved until all of the listed patents claiming the referenced listed drug have expired, or, if permissible, are carved out.</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Furthermore, 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26" w:lineRule="exact"/>
        <w:rPr>
          <w:sz w:val="20"/>
          <w:szCs w:val="20"/>
          <w:color w:val="auto"/>
        </w:rPr>
      </w:pPr>
    </w:p>
    <w:p>
      <w:pPr>
        <w:jc w:val="both"/>
        <w:spacing w:after="0" w:line="212" w:lineRule="exact"/>
        <w:rPr>
          <w:sz w:val="20"/>
          <w:szCs w:val="20"/>
          <w:color w:val="auto"/>
        </w:rPr>
      </w:pPr>
      <w:r>
        <w:rPr>
          <w:rFonts w:ascii="Times New Roman" w:cs="Times New Roman" w:eastAsia="Times New Roman" w:hAnsi="Times New Roman"/>
          <w:sz w:val="18"/>
          <w:szCs w:val="18"/>
          <w:color w:val="auto"/>
        </w:rPr>
        <w:t>Furthermore, we rely upon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continuing technological innovation to develop and maintain our competitive position. We seek to protect our proprietary information, in part, using confidentiality agreements with our collaborators, employees and consultants and invention assignment agreements with our employees. We also have confidentiality agreements or invention assignment agreements with our collaborators and selected consultants. These agreements are designed to protect our proprietary information and, in the case of the invention assignment agreements, to grant us ownership of technologies that are developed through a relationship with a third party. These agreements may be breached, and we may not have adequate remedies for any breach. In addition, our trade secrets may otherwise become known or be independently discovered by competitors. To the extent that our collaborators, employees and consultants use intellectual property owned by others in their work for us, disputes may arise as to the rights in related or resulting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inventions.</w:t>
      </w:r>
    </w:p>
    <w:p>
      <w:pPr>
        <w:spacing w:after="0" w:line="51" w:lineRule="exact"/>
        <w:rPr>
          <w:sz w:val="20"/>
          <w:szCs w:val="20"/>
          <w:color w:val="auto"/>
        </w:rPr>
      </w:pPr>
    </w:p>
    <w:p>
      <w:pPr>
        <w:jc w:val="both"/>
        <w:spacing w:after="0" w:line="203" w:lineRule="exact"/>
        <w:rPr>
          <w:sz w:val="20"/>
          <w:szCs w:val="20"/>
          <w:color w:val="auto"/>
        </w:rPr>
      </w:pPr>
      <w:r>
        <w:rPr>
          <w:rFonts w:ascii="Times New Roman" w:cs="Times New Roman" w:eastAsia="Times New Roman" w:hAnsi="Times New Roman"/>
          <w:sz w:val="18"/>
          <w:szCs w:val="18"/>
          <w:color w:val="auto"/>
        </w:rPr>
        <w:t>Our commercial success will also depend in part on not infringing upon the proprietary rights of third parties. It is uncertain whether the issuance of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would require us to alter our development or commercial strategies, or our drugs or processes, obtain licenses or cease certain activities. Our breach of any license agreements or failure to obtain a license to proprietary rights that we may require to develop or commercialize our future drugs may have an adverse impact on us. If third parties have prepared and filed patent applications prior to March 16, 2013 in the U.S. that also claim technology to which we have rights, we may have to participate in interference proceedings in the USPTO, to determine priority of invention. For more information, please see “Item 1A. Risk Factors - Risks Related to Intellectual Property and Information Technology.”</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 with Ligand (formerly Vernalis)</w:t>
      </w:r>
    </w:p>
    <w:p>
      <w:pPr>
        <w:spacing w:after="0" w:line="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February 2005, Rhinopharma Limited (“Rhinopharma”) entered into an assignment and license agreement with Ligand UK Development Limited (formerly Vernalis Development Limited) (“Ligand”), which since October 2018 has been a wholly owned subsidiary of Ligand Pharmaceuticals, Inc. In 2006, we acquired Rhinopharma and all its rights and liabilities under the assignment and license agreement. On March 24, 2022, we entered into an agreement with Ligand to amend the assignment and license agreement. We refer to the assignment and license agreement and the amendment agreement together as the Ligand Agreement. Pursuant to the Ligand Agreement, Ligand has assigned to us all its rights to certain patents and patent applications relating to ensifentrine and related compounds, or the Ligand Patents. We cannot further assign the Ligand Patents to a third party without Ligand’s prior consent. Ligand also granted to us an exclusive, worldwide, royalty-bearing license under certain Ligand know-how to develop, manufacture and commercialize products, or the Licensed Products, based on PDE inhibitors developed using Ligand Patents, Ligand know-how and the physical stock of certain compounds, including ensifentrine, which we refer to as the Program IP, in the treatment of human or animal allergic or inflammatory disorders. Pursuant to the Ligand Agreement, we must maintain the Ligand Patents and use commercially reasonable and diligent efforts to develop and commercialize the Licensed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 we agreed to pay to Ligand (i) $2.0 million within five business days of the date of the Amendment and (ii) $15.0 million upon the first commercial sale of ensifentrine by us or a sub-licensee, which amount is payable in cash or, at the our discretion, by the issuance of Company equity of equivalent value, as determined based on the volume-weighted average price of the our American Depositary Shares on the Nasdaq Global Market over the ten (10) trading days including and prior to such milestone event.</w:t>
      </w:r>
    </w:p>
    <w:p>
      <w:pPr>
        <w:spacing w:after="0" w:line="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paid the $2.0 million to Ligand in March 2022 and accounted for the $2.0 million payment at execution as selling, general and administrative expense as the payment related to a contract modification.</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Due to the FDA approval of Ohtuvayre, we paid Ligand $15.0 million related to a milestone payment for first commercial sale of ensifentrine and accounted for the payment as selling, general and administrative expense as the payment related to the resolution of the 2021 dispute with Ligand.</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paid Ligand $6.3 million in 2024 related to a milestone payment for the first regulatory approval of ensifentrine which was accounted for in research and development costs.</w:t>
      </w:r>
    </w:p>
    <w:p>
      <w:pPr>
        <w:spacing w:after="0" w:line="4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Ligand Agreement expires on March 24, 2042, unless terminated earlier by either party in accordance with its terms. Either party may terminate the Ligand Agreement for bankruptcy or insolvency of the other party, or for an uncured material breach of the other party, conditional upon the party seeking to terminate obtaining a final judgment of the English High Court declaring that the other party is in material breach of its obligations under the Ligand Agreement. We may terminate the Ligand Agreement upon 90 days' prior written notice. Ligand may terminate the Ligand Agreement if we notify Ligand of our intention to abandon any Ligand Patents or allow any Ligand Patents to lapse. Upon termination of the Ligand Agreement, we must cease use of any Program IP and assign the Ligand Patents and any improvements thereto back to Ligand, provided however, that any of our sublicensees shall have the right to enter into a direct license agreement with Ligand for the portion of the Program IP that was sub-licensed by such sub-licensee.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FDA and comparable regulatory authorities in state and local jurisdictions and in other countries impose substantial and burdensome requirements upon companies involved in the clinical development, manufacture, marketing and distribution of drugs such as those we are developing. These agencies and other federal, state and local and foreign entities regulate, among other things, the research and development, testing, manufacture, quality control, safety, effectiveness, labeling, storage, record keeping, approval, advertising and promotion, distribution, post-approval monitoring and reporting, sampling and export and import of our product candidates.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FDA drug approval process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U.S., the FDA regulates drugs under the Federal Food, Drug, and Cosmetic Act (“FDCA”) and its implementing regulations. The process of obtaining regulatory approvals and the subsequent compliance with applicable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to a variety of administrative or judicial sanctions, such as the FDA's refusal to file an application for review or non-approval of a pending new drug applications (“NDA”), withdrawal of an approval, imposition of a clinical hold, issuance of warning letters, product recalls, product seizures, total or partial suspension of production or distribution, injunctions, fines, refusals of government contracts, restitution, disgorgement or civil or criminal penalties.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process required by the FDA before a drug may be marketed in the United States generally involves the following:</w:t>
      </w:r>
    </w:p>
    <w:p>
      <w:pPr>
        <w:spacing w:after="0" w:line="104" w:lineRule="exact"/>
        <w:rPr>
          <w:sz w:val="20"/>
          <w:szCs w:val="20"/>
          <w:color w:val="auto"/>
        </w:rPr>
      </w:pPr>
    </w:p>
    <w:p>
      <w:pPr>
        <w:ind w:left="340" w:hanging="332"/>
        <w:spacing w:after="0" w:line="250"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non-clinical laboratory tests, animal studies, certain of which must be conducted and formulation studies in compliance with the FDA's good laboratory practice (“GLP”) regulations;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IND, which must become effective before human clinical trials may begin in the U.S.;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by an independent institutional review board (“IRB”) or ethics committee at each clinical site before each trial may be initiated;</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in accordance with good clinical practice (“GCP”) requirements to establish the safety and efficacy of the proposed drug product for each indication;</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NDA after completion of all pivotal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an FDA advisory committee review, if required by the FDA;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72" w:lineRule="exact"/>
        <w:rPr>
          <w:sz w:val="20"/>
          <w:szCs w:val="20"/>
          <w:color w:val="auto"/>
        </w:rPr>
      </w:pPr>
    </w:p>
    <w:p>
      <w:pPr>
        <w:jc w:val="both"/>
        <w:ind w:left="340" w:hanging="332"/>
        <w:spacing w:after="0" w:line="242"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is produced to assess compliance with current good manufacturing practice (“cGMP”) requirements and to assure that the facilities, methods and controls are adequate to preserve the drug's identity, strength, quality and purity, and potential inspection of selected clinical investigation sites to assess compliance with GCP; and</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NDA and U.S. Prescribing Information to permit commercial marketing of the product for particular indications for use in the U.S.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Non-clinical studies include laboratory evaluation of product chemistry, toxicity and formulation, as well as animal studies to assess potential safety and efficacy. An IND sponsor must submit the results of the non-clinical tests, together with manufacturing information, analytical data and any available clinical data or literature, among other things, to the FDA as part of an IND. An IND is a request for allowance from the FDA to ship in interstate commerce and administer an investigational drug product to humans. An IND automatically becomes effective 30 days after receipt by the FDA, unless before that time the FDA raises concerns or questions related to one or more proposed clinical trials and places the clinical trial on a clinical hold. In such a case, the IND sponsor and the FDA must resolve any outstanding concerns before the clinical trial can begin. As a result, submission of an IND may not result in the FDA allowing clinical trials to commence.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Clinical trials involve the administration of the investigational drug to human subjects under the supervision of qualified investigators in accordance with GCP requirements, which among other things, include the requirement that all research subjects or a legal representative provide their informed consent in writing for their participation in any clinical trial. Clinical trials are conducted under protocols detailing, among other things, the objectives or endpoints of the trial, the parameters to be used in monitoring safety, and the effectiveness criteria to be evaluated. A protocol for each clinical trial and any subsequent protocol amendments must be submitted to the FDA as part of the IND. While the IND is active, progress reports summarizing the results of the clinical trials and nonclinical studies performed since the last progress report, among other information, must be submitted at least annually to the FDA, and written IND safety reports must be submitted to the FDA and investigators for serious and unexpected suspected adverse events, findings from other studies suggesting a significant risk to humans exposed to the same or similar drugs, findings from animal or in vitro testing suggesting a significant risk to humans, and any clinically important increased incidence of a serious suspected adverse reaction compared to that listed in the protocol or investigator brochure.</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an IRB at each institution participating in the clinical trial must review and approve the plan for any clinical trial before it commences at that institution. Regulatory authorities, the IRB or the sponsor may suspend a clinical trial at any time on various grounds, including a finding that the subjects are being exposed to an unacceptable health risk or that the trial is unlikely to meet its stated objectives. Some studies also include oversight by an independent group of qualified experts organized by the clinical study sponsor, known as a data safety monitoring board, which reviews the data and recommends whether or not a study may move forward at designated checkpoints. It may halt the clinical trial if it determines that there is an unacceptable safety risk or on other grounds, such as no demonstration of efficacy. Information about certain clinical trials must be submitted within specific timeframes to the National Institutes of Health, or NIH, for public dissemination on their www.clinicaltrials.gov website.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 clinical trials are typically conducted in three phases, which may overlap or be combined:</w:t>
      </w:r>
    </w:p>
    <w:p>
      <w:pPr>
        <w:spacing w:after="0" w:line="104" w:lineRule="exact"/>
        <w:rPr>
          <w:sz w:val="20"/>
          <w:szCs w:val="20"/>
          <w:color w:val="auto"/>
        </w:rPr>
      </w:pPr>
    </w:p>
    <w:p>
      <w:pPr>
        <w:ind w:left="340" w:right="2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initially introduced into healthy human subjects or patients with the target disease or condition and tested for safety, dosage tolerance, absorption, metabolism, distribution, excretion and, if possible, to gain an early indication of its effectiveness.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administered to a limited patient population to identify possible adverse effects and safety risks, to preliminarily evaluate the efficacy of the product for specific targeted diseases and to determine dosage tolerance and optimal dosage.</w:t>
      </w:r>
    </w:p>
    <w:p>
      <w:pPr>
        <w:spacing w:after="0" w:line="54"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The drug candidate is administered to an expanded patient population, generally at geographically dispersed clinical trial sites, in well-controlled clinical trials to generate enough data to statistically evaluate the efficacy and safety of the product for approval, to establish the overall risk-benefit profile of the product, and to provide adequate information for the labeling of the product.</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Post-approval trials, sometimes referred to as Phase 4 studies, may be conducted after initial marketing approval. These trials are used to gain additional experience from the treatment of patients in the intended therapeutic indication. In certain instances, the FDA may mandate the performance of Phase 4 clinical trials as a condition of approval of an NDA.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During the development of a new drug, sponsors are given opportunities to meet with the FDA at certain points. These points may be prior to submission of an IND, at the end of Phase 2, and before an NDA is submitted. Meetings at other times may be requested. These meetings can provide an opportunity for the sponsor to share information about the data gathered to date, for the FDA to provide advice, and for the sponsor and the FDA to reach agreement on the next phase of development.</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drug and finalize a process for manufacturing the product in commercial quantities in accordance with cGMP requirements. The manufacturing process must be capable of consistently producing quality batches of the product candidate and, among other things, the manufacturer must develop methods for testing the identity, strength, quality and purity of the final drug. In addition, appropriate packaging must be selected and tested, and stability studies must be conducted to demonstrate that the product candidate does not undergo unacceptable deterioration over its shelf life.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Approval</w:t>
      </w:r>
    </w:p>
    <w:p>
      <w:pPr>
        <w:spacing w:after="0" w:line="10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Assuming successful completion of the required clinical testing, the results of the pre-clinical studies and clinical trials, together with detailed information relating to the product's chemistry, manufacture, controls and proposed labeling, among other things, are submitted to the FDA as part of an NDA requesting approval to market the product for one or more indications. In most cases, the submission of an NDA is subject to a substantial application user fee. In addition, the Pediatric Research Equity Act (PREA), requires a sponsor to conduct pediatric clinical trials for most drugs, for a new active ingredient, new indication, new dosage form, new dosing regimen or new route of administration. Under PREA, original NDAs and certain supplements must contain a pediatric assessment unless the sponsor has received a deferral or waiver. The required assessment must evaluate the safety and effectiveness of the product for the claimed indications in all relevant pediatric subpopulations and support dosing and administration for each pediatric subpopulation for which the product is deemed safe and effective. The sponsor or FDA may request a deferral of pediatric clinical trials for some or all of the pediatric subpopulations. A deferral may be granted for several reasons, including a finding that the drug is ready for approval for use in adults before pediatric clinical trials are complete or that additional safety or effectiveness data needs to be collected before the pediatric clinical trials begin. The FDA must send a non-compliance letter to any sponsor that fails to submit the required assessment, keep a deferral current or fails to submit a request for approval of a pediatric formulation.</w:t>
      </w:r>
    </w:p>
    <w:p>
      <w:pPr>
        <w:spacing w:after="0" w:line="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Once the submission is accepted for filing, the FDA begins an in-depth substantive review. The FDA reviews an NDA to determine, among other things, whether the drug is safe and effective and whether the facility in which it is manufactured, processed, packaged or held meets standards designed to assure the product's continued safety, quality and purity. Under the Prescription Drug User Fee Act guidelines that are currently in effect, the FDA has a goal of ten months from the date of “filing” of a standard NDA for a new molecular entity to review and act on the submission. This review typically takes twelve months from the date the NDA is submitted to FDA because the FDA has approximately two months to make a “filing” decision after it the application is submitted.</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FDA may refer an application for a novel drug to an advisory committee. An advisory committee is a panel of independent experts, including clinicians and other scientific experts, that reviews, evaluates and provides a recommendation as to whether the application should be approved and under what conditions. The FDA is not bound by the recommendations of an advisory committee, but it considers such recommendations carefully when making decisions.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an NDA, the FDA may inspect one or more clinical trial sites to assure compliance with GCP requirements.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After evaluating the NDA and all related information, including the advisory committee recommendation, if any, and inspection reports regarding the manufacturing facilities and clinical trial sites, the FDA may issue an approval letter, or, in some cases, a complete response letter. A complete response letter generally contains a statement of specific conditions that must be met in order to secure final approval of a resubmitted NDA and may require additional clinical or pre-clinical testing in order for FDA to reconsider the application. Even with submission of this additional information, the FDA ultimately may decide that the application does not satisfy the regulatory criteria for approval. If and when those conditions have been met to the FDA's satisfaction, the FDA will typically issue an approval letter. An approval letter authorizes commercial marketing of the drug with specific prescribing information for specific indications.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regulatory approval of a product is granted, such approval will be granted for particular indications and may entail limitations on the indicated uses for which such product may be marketed. For example, the FDA may approve the NDA with a Risk Evaluation and Mitigation Strategy (“REMS”) to ensure the benefits of the product outweigh its risks. A REMS is a safety strategy to manage a known or potential serious risk associated with a medicine and to enable patients to have continued access to such medicines by managing their safe use, and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The FDA may also require one or more Phase 4 post-market studies and surveillance to further assess and monitor the product’s safety and effectiveness after commercialization, and may limit further marketing of the product based on the results of these post-marketing studies.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Expedited Development and Review Programs</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FDA offers a number of expedited development and review programs for qualifying product candidates. For example, the fast track program is intended to expedite or facilitate the process for reviewing products that are intended to treat a serious or life-threatening disease or condition and demonstrate the potential to address unmet medical needs for the disease or condition. Fast track designation applies to the combination of the product candidate and the specific indication for which it is being studied. The sponsor of a fast track product candidate has opportunities for more frequent interactions with the applicable FDA review team during product development and, once an NDA is submitted, the application may be eligible for priority review. An NDA for a fast track product candidate may also be eligible for rolling review, where the FDA may consider for review sections of the NDA on a rolling basis before the complete application is submitted, if the sponsor provides a schedule for the submission of the sections of the NDA, the FDA agrees to accept sections of the NDA and determines that the schedule is acceptable, and the sponsor pays any required user fees upon submission of the first section of the NDA.</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product candidate intended to treat a serious or life-threatening disease or condition may also be eligible for breakthrough therapy designation to expedite its development and review. A product candidate can receive breakthrough therapy designation if preliminary clinical evidence indicates that the product candidate, alone or in combination with one or more other drugs or biologics, may demonstrate substantial improvement over existing therapies on one or more clinically significant endpoints, such as substantial treatment effects observed early in clinical development. The designation includes all of the fast track program features, as well as more intensive FDA interaction and guidance beginning as early as Phase 1 and an organizational commitment to expedite the development and review of the product candidate, including involvement of senior managers.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Any marketing application for a drug submitted to the FDA for approval, including a product candidate with a fast track designation and/or breakthrough therapy designation, may be eligible for other types of FDA programs to expedite the FDA review and approval process, such as priority review. An NDA is eligible for priority review if the product candidate is designed to treat a serious or life-threatening disease or condition, and if approved, would provide a significant improvement in safety or effectiveness compared to available alternatives for such disease or condition. For new molecular entity NDAs, priority review designation means the FDA’s goal is to take action on the marketing application within six months of the 60-day filing date (as compared to ten months under standard review).</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Additionally, depending on the design of the applicable clinical studies, product candidates studied for their safety and effectiveness in treating serious or life-threatening diseases or conditions may receive accelerated approval upon a determination that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confirmatory clinical studies to verify and describe the anticipated effect on irreversible morbidity or mortality or other clinical benefit, and may require that such confirmatory studies be underway prior to granting accelerated approval. Products receiving accelerated approval may be subject to expedited withdrawal procedures if the sponsor fails to conduct the required studies in a timely manner or if such studies fail to verify the predicted clinical benefit. In addition, the FDA currently requires as a condition for accelerated approval pre-approval of promotional materials, which could adversely impact the timing of the commercial launch of the product.</w:t>
      </w:r>
    </w:p>
    <w:p>
      <w:pPr>
        <w:spacing w:after="0" w:line="7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Fast track designation, breakthrough therapy designation, priority review, and accelerated approval do not change the standards for approval but may expedite the development or approval process. Even if a product candidate qualifies for one or more of these programs, the FDA may later decide that the product no longer meets the conditions for qualification or decide that the time period for FDA review or approval will not be shortened.</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drug designation and exclusivity</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Orphan Drug Act, the FDA may grant orphan designation to a drug intended to treat a rare disease or condition, defined as a disease or condition with a patient population of fewer than 200,000 individuals in the United States, or a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population greater than 200,000 individuals in the United States and when there is no reasonable expectation that the cost of developing and making available the drug or biologic in the United States will be recovered from sales in the United States for that drug or biologic. Orphan drug designation must be requested before submitting an NDA. After the FDA grants orphan drug designation, the generic identity of the therapeutic agent and its potential orphan use are disclosed publicly by the FDA.</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a product that has orphan drug designation subsequently receives the first FDA approval for a particular active ingredient for the disease or condition for which it has such designation, the product is entitled to orphan product exclusivity, which means that the FDA may not approve any other applications, including a full NDA, to market the same drug for the same disease or condition for seven years, except in limited circumstances, such as a showing of clinical superiority to the product with orphan drug exclusivity or if the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 FDA from approving a different drug for the same disease or condition, or the same drug for a different disease or condition. Among the other benefits of orphan drug designation are tax credits for certain research and a waiver of the NDA application user fee.</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 designated orphan drug many not receive orphan drug exclusivity if it is approved for a use that is broader than the disease or condition for which it received orphan designation. In addition, orphan drug exclusive marketing rights in the United States may be lost if the FDA later determines that the request for designation was materially defective or, as noted above, if a second applicant demonstrates that its product is clinically superior to the approved product with orphan exclusivity or the manufacturer of the approved product is unable to assure sufficient quantities of the product to meet the needs of patients with the rare disease or condition.</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Drugs manufactured or distributed pursuant to FDA approvals are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 There also are continuing, annual user fee requirements for any marketed products under which NDA applicants must pay a substantial “program fee” for each prescription drug product approved in an NDA.</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requirements and impose reporting and documentation requirements upon the sponsor and any third-party manufacturers that the sponsor may decide to use. Accordingly, manufacturers must continue to expend time, money and effort in the area of production and quality control to maintain cGMP compliance.</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mandatory revisions to the approved labeling to add new safety information; imposition of post-market studies or clinical trials to assess new safety risks; or imposition of distribution or other restrictions under a REMS program. Other potential consequences include, among other things:</w:t>
      </w:r>
    </w:p>
    <w:p>
      <w:pPr>
        <w:spacing w:after="0" w:line="63" w:lineRule="exact"/>
        <w:rPr>
          <w:sz w:val="20"/>
          <w:szCs w:val="20"/>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NDAs or supplements to approved NDAs, or suspension or revocation of product approvals;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or</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FDA strictly regulates marketing, labeling, advertising and promotion of products that are placed on the market. Drugs may be promoted only for the approved indications and in accordance with the provisions of the approved label. The FDA and other agencies actively enforce the laws and regulations prohibiting the promotion of off-label uses, and a company that is found to have improperly promoted off-label uses may be subject to significant liability. Failure to comply with these requirements can result in, among other things, adverse publicity, warning letters, corrective advertising and potential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Drug Product Marketing Exclusivity</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Market exclusivity provisions authorized under the FDCA can delay the submission or the approval of certain marketing applications. For example, the FDCA provides a five-year period of non-patent data exclusivity within the United States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approve or even accept for review an abbreviated new drug application (“ANDA”) or an NDA submitted under Section 505(b)(2) (a “505(b)(2) NDA”), submitted by another company for another drug based on the same active moiety, regardless of whether the drug is intended for the same indication as the original innovative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FDCA alternatively provides three years of non-patent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or 505(b)(2) 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any preclinical studies and adequate and well-controlled clinical trials necessary to demonstrate safety and effectiveness.</w:t>
      </w:r>
    </w:p>
    <w:p>
      <w:pPr>
        <w:spacing w:after="0" w:line="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Pediatric exclusivity is another type of marketing exclusivity available in the United States. Pediatric exclusivity provides for an additional six months of marketing exclusivity attached to another period of existing exclusivity or an available patent term if a sponsor conducts clinical trials in children in response to a “written request” from the FDA. The issuance of a written request does not require the sponsor to undertake the described clinical trials, and the FDA’s grant of pediatric exclusivity does not require the FDA to approve labeling containing information on pediatric use based on the studies conducted.</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regulation</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order to market any medicinal product outside of the U.S., similar regulatory requirements, including adherence to GLP, Good Clinical Practices (“GCP”) and Good Manufacturing Practice (“GMP”), to initiate clinical trials and, subsequently, to obtain marketing approval of a new pharmaceutical product are in place in each jurisdiction and vary country to country.</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Each jurisdiction will apply these regulations in their assessment of clinical trial applications and marketing authorization applications. The foreign regulatory approval process includes all of the risks associated with FDA approval set forth above, as well as additional country-specific regulation. The foreign regulatory approval process includes all of the risks associated with FDA approval set forth above, as well as additional country-specific regulation. Whether or not we obtain FDA approval for a product, we must obtain approval of a product by the comparable regulatory authorities of foreign countries before we can commence clinical trials or marketing of the product in those countries. The time required to obtain approval in other countries and jurisdictions might differ from and be longer than that required to obtain FDA approval. Regulatory approval in one country or jurisdiction does not ensure regulatory approval in another. In addition, a failure or delay in obtaining regulatory approval in one country or jurisdiction may negatively impact the regulatory process in others. Failure to comply with applicable foreign regulatory requirements, may be subject to, among other things, fines, suspension or withdrawal of regulatory approvals, product recalls, seizure of products, operating restrictions and criminal prosecution.</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Non-clinical studies and clinical trials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Similarly to the United States, the various phases of non-clinical and clinical research in the European Union (“EU”) are subject to significant regulatory controls.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Non-clinical studies are performed to demonstrate the health or environmental safety of new biological substances. Non-clinical studies (pharmaco-toxicological) must be conducted in compliance with the principles of GLP, as set forth in EU Directive 2004/10/EC (unless otherwise justified for certain particular medicinal products - e.g., radio-pharmaceutical precursors for radio-labelling purposes). In particular, non-clinical studies, both in vitro and in vivo, must be planned, performed, monitored, recorded, reported and archived in accordance with the GLP principles, which define a set of rules and criteria for a quality system for the organizational process and the conditions for non-clinical studies. These GLP standards reflect the Organization for Economic Co-operation and Development requirements.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Clinical trials of medicinal products in the EU must be conducted in accordance with EU and national regulations and the International Council for Harmonization of Technical Requirements for Pharmaceuticals for Human Use (“ICH”) guidelines on GCP as well as the applicable regulatory requirements and the ethical principles that have their origin in the Declaration of Helsinki. If the sponsor of the clinical trial is not established within the EU, it must appoint an EU entity to act as its legal</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1" w:name="page22"/>
    <w:bookmarkEnd w:id="21"/>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representative. The sponsor must take out a clinical trial insurance policy, and in most EU member states, the sponsor is liable to provide ‘no fault’ compensation to any study subject injured in the clinical trial.</w:t>
      </w:r>
    </w:p>
    <w:p>
      <w:pPr>
        <w:spacing w:after="0" w:line="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regulatory landscape related to clinical trials in the EU has been subject to recent changes. The EU Clinical Trials Regulation (“CTR”) which was adopted in April 2014 and repeals the EU Clinical Trials Directive, became applicable on January 31, 2022. Unlike directives, the CTR is directly applicable in all EU member states without the need for member states to further implement it into national law. The CTR notably harmonizes the assessment and supervision processes for clinical trials throughout the EU via a Clinical Trials Information System, which contains a centralized EU portal and database.</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While the EU Clinical Trials Directive required a separate clinical trial application (“CTA”) to be submitted in each member state in which the clinical trial takes place, to both the competent national health authority and an independent ethics committee, much like the FDA and IRB respectively, the CTR introduces a centralized process and only requires the submission of a single application for multi-center trials. The CTR allows sponsors to make a single submission to both the competent authority and an ethics committee in each member state, leading to a single decision per member state. The CTA must include, among other things, a copy of the trial protocol and an investigational medicinal product dossier containing information about the manufacture and quality of the medicinal product under investigation.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w:t>
      </w:r>
    </w:p>
    <w:p>
      <w:pPr>
        <w:spacing w:after="0" w:line="8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The CTR foresees a three-year transition period. The extent to which ongoing and new clinical trials will be governed by the CTR varies. Clinical trials for which an application was submitted (i) prior to January 31, 2022 under the EU Clinical Trials Directive, or (ii) between January 31, 2022 and January 31, 2023 and for which the sponsor has opted for the application of the EU Clinical Trials Directive remain governed by said Directive until January 31, 2025. After this date, all clinical trials (including those which are ongoing) will become subject to the provisions of the CTR.</w:t>
      </w:r>
    </w:p>
    <w:p>
      <w:pPr>
        <w:spacing w:after="0" w:line="77" w:lineRule="exact"/>
        <w:rPr>
          <w:sz w:val="20"/>
          <w:szCs w:val="20"/>
          <w:color w:val="auto"/>
        </w:rPr>
      </w:pPr>
    </w:p>
    <w:p>
      <w:pPr>
        <w:ind w:right="420"/>
        <w:spacing w:after="0" w:line="352" w:lineRule="auto"/>
        <w:rPr>
          <w:sz w:val="20"/>
          <w:szCs w:val="20"/>
          <w:color w:val="auto"/>
        </w:rPr>
      </w:pPr>
      <w:r>
        <w:rPr>
          <w:rFonts w:ascii="Times New Roman" w:cs="Times New Roman" w:eastAsia="Times New Roman" w:hAnsi="Times New Roman"/>
          <w:sz w:val="18"/>
          <w:szCs w:val="18"/>
          <w:color w:val="auto"/>
        </w:rPr>
        <w:t xml:space="preserve">Medicines used in clinical trials must be manufactured in accordance with GMP. Other national and EU-wide regulatory requirements may also apply. </w:t>
      </w:r>
      <w:r>
        <w:rPr>
          <w:rFonts w:ascii="Times New Roman" w:cs="Times New Roman" w:eastAsia="Times New Roman" w:hAnsi="Times New Roman"/>
          <w:sz w:val="18"/>
          <w:szCs w:val="18"/>
          <w:i w:val="1"/>
          <w:iCs w:val="1"/>
          <w:color w:val="auto"/>
        </w:rPr>
        <w:t>Marketing authorization</w:t>
      </w:r>
    </w:p>
    <w:p>
      <w:pPr>
        <w:jc w:val="both"/>
        <w:spacing w:after="0" w:line="250" w:lineRule="auto"/>
        <w:rPr>
          <w:sz w:val="20"/>
          <w:szCs w:val="20"/>
          <w:color w:val="auto"/>
        </w:rPr>
      </w:pPr>
      <w:r>
        <w:rPr>
          <w:rFonts w:ascii="Times New Roman" w:cs="Times New Roman" w:eastAsia="Times New Roman" w:hAnsi="Times New Roman"/>
          <w:sz w:val="18"/>
          <w:szCs w:val="18"/>
          <w:color w:val="auto"/>
        </w:rPr>
        <w:t>In the EU, medicinal products can only be placed on the market after obtaining a marketing authorization (“MA”). To obtain regulatory approval of a product candidate under EU regulatory systems, we must submit a MA application (“MAA”). The process for doing this depends, among other things, on the nature of the medicinal product. There are two types of MAs:</w:t>
      </w:r>
    </w:p>
    <w:p>
      <w:pPr>
        <w:spacing w:after="0" w:line="55" w:lineRule="exact"/>
        <w:rPr>
          <w:sz w:val="20"/>
          <w:szCs w:val="20"/>
          <w:color w:val="auto"/>
        </w:rPr>
      </w:pPr>
    </w:p>
    <w:p>
      <w:pPr>
        <w:jc w:val="both"/>
        <w:ind w:left="340" w:hanging="332"/>
        <w:spacing w:after="0" w:line="235"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“Centralized MAs” are issued by the European Commission through the centralized procedure, based on the opinion of the Committee for Medicinal Products for Human Use (“CHMP”) of the EMA, and are valid throughout the EU. The centralized procedure is mandatory for certain types of medicinal products, such as (i) medicines derived from biotechnology processes, (ii) advanced therapy medicinal products (“ATMP”) (such as gene therapy, somatic cell therapy and tissue engineered products), (iii) orphan designated medicinal products, and (iv) products that contain a new active substance indicated for the treatment of certain diseases such as HIV/AIDS, cancer, neurodegenerative disorders, diabetes, auto-immune diseases and other immune dysfunctions, and viral diseases. The centralized procedure is optional for products containing a new active substance not yet authorized in the EU, or for products that constitute a significant therapeutic, scientific or technical innovation or which are in the interest of public health in the EU.</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“National MAs” are issued by the competent authorities of the member states of the EU and only cover their respective territory, and are available for product candidates not falling within the mandatory scope of the centralized procedure. Where a product has already been authorized for marketing in a member state of the EU, this national MA can be recognized in another member state through the mutual recognition procedure. If the product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above described procedures, in order to grant the MA, the EMA or the competent authorities of the member states of the EU make an assessment of the risk-benefit balance of the product on the basis of scientific criteria concerning its quality, safety and efficacy. MAs have an initial duration of five years. After these five years, the authorization may be renewed on the basis of a reevaluation of the risk-benefit balance.</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Under the centralized procedure the maximum timeframe for the evaluation of a MAA by the EMA is 210 days, excluding clock stops. In exceptional cases, the CHMP might perform an accelerated assessment of a MAA in no more than 150 days (not including clock stops). Innovative products that target an unmet medical need and are expected to be of major public health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interest may be eligible for a number of expedited development and review programs, such as the PRIority MEdicines (“PRIME”) scheme, which provides incentives similar to the breakthrough therapy designation in the U.S. In March 2016, the EMA launched an initiative, the PRIME scheme, a voluntary scheme aimed at enhancing the EMA’s support for the development of medicines that target unmet medical needs. It is based on increased interaction and early dialogue with companies developing promising medicines, to optimize their product development plans and speed up their evaluation to help them reach patients earlier. Product developers that benefit from PRIME designation can expect to be eligible for accelerated assessment but this is not guaranteed. Many benefits accrue to sponsors of product candidates with PRIME designation, including but not limited to, early and proactive regulatory dialogue with the EMA, frequent discussions on clinical trial designs and other development program elements, and accelerated MAA assessment once a dossier has been submitted. Importantly, a dedicated contact and rapporteur from the CHMP is appointed early in the PRIME scheme facilitating increased understanding of the product at EMA’s committee level. An initial meeting initiates these relationships and includes a team of multidisciplinary experts at the EMA to provide guidance on the overall development and regulatory strategies.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and marketing exclusivity</w:t>
      </w:r>
    </w:p>
    <w:p>
      <w:pPr>
        <w:spacing w:after="0" w:line="9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the EU, new products authorized for marketing, (i.e., reference products), generally receive eight years of data exclusivity and an additional two years of market exclusivity upon MA. If granted, the data exclusivity period prevents generic or biosimilar applicants from relying on the pre-clinical and clinical trial data contained in the dossier of the reference product when applying for a generic or biosimilar MA in the EU during a period of eight years from the date on which the reference product was first authorized in the EU. The market exclusivity period prevents a successful generic or biosimilar applicant from commercializing its product in the EU until 10 years have elapsed from the initial authorization of the reference product in the EU. The overall 10-year market exclusivity period can be extended to a maximum of eleven years if, during the first eight years of those 10 years, the MA holder obtains an authorization for one or more new therapeutic indications which, during the scientific evaluation prior to their authorization, are held to bring a significant clinical benefit in comparison with existing therapies. However, there is no guarantee that a product will be considered by the EU’s regulatory authorities to be a new active substance, and products may not qualify for data exclusivity.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Pediatric development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EEA, MAAs for new medicinal products have to include the results of studies conducted in the pediatric population, in compliance with a pediatric investigation plan (“PIP”), agreed with the EMA’s Pediatric Committee (“PDCO”). The PIP sets out the timing and measures proposed to generate data to support a pediatric indication of the drug for which MA is being sought. The PDCO can grant a deferral of the obligation to implement some or all of the measures of the PIP until there are sufficient data to demonstrate the efficacy and safety of the product in adults. Further, the obligation to provide pediatric clinical trial data can be waived by the PDCO when these data are not needed or appropriate because the product is likely to be ineffective or unsafe in children, the disease or condition for which the product is intended occurs only in adult populations, or when the product does not represent a significant therapeutic benefit over existing treatments for pediatric patients. We have received a waiver for pediatric data in COPD.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Orphan Medicinal Products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criteria for designating an “orphan medicinal product” in the EU are similar in principle to those in the United States. A medicinal product may be designated as orphan if its sponsor can establish that: (1) the product is intended for the diagnosis, prevention or treatment of a life-threatening or chronically debilitating condition; (2) either (a) such condition affects no more than five in 10,000 persons in the EU when the application is made, or (b) the product, without the benefits derived from orphan status, would not generate sufficient return in the EU to justify investment; and (3) there exists no satisfactory method of diagnosis, prevention or treatment of such condition that has been authorized for marketing in the EU, or if such a method exists, the product will be of significant benefit to those affected by the condition.</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Orphan designation must be requested before submitting an MAA. An EU orphan designation entitles a party to incentives such as reduction of fees or fee waivers, protocol assistance, and access to the centralized procedure. Upon grant of a MA, orphan medicinal products are entitled to ten years of market exclusivity for the approved therapeutic indication which means that the EU regulatory authorities cannot accept another MAA, or grant an MA, or accept an application to extend a MA for a similar product for the same indication for a period of ten years. The period of market exclusivity is extended by two years for orphan medicinal products that have also complied with an agreed PIP. No extension to any supplementary protection certificate can be granted on the basis of pediatric studies for orphan indications. Orphan designation does not convey any advantage in, or shorten the duration of, the regulatory review and approval process.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orphan exclusivity period may be reduced to six years if, at the end of the fifth year, it is established that the product no longer meets the criteria for orphan designation, including where it is shown that the product is sufficiently profitable not to justify maintenance of market exclusivity, or where the prevalence of the condition has increased above the threshold. Additionally, MA may be granted to a similar product for the same indication at any time if (1) the second applicant can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establish that its product, although similar, is safer, more effective or otherwise clinically superior; (2) the applicant consents to a second orphan medicinal product application; or (3) the applicant cannot supply enough orphan medicinal product.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Post-Approval Requirements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Similar to the United States, both MA holders and manufacturers of medicinal products are subject to comprehensive regulatory oversight by the EMA, the European Commission and/or the competent regulatory authorities of the EU member states. The holder of a MA must establish and maintain a pharmacovigilance system and appoint an individual qualified person for pharmacovigilance (“QPPV”) who is responsible for the establishment and maintenance of that system, and oversees the safety profiles of medicinal products and any emerging safety concerns. Key obligations include expedited reporting of suspected serious adverse reactions and submission of periodic safety update reports (“PSURs”).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All new MAA must include a risk management plan (“RMP”) describing the risk management system that the company will put in place and documenting measures to prevent or minimize the risks associated with the product. The regulatory authorities may also impose specific obligations as a condition of the MA. Such risk-minimization measures or post-authorization obligations may include additional safety monitoring, more frequent submission of PSURs, or the conduct of additional clinical trials or post-authorization safety studies.</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advertising and promotion of medicinal products is also subject to laws concerning promotion of medicinal products, interactions with physicians, misleading and comparative advertising and unfair commercial practices. All advertising and promotional activities for the product must be consistent with the approved summary of product characteristics, and therefore all off-label promotion is prohibited. Direct-to-consumer advertising of prescription medicines is also prohibited in the EU. Although general requirements for advertising and promotion of medicinal products are established under EU directives, the details are governed by regulations in each member state and can differ from one country to another.</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aforementioned EU rules are generally applicable in the European Economic Area (“EEA”) which consists of the 27 EU member states plus Norway, Liechtenstein and Iceland.</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Failure by us or by any of our third-party partners, including suppliers, manufacturers and distributors to comply with EU and EU member state laws that apply to the conduct of clinical trials, manufacturing approval, MA of medicinal products and marketing of such products, both before and after grant of the MA, manufacturing of medicinal products, statutory health insurance, bribery and anti-corruption or with other applicable regulatory requirements may result in administrative, civil or criminal penalties. These penalties could include delays or refusal to authorize the conduct of clinical trials or to grant MA, product withdrawals and recalls, product seizures, suspension, withdrawal or variation of the marketing authorization, total or partial suspension of production, distribution, manufacturing or clinical trials, operating restrictions, injunctions, suspension of licenses, fines and criminal penalties.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Brexit and the Regulatory Framework in the United Kingdom</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Since the end of the Brexit transition period on January 1, 2021, Great Britain (England, Scotland and Wales) has not been directly subject to EU laws, however under the terms of the Ireland/Northern Ireland Protocol, EU laws generally apply to Northern Ireland. The EU laws that have been transposed into U.K. law through secondary legislation remain applicable in Great Britain (“GB”), however new legislation such as the EU CTR is not applicable in GB.</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Under the Medicines and Medical Devices Act 2021, the Secretary of State or an ‘appropriate authority’ has delegated powers to amend or supplement existing regulations in the area of medicinal products and medical devices. This allows new rules to be introduced in the future by way of secondary legislation, which aims to allow flexibility in addressing regulatory gaps and future changes in the fields of human medicines, clinical trials and medical devices.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January 1, 2021, the Medicines and Healthcare products Regulatory Agency (“MHRA”) has been the U.K.’s standalone medicines and medical devices regulator. As a result of the Northern Ireland protocol, different rules will apply in Northern Ireland than in England, Wales, and Scotland, together, GB; broadly, Northern Ireland will continue to follow the EU regulatory regime, but its national competent authority will remain the MHRA.</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 U.K. regulatory framework in relation to clinical trials is derived from existing EU legislation (as implemented into U.K. law, through secondary legislation). On January 17, 2022, the MHRA launched an eight-week consultation on reframing the U.K. legislation for clinical trials, which aimed to streamline clinical trials approvals, enable innovation, enhance clinical trials transparency, enable greater risk proportionality, and promote patient and public involvement in clinical trials. The MHRA responded to the consultation on March 21, 2023 and confirmed that it would bring forward changes to the legislation. The final legal texts introduced by the U.K. Government will ultimately determine the extent to which the U.K. clinical trials framework aligns with or diverges from the CTR.</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MHRA has introduced changes to national licensing procedures, including procedures to prioritize access to new medicines that will benefit patients, including a 150-day assessment and a rolling review procedure. All existing EU MAs for centrally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authorized products were automatically converted or grandfathered into U.K. MAs, effective in GB (only), free of charge on January 1, 2021, unless the MA holder has opted out. In order to use the centralized procedure to obtain a MA that will be valid throughout the EEA, companies must be established in the EEA. Therefore since Brexit, without first establishing an EEA entity, companies established in the U.K. can no longer use the EU centralized procedure and instead an EEA entity must hold any centralized MAs . In order to obtain a U.K. MA to commercialize products in the U.K., an applicant must be established in the U.K. and must follow one of the U.K. national authorization procedures or one of the remaining post-Brexit international cooperation procedures to obtain an MA to commercialize products in the U.K.. A new international recognition framework has been in place from January 1, 2024, whereby the MHRA will have regard to decisions on the approval of MAs made by the EMA and certain other regulators when determining an application for a new GB MA.</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There is no pre-MA orphan designation. Instead, the MHRA will review applications for orphan designation in parallel to the corresponding MA application. The criteria are essentially the same, but have been tailored for the market, i.e., the prevalence of the condition in GB, rather than the EU, must not be more than five in 10,000. Should an orphan designation be granted, the period of market exclusivity will be set from the date of first approval of the product in GB.</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Healthcare Laws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FDA restrictions on marketing of pharmaceutical and biological products, other U.S. federal and state healthcare regulatory laws restrict business practices in the pharmaceutical industry, which include, but are not limited to, state and federal anti-kickback, false claims and physician payment and drug pricing transparency laws. Similar laws exist in foreign jurisdictions.</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U.S. federal Anti-Kickback Statute prohibits, among other things, any person or entity from knowingly and willfully offering, paying, soliciting, receiving or providing any remuneration, directly or indirectly, overtly or covertly, to induce or in return for purchasing, leasing, ordering, or arranging for or recommending the purchase, lease, or order of any good, facility, item or service reimbursable, in whole or in part, under Medicare, Medicaid or other federal healthcare programs. The term "remuneration" has been broadly interpreted to include anything of value. The Anti-Kickback Statute has been interpreted to apply to arrangements between pharmaceutical manufacturers on the one hand and prescribers, purchasers, formulary managers and beneficiaries on the other. Although there are a number of statutory exceptions and regulatory safe harbors protecting some common activities from prosecution, the exceptions and safe harbors are drawn narrowly. Practices that involve remuneration that may be alleged to be intended to induce prescribing, purchases, or recommendations may be subject to scrutiny if they do not meet the requirements of a statutory or regulatory exception or safe harbor. Failure to meet all of the requirements of a particular applicable statutory exception or regulatory safe harbor does not make the conduct per se illegal under the U.S. federal Anti-Kickback Statute. Instead, the legality of the arrangement will be evaluated on a case-by-case basis based on a cumulative review of all its facts and circumstances. Several courts have interpreted the statute's intent requirement to mean that if any one purpose of an arrangement involving remuneration is to induce referrals of federal healthcare covered business, the statute has been violated.</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a person or entity does not need to have actual knowledge of the statute or specific intent to violate it in order to have committed a violation.</w:t>
      </w:r>
    </w:p>
    <w:p>
      <w:pPr>
        <w:spacing w:after="0" w:line="10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federal false claims laws, including the civil False Claims Act, prohibit any person or entity from, among other things, knowingly presenting, or causing to be presented, a false, fictitious or fraudulent claim for payment to, or approval by, the federal government, knowingly making, using, or causing to be made or used a false record or statement material to a false or fraudulent claim to the federal government, or from knowingly making a false statement to avoid, decrease or conceal an obligation to pay money to the U.S. federal government. A claim includes "any request or demand" for money or property presented to the U.S. government. Actions under the civil False Claims Act may be brought by the Attorney General or as a qui tam action by a private individual in the name of the government. Violations of the civil False Claims Act can result in very significant monetary penalties and treble damages. Several pharmaceutical and other healthcare companies have been prosecuted under these laws for, among other things, allegedly providing free product to customers with the expectation that the customers would bill federal programs for the product. Other companies have been prosecuted for causing false claims to be submitted because of the companies' marketing of products for unapproved, or off-label, uses. Moreover, a claim including items or services resulting from a violation of the U.S. federal Anti-Kickback Statue constitutes a false or fraudulent claim for the purposes of the federal civil False Claims Act. In addition, the civil monetary penalties statute imposes penalties against any person who is determined to have presented or caused to be presented a claim to a federal health program that the person knows or should know is for an item or service that was not provided as claimed or is false or fraudulent. Many states also have similar fraud and abuse statutes or regulations that apply to items and services reimbursed under Medicaid and other state programs, or, in several states, apply regardless of the payor.</w:t>
      </w:r>
    </w:p>
    <w:p>
      <w:pPr>
        <w:spacing w:after="0" w:line="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federal Health Insurance Portability and Accountability Act of 1996, or HIPAA, created additional federal criminal statutes that prohibit, among other actions, knowingly and willfully executing, or attempting to execute, a scheme to defraud any healthcare benefit program, including private third-party payors, knowingly and willfully embezzling or stealing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addition, there has been a recent trend of increased federal and state regulation of payments made to physicians and certain other healthcare providers. The Physician Payments Sunshine Act imposes, among other things, annual reporting requirements for covered manufacturers for certain payments and "transfers of value" provided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physicians and their immediate family members. Failure to submit timely, accurately and completely the required information for all payments, transfers of value and ownership or investment interests may result in significant civil monetary penalties and additional penalties for "knowing failures." Covered manufacturers must submit reports by the 90th day of each subsequent calendar year. In addition, certain states require implementation of compliance programs and compliance with the pharmaceutical industry's voluntary compliance guidelines and the relevant compliance guidance promulgated by the federal government, impose restrictions on marketing practices and/or tracking and reporting of gifts, compensation and other remuneration or items of value provided to physicians and other healthcare professionals and entities.</w:t>
      </w:r>
    </w:p>
    <w:p>
      <w:pPr>
        <w:spacing w:after="0" w:line="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Violations of any such laws or any other governmental regulations that apply may result in significant criminal, civil and administrative penalties, including damages, fines, the possibility of exclusion from federal healthcare programs (including Medicare and Medicaid), disgorgement and corporate integrity agreements, which impose, among other things, rigorous operational and monitoring requirements on companies to resolve allegations of non-compliance with these laws. Similar sanctions and penalties, as well as imprisonment, also can be imposed upon executive officers and employees of such companies. Given the significant size of actual and potential settlements, it is expected that the government authorities will continue to devote substantial resources to investigating healthcare providers' and manufacturers' compliance with applicable fraud and abuse laws. Moreover, analogous state and foreign laws and regulations may be broader in scope than the provisions described above and may apply regardless of payor. These laws and regulations may differ from one another in significant ways, thus further complicating compliance efforts. For instance, in the EU, many EU member states have adopted specific anti-gift statutes that further limit commercial practices for medicinal products,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pharmaceutical companies. Certain countries also mandate implementation of commercial compliance programs, or require disclosure of marketing expenditures and pricing information. Violation of any of such laws or any other governmental regulations that apply may result in penalties, including, without limitation, significant administrative, civil and criminal penalties, damages, fines, disgorgement, additional reporting obligations and oversight if a manufacturer becomes subject to a corporate integrity agreement or other agreement to resolve allegations of non-compliance with these laws, the curtailment or restructuring of operations, exclusion from participation in governmental healthcare programs and imprisonment.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Coverage and Reimbursement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Significant uncertainty exists as to the coverage and reimbursement status of any pharmaceutical or biological products for which we obtain regulatory approval. In the United States and markets in other countries, patients who are prescribed treatments for their conditions and providers performing the prescribed services generally rely on third-party payors to reimburse all or part of the associated healthcare costs. Patients are unlikely to use our products unless coverage is provided and reimbursement is adequate to cover a significant portion of the cost of our products. Sales of any products for which we receive regulatory approval for commercial sale will therefore depend, in part, on the availability of coverage and adequate reimbursement from third-party payors. Third-party payors include government authorities, managed care plans, private health insurers and other organizations.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United States, the process for determining whether a third-party payor will provide coverage for a pharmaceutical or biological product typically is separate from the process for setting the price of such product or for establishing the reimbursement rate that the payor will pay for the product once coverage is approved. Third-party payors may limit coverage to specific products on an approved list, also known as a formulary, which might not include all of the FDA-approved products for a particular indication. A decision by a third-party payor not to cover our product candidates could reduce physician utilization of our products once approved and have a material adverse effect on our sales, results of operations and financial condition. Moreover, a third-party payor's decision to provide coverage for a pharmaceutical or biological product does not imply that an adequate reimbursement rate will be approved. Adequate third-party reimbursement may not be available to enable us to maintain price levels sufficient to realize an appropriate return on our investment in product development. Additionally,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coverage and reimbursement for products can differ significantly from payor to payor. One third-party payor's decision to cover a particular medical product or service does not ensure that other payors will also provide coverage for the medical product or service, or will provide coverage at an adequate reimbursement rate. As a result, the coverage determination process will require us to provide scientific and clinical support for the use of our products to each payor separately and will be a time-consuming process.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 the increased emphasis on managed care in the United States places additional pressure on product pricing, reimbursement and usage, which may adversely affect our future product sales and results of operations. These pressures can arise from rules and practices of managed care plans, including Medicare Advantage plans, judicial decisions and governmental laws and regulations related to Medicare, Medicaid and healthcare reform, as well as drug coverage and reimbursement policies and pricing in general.</w:t>
      </w:r>
    </w:p>
    <w:p>
      <w:pPr>
        <w:spacing w:after="0" w:line="6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international markets, reimbursement and healthcare payment systems vary significantly by country. In the EU, governments influence the price of products through their pricing and reimbursement rules and control of national health care systems that fund a large part of the cost of those products to consumers. Member states are free to restrict the range of pharmaceutical products for which their national health insurance systems provide reimbursement, and to control the prices and reimbursement levels of pharmaceutical products for human use. Some jurisdictions operate positive and negative list systems under which products may only be marketed once a reimbursement price has been agreed to by the government. Member states may approve a specific price or level of reimbursement for the pharmaceutical product, or alternatively adopt a system of direct or indirect controls on the profitability of the company responsible for placing the pharmaceutical product on the market, including volume-based arrangements, caps and reference pricing mechanisms.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There can be no assurance that any country that has price controls or reimbursement limitations for pharmaceutical products will allow favorable reimbursement and pricing arrangements for any of our products. The downward pressure on health care costs in general, particularly prescription products, has become very intense. As a result, increasingly high barriers are being erected to the entry of new products. In addition, in some countries, cross border imports from low-priced markets exert a commercial pressure on pricing within a country.</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containment of healthcare costs has become a priority of federal, state and foreign governments, and the prices of pharmaceutical or biological products have been a focus in this effort. Third-party payors are increasingly challenging the prices charged for medical products and services, examining the medical necessity and reviewing the cost-effectiveness of pharmaceutical or biological products, medical devices and medical services, in addition to questioning safety and efficacy. If these third-party payors do not consider our products to be cost-effective compared to other available therapies, they may not cover our products after FDA approval or, if they do, the level of payment may not be sufficient to allow us to sell our products at a profit.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Healthcare Reform</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primary trend in the U.S. healthcare industry and elsewhere is cost containment. Government authorities and other third-party payors have attempted to control costs by limiting coverage and the amount of reimbursement for particular medical products. For example, in March 2010, the Patient Protection and Affordable Care Act, as amended by the Health Care and Education Reconciliation Act, or collectively, the ACA, was enacted, which, among other things, increased the minimum Medicaid rebates owed by most manufacturers under the Medicaid Drug Rebate Program; introduced a new methodology by which rebates owed by manufacturers under the Medicaid Drug Rebate Program are calculated for drugs that are inhaled, infused, instilled, implanted or injected; extended the Medicaid Drug Rebate Program to utilization of prescriptions of individuals enrolled in Medicaid managed care plans; imposed mandatory discounts for certain Medicare Part D beneficiaries as a condition for manufacturers' outpatient drugs coverage under Medicare Part D.</w:t>
      </w:r>
    </w:p>
    <w:p>
      <w:pPr>
        <w:spacing w:after="0" w:line="6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w:t>
      </w:r>
    </w:p>
    <w:p>
      <w:pPr>
        <w:spacing w:after="0" w:line="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Additionally, on August 2, 2011, the Budget Control Act of 2011 created measures for spending reductions was enacted, which, among other things, included aggregate reductions of Medicare payments to providers, which went into effect on April 1, 2013 and, due to subsequent legislative amendments to the statute, will stay in effect through 2032, with the exception of a temporary suspension from May 1, 2020 through March 31, 2022, unless additional action is taken by Congress.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in March 2021, the American Rescue Plan Act of 2021 was signed into law, which eliminated the statutory Medicaid drug rebate cap, beginning January 1, 2024. The rebate was previously capped at 100% of a drug’s average manufacturer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More recently, there has been heightened governmental scrutiny recently over the manner in which manufacturers set prices for their marketed products, which have resulted in several recent Congressional inquiries and proposed and enacted legislation designed to, among other things, bring more transparency to product pricing, review the relationship between pricing and manufacturer patient programs, and reform government program reimbursement methodologies for pharmaceutical products. On August 16, 2022, the Inflation Reduction Act of 2022, or IRA, was signed into law. Among other things, the IRA requires manufacturers of certain drugs to engage in price negotiations with Medicare (beginning in 2026), imposes rebates under Medicare Part B and Medicare Part D to penalize price increases that outpace inflation (first due in 2023), and replaces the Part D coverage gap discount program with a new discounting program (which began in 2025). The IRA permits the Secretary of the Department of Health and Human Services (HHS) to implement many of these provisions through guidance, as opposed to regulation, for the initial years. The Centers for Medicare &amp; Medicaid Services (CMS) has published the negotiated prices for the initial ten drugs, which will first be effective in 2026, and the list of the subsequent 15 drugs that will be subject to negotiation, although the Medicare drug price negotiation program is currently subject to legal challenges. While the impact of the IRA on the pharmaceutical industry cannot yet be fully determined, it is likely to be significant.</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expect that additional state, federal and foreign healthcare reform measures will be adopted in the future, any of which could limit the amounts that federal and state governments will pay for healthcare products and services, which could result in reduced demand for our products, once approved, or additional price increases. In particular, we anticipate that Medicare Part B will play an important role in the reimbursement of ensifentrine. Changes in how products are reimbursed through Medicare Part B may affect the overall coverage for ensifentrine, if approved. Any reduction in reimbursement from Medicare or other government-funded programs may result in a similar reduction in payments from private payors.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Similar political, economic and regulatory developments are occurring in the EU and may affect the ability of pharmaceutical companies to profitably commercialize their products.</w:t>
      </w:r>
    </w:p>
    <w:p>
      <w:pPr>
        <w:spacing w:after="0" w:line="6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 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Data Privacy and Security Laws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Numerous state, federal and foreign laws, regulations and standards govern the collection, use, access to, confidentiality and security of health-related and other personal information, and could apply now or in the future to our operations or the operations of our partners. In the United States, numerous federal and state laws and regulations, including data breach notification laws, health information privacy and security laws and consumer protection laws and regulations govern the collection, use, disclosure, and protection of health-related and other personal information. In addition, certain foreign laws govern the privacy and security of personal data, including health-related data. Privacy and security laws, regulations, and other obligations are constantly evolving, may conflict with each other to complicate compliance efforts, and can result in investigations, proceedings, or actions that lead to significant civil and/or criminal penalties and restrictions on data processing.</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regulation</w:t>
      </w:r>
    </w:p>
    <w:p>
      <w:pPr>
        <w:spacing w:after="0" w:line="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to the foregoing, state and federal laws regarding environmental protection and hazardous substances, including the Occupational Safety and Health Act, the Resource Conservation and Recovery Act and the Toxic Substances Control Act, affect our business. These and other laws govern the use, handling and disposal of various biologic, chemical and radioactive substances used in, and wastes generated by, operations. If our operations result in contamination of the environment or expose individuals to hazardous substances, we could be liable for damages and governmental fines. Equivalent laws have been adopted in certain other countries that impose similar obligations.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Foreign Corrupt Practices Act</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U.S. Foreign Corrupt Practices Act ("FCPA"), prohibits U.S. corporations and individuals from engaging in certain activities to obtain or retain business abroad or to influence a person working in an official capacity. It is illegal to pay, offer to pay or authorize the payment of anything of value to any foreign government official, government staff member, political party or political candidate in an attempt to obtain or retain business or to otherwise influence a person working in an official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capacity. The scope of the FCPA includes interactions with certain healthcare professionals in many countries. Equivalent laws have been adopted in other foreign countries that impose similar obligations.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we had 209 full-time employees. None of our employees is party to a collective bargaining agreement or represented by a trade union or labor union. We consider our relationship with our employees to be good.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were incorporated in February 2005 as Isis Resources plc under the laws of England and Wales. In September 2006, we acquired Rhinopharma Limited, a private company incorporated in Canada, and changed our name to Verona Pharma plc. Our principal office is located at 3 More London Riverside, London, SE1 2RE, United Kingdom.</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make available our public filings, including annual reports on Form 10-K, quarterly reports on Form 10-Q, current reports on Form 8-K, and any amendments to those reports, with the SEC free of charge through our website at www.veronapharma.com in the “Investors” section as soon as reasonably practicable after we electronically file such material with, or furnish such material to, the SEC. The information contained in, or accessible through, our website does not constitute a part of this Annual Report. The SEC also maintains a website at www.sec.gov that contains reports, proxy statements and other information regarding issuers that file electronically with the SEC, including Verona Pharma plc.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4"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i w:val="1"/>
          <w:iCs w:val="1"/>
          <w:color w:val="auto"/>
        </w:rPr>
        <w:t>Investing in our ADSs involves a high degree of risk. You should carefully consider the risks described below, as well as the other information in this Annual Report, including our Consolidated Financial Statements and the related notes and “Management’s Discussion and Analysis of Financial Condition and Results of Operations”. The occurrence of any of the events or developments described below could adversely affect our business, financial condition, results of operations and growth prospects. In such an event, the market price of our ADSs could decline, and you may lose all or part of your investment. Additional risks and uncertainties not presently known to us or that we currently deem immaterial also may impair our business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and have not generated any significant product revenue.</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and have incurred significant operating losses since our inception. We had net losses of $173.4 million and $54.4 million for the years ended December 31, 2024 and 2023, respectively. As of December 31, 2024, we had an accumulated deficit of $562.4 million. Our losses have resulted principally from expenses incurred in research and development of ensifentrine, and from general and administrative costs that we have incurred while building our business infrastructure. We may continue to incur significant operating losses for the foreseeable future as we expand our research and development efforts, advance our clinical development of ensifentrine in other formulations, and support the commercialization of ensifentrine under the brand name Ohtuvayre™ (ensifentrine), which was approved by the FDA on June 26, 2024 for the maintenance treatment of chronic obstructive pulmonary disease ("COPD”) in adult patients. We generally use “Ohtuvayre” when referring to our FDA-approved version of ensifentrine, and “ensifentrine” when referring to our investigational programs for ensifentrine. We anticipate that our expenses will increase substantially as we:</w:t>
      </w:r>
    </w:p>
    <w:p>
      <w:pPr>
        <w:spacing w:after="0" w:line="66" w:lineRule="exact"/>
        <w:rPr>
          <w:sz w:val="20"/>
          <w:szCs w:val="20"/>
          <w:color w:val="auto"/>
        </w:rPr>
      </w:pPr>
    </w:p>
    <w:p>
      <w:pPr>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ensifentrine for the treatment of non-cystic fibrosis bronchiectasis (“bronchiectasis”), cystic fibrosis (“CF”), asthma or other indications;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pharmacology studies with any formulation;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or in-license additional respiratory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ensifentrine and potentially other future product candidates;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manufacturing processes and produce clinical and commercial supplies of the ensifentrine active pharmaceutical ingredient and formulated drug products derived from it;</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regulatory approvals of ensifentrine;</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in-licensed technologies and products;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to support commercialization and research activities in the U.S. and elsewhere.</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expenses may also increase substantially if we experience any delays or encounter any issues with any of the above, including, but not limited to, failed pre-clinical studies or clinical trials, complex results, safety issues, manufacturing difficulties, inadequate quantity or quality of ensifentrine for our clinical trials or finished drug product, or regulatory challenges.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devoted substantially all of our financial resources and efforts to the research and development, pre-clinical studies and clinical trials, and commercialization of Ohtuvayre for the maintenance treatment of COPD of adults in the U.S. We are continuing the development of ensifentrine in other formulations and for other targeted indications, and to support commercialization of Ohtuvayre in other territories, if and when approved in such territories.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To become and remain profitable, we must succeed in developing our product candidates and commercializing our product, Ohtuvayre, and any other products for which we may receive regulatory approval that generate significant revenue. This will require us to be successful in a range of challenging activities, including completing clinical trials of ensifentrine in other formulations and other targeted indications, discovering and developing additional product candidates, obtaining additional regulatory approvals for ensifentrine and for any future product candidates that successfully complete clinical trials, establishing manufacturing, commercial and marketing capabilities and ultimately distributing and selling any products for which we obtain regulatory approval, including our approved product Ohtuvayre. We are only in the preliminary stages of some of these activities, such as the commercialization of Ohtuvayre. We may never succeed in these activities and, even if we do, we may never generate revenue that is significant enough to achieve profitability.</w:t>
      </w:r>
    </w:p>
    <w:p>
      <w:pPr>
        <w:spacing w:after="0" w:line="6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pharmaceutical product development, we are unable to accurately predict the timing or amount of increased expenses or when, or if, we will be able to achieve profitability. If we are required by the FDA, the European Medicines Agency (“EMA”), or other regulatory authorities to perform studies in addition to those we currently anticipate, or if there are any delays in completing our planned clinical trials or the development of ensifentrine in additional formulations or for other targeted indications, or any other product candidates, our expenses could increase and revenue could be further delayed.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Ohtuvayre is our only product approved for marketing. It is approved in the U.S. but is not approved in any other jurisdiction, and may never receive approval in other jurisdictions. We may not be successful in obtaining regulatory approval for any additional products, and Ohtuvayre may never generate revenues sufficient to achieve or sustain profitability. The net losses we incur may fluctuate significantly from quarter to quarter and year to year. Our failure to achieve or sustain profitability would depress the market price of our ADSs and could impair our ability to raise capital, expand our business, diversify our product offerings or continue our operations. A decline in the market price of our ADSs also could cause our ADS holders to lose all or a part of their investment.</w:t>
      </w:r>
    </w:p>
    <w:p>
      <w:pPr>
        <w:spacing w:after="0" w:line="6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We may need additional funding to complete development and commercialization of any future product candidates and to continue to commercialize Ohtuvayre. If we are unable to raise capital when needed, or if a failure of any financial institution where we maintain our cash and cash equivalents prevents or delays us from accessing uninsured funds, we could be forced to delay, reduce or eliminate our product development programs or commercialization efforts.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and planned activities, particularly as we continue to commercialize Ohtuvayre, and conduct clinical trials of ensifentrine in other formulations and for other targeted indications. We expect to incur significant commercialization expenses related to activities including product positioning studies, product manufacturing, medical affairs, marketing, sales and distribution. Furthermore, we expect to incur ongoing costs associated with operating as a public company in the U.S. and maintaining a listing on the Nasdaq Global Market, or Nasdaq. Accordingly, we may need to obtain additional funding in connection with our continuing operations. If we are unable to raise capital when needed or on attractive terms, we could be forced to delay, reduce or eliminate our research and development programs or any future commercialization efforts.</w:t>
      </w:r>
    </w:p>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estimate that our existing cash resources, our product sales and additional funding received and expected to become available under the 2024 Term Loans and the RIPSA will be sufficient to fund our operating expenses and capital expenditure requirements for at least the next 12 months from the date of issuance of our Consolidated Financial Statements included elsewhere in this Annual Report. Future advances under the 2024 Term Loans and the RIPSA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exceed insured limits. Market conditions can impact the viability of these institutions. In the event of failure of any of the financial institutions where we maintain our cash and cash equivalents, there can be no assurance that we would be able to access uninsured funds in a timely manner or at all. Any inability to access or delay in accessing these funds could adversely affect our business and financial position.</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04" w:lineRule="exact"/>
        <w:rPr>
          <w:sz w:val="20"/>
          <w:szCs w:val="20"/>
          <w:color w:val="auto"/>
        </w:rPr>
      </w:pPr>
    </w:p>
    <w:p>
      <w:pPr>
        <w:ind w:left="340" w:hanging="332"/>
        <w:spacing w:after="0" w:line="250" w:lineRule="auto"/>
        <w:tabs>
          <w:tab w:leader="none" w:pos="33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72"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5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fully developing a sales, marketing and distribution infrastructure and scale up of external manufacturing capabilities to commercialize Ohtuvayre and any product candidates for which we may obtain regulatory approval;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day-to-day activities, which may adversely affect our ability to develop and commercialize Ohtuvayre or our product candidates. In addition, we cannot guarantee that future financing will be available in sufficient amounts or on terms acceptable to us, if at all. Moreover, the terms of any financing may adversely affect our business, the holdings or the rights of our shareholders, or the value of our ordinary shares or ADSs.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our research and development programs relating to ensifentrine or any commercialization efforts, be unable to expand our operations, or be unable to otherwise capitalize on our business opportunities, as desired, which could harm our business and potentially cause us to discontinue operations.</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depend solely on the commercial success of Ohtuvayre. If we are unable to generate significant revenue from the sale of Ohtuvayre or successfully develop ensifentrine for other indications, our financial condition will be adversely affected.</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FDA approved our New Drug Application (“NDA”) for Ohtuvayre for the maintenance treatment of COPD in adult patients on June 26, 2024, and we began generating revenue from the sale of Ohtuvayre in August 2024. We have invested substantially all of our efforts and financial resources on the development of Ohtuvayre and on preparation for its commercial launch, including costs related to commercial drug supply, sales, and marketing, and it is our sole source of revenue. Our ability to achieve profitability depends heavily on its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7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commercialization. In addition, we have not submitted a marketing authorization application (“MAA”) to the EMA or comparable applications to other regulatory authorities for Ohtuvayre. The success of Ohtuvayre will depend on many factors, including the following:</w:t>
      </w:r>
    </w:p>
    <w:p>
      <w:pPr>
        <w:spacing w:after="0" w:line="41" w:lineRule="exact"/>
        <w:rPr>
          <w:sz w:val="20"/>
          <w:szCs w:val="20"/>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and perceived efficacy and potential advantages over alternative treatments, including over direct competitors;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 including any limitations or warnings contained in a product’s approved labeling;</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and ease of administration;</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of marketing and distribution support and timing of market introduction of competitive products;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offer Ohtuvayre for sale at a competitive price;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publicity concerning our product, or competing products and treatments;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and adequate reimbursement for Ohtuvayre;</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occurrence of adverse clinical findings or decreased effectiveness of our product over time identified during continued monitoring and evaluation of patients;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use of our product together with other medications;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CMOs and supply chain to maintain sufficient quantity and quality, and uninterrupted supply, of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timely scale up manufacturing capabilities through current or additional sources to support any increase in market demand;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interactions of our product with other medicines patients are taking;</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mix of private and governmental payers coverage, particularly if the percentage of patients receiving reimbursement from state Medicaid is high since such process can be slower to reimburse; and</w:t>
      </w:r>
    </w:p>
    <w:p>
      <w:pPr>
        <w:spacing w:after="0" w:line="40"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efforts of governmental and other third-party payors to contain, reduce or shift the costs of healthcare through various means, including an increased emphasis on managed care and attempts to limit or regulate the price of medical products and services, particularly for new and innovative products and therapies, any of which may result in downward pressure on pricing, reimbursement and utilization, which may adversely affect our product sales and results of operations.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Even if a product displays a favorable efficacy and safety profile in clinical studies, market acceptance of the product will not be known until some period after it is launched. Our efforts to educate the medical community and payers on the benefits of Ohtuvayre may require significant resources and may never be successful. Our efforts to educate the marketplace may require more resources than are required by the conventional technologies marketed by our competitors. Any of these factors may cause Ohtuvayre to be unsuccessful or less successful than anticipated.</w:t>
      </w:r>
    </w:p>
    <w:p>
      <w:pPr>
        <w:spacing w:after="0" w:line="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success of any product candidates, including our planned and ongoing development programs for ensifentrine, will depend on many factors, including the following:</w:t>
      </w:r>
    </w:p>
    <w:p>
      <w:pPr>
        <w:spacing w:after="0" w:line="68" w:lineRule="exact"/>
        <w:rPr>
          <w:sz w:val="20"/>
          <w:szCs w:val="20"/>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is safe and effective as a treatment for our targeted indications to the satisfaction of the applicable regulatory authorities;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additional pre-clinical or clinical trials, which would increase our costs and prolong our development;</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clinical trials of a product candidate may not meet the level of statistical or clinical significance required by the applicable regulatory authorities for marketing approval;</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disagree with the number, design, size, conduct or implementation of our clinical trials;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72" w:lineRule="exact"/>
        <w:rPr>
          <w:sz w:val="20"/>
          <w:szCs w:val="20"/>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research organizations (“CROs”) that we retain to conduct clinical trials may take actions outside of our control that materially adversely impact our clinical trials;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find the data from pre-clinical studies and clinical trials sufficient to demonstrate that the clinical and other benefits of a product candidate outweigh its safety risks or may disagree with our interpretation of data;</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demonstrate a non-clinical safety profile that is acceptable to the applicable regulatory authorities;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operational or clinical issues may prevent completion or interpretation of clinical study results;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manufacturing issues, product performance issues or stability issues may delay or otherwise adversely affect the progress of our clinical development program;</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regulatory authorities determine that inspections of the manufacturing facilities or clinical sites for our product candidates are required in connection with a marketing application, and such regulatory authorities are unable to conduct such inspections, whether due to travel restrictions or geopolitical conflict, including war and terrorism, such as the ongoing conflicts in Europe and the Middle East;</w:t>
      </w:r>
    </w:p>
    <w:p>
      <w:pPr>
        <w:spacing w:after="0" w:line="55"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not accept data generated at our clinical trial sites due to Good Clinical Practice (“GCP”) compliance issues, misconduct, or other reasons;</w:t>
      </w:r>
    </w:p>
    <w:p>
      <w:pPr>
        <w:spacing w:after="0" w:line="54"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require development of a risk evaluation and mitigation strategy (“REMS”) or similar risk management measures as a condition of approval;</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identify deficiencies in the manufacturing processes or facilities of our third-party manufacturers;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regulatory authorities may change their approval policies or adopt new regulations;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license a product candidate to others, the efforts of those parties in completing clinical trials of, receiving regulatory approval for, and commercializing that product candidate;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our clinical trials, we may discover factors that limit the commercial viability of a product candidate or make the commercialization of such product candidate unfeasible;</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retain rights under a collaboration agreement for a product candidate, our efforts in completing pre-clinical studies and clinical trials of, receiving marketing approvals for, establishing commercial manufacturing capabilities for, and commercializing such product candidate; and</w:t>
      </w:r>
    </w:p>
    <w:p>
      <w:pPr>
        <w:spacing w:after="0" w:line="68"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approved, acceptance of a product by patients, the medical community and third-party payors, effectively competing with other therapies, a continued acceptable safety profile following approval and qualifying for, maintaining, enforcing and defending our intellectual property rights and claims.</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unfavorable outcome in any of these factors could result in our experiencing significant delays or an inability to successfully commercialize our product candidates.</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cannot be certain that any of our product candidates will be successful in clinical trials or receive regulatory approval. Further, our product candidates may not receive regulatory approval even if they are successful in clinical trials. If we do not receive regulatory approvals for our product candidates, we may not be able to continue our operations. Even if we successfully obtain regulatory approvals to manufacture and market our product candidates, our revenues will be dependent, in part, upon the size of the markets in the territories for which we gain regulatory approval and have commercial rights. If the markets for patient subsets that we are targeting are not as significant as we estimate, we may not generate significant revenues from sales of such products, if approved.</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received FDA approval to commercialize ensifentrine in the U.S. for the maintenance treatment of COPD in adult patients under the brand name Ohtuvayre. We may in the future seek regulatory approval to commercialize ensifentrine in the European Union (“EU”) and additional countries. While the scope of regulatory approval is similar in many countries, to obtain separate regulatory approval in multiple countries requires us to comply with the numerous and varying regulatory requirements of such countries regarding safety and efficacy and governing, among other things, clinical trials and commercial sales, pricing and distribution of ensifentrine, and we cannot predict success in these jurisdictions.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limited operating history may make it difficult for investors to evaluate the success of our business to date and to assess our future viability.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Since our inception in 2005, we have devoted substantially all of our resources to developing ensifentrine, building our intellectual property portfolio, developing our supply chain, planning our business, raising capital and providing general and administrative support for these operations. We have completed multiple Phase 1 and 2 clinical trials with different formulations of ensifentrine and for different indications, and two registrational Phase 3 clinical trials with nebulized ensifentrine for the maintenance treatment of COPD. While we have received approval for marketing ensifentrine in the U.S. for the maintenance treatment of COPD in adults, we are in the early stages of sales, marketing and distribution activities necessary for successful product commercialization. Additionally, we are not profitable and have incurred losses in each year since our inception, and we expect our financial condition and operating results to continue to fluctuate significantly from quarter to quarter and year to year due to a variety of factors, many of which are beyond our control. Consequently, any predictions investors make about our future success or viability may not be as accurate as they could be if we had a longer operating history.</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our credit facility place restrictions on our operating and financial flexibility, and our existing and any future indebtedness could adversely affect our ability to operate our business.</w:t>
      </w:r>
    </w:p>
    <w:p>
      <w:pPr>
        <w:spacing w:after="0" w:line="3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On May 9, 2024 (the “2024 Effective Date”), Verona Pharma, Inc. entered into a term loan facility of up to $400.0 million (the “2024 Term Loans” or the “2024 Term Loan Agreement”),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We received net proceeds of $68.6 million related to the Tranche B Term Loan on June 28, 2024 following FDA approval of Ohtuvayre. Each advance under the 2024 Term Loans accrues interest at a per annum rate equal to 11.00%.</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outstanding indebtedness, including any additional indebtedness incurred beyond our borrowings under the 2024 Term Loans, combined with our other financial obligations and contractual commitments could have significant adverse consequences, including:</w:t>
      </w:r>
    </w:p>
    <w:p>
      <w:pPr>
        <w:spacing w:after="0" w:line="68" w:lineRule="exact"/>
        <w:rPr>
          <w:sz w:val="20"/>
          <w:szCs w:val="20"/>
          <w:color w:val="auto"/>
        </w:rPr>
      </w:pPr>
    </w:p>
    <w:p>
      <w:pPr>
        <w:ind w:left="340" w:hanging="332"/>
        <w:spacing w:after="0" w:line="250" w:lineRule="auto"/>
        <w:tabs>
          <w:tab w:leader="none" w:pos="3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portion of our cash resources to the payment of interest and principal, reducing money available to fund working capital, capital expenditures, product candidate development and other general corporate purposes;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changes in general economic, industry and market conditions;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subjecting us to restrictive covenants that may reduce our ability to take certain corporate actions or obtain further debt or equity financing;</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need to meet minimum net sales requirements when our future sales are uncertain;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the industry in which we compete;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that have less debt or better debt servicing options.</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intend to satisfy our current and future debt service obligations with our then existing cash and cash equivalents. However, we may not have sufficient funds, and may be unable to arrange for additional financing, to pay the amounts due under the 2024 Term Loans or any other debt instruments. Failure to satisfy our current and future debt obligations, including covenants to take or avoid specific actions, under the 2024 Term Loan Agreement could result in an event of default and, as a result, the 2024 Lenders could accelerate all of the amounts due. In the event of an acceleration of amounts due under the 2024 Term Loan Agreement as a result of an event of default, we may not have sufficient funds or may be unable to arrange for additional financing to repay our indebtedness while still pursuing our current business strategy. In addition, the 2024 Lenders could seek to enforce their security interests in any collateral securing such indebtedness.</w:t>
      </w:r>
    </w:p>
    <w:p>
      <w:pPr>
        <w:spacing w:after="0" w:line="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if we are liquidated, the 2024 Lenders’ right to repayment would be senior to the rights of holders of our ADSs or our ordinary shares to receive any proceeds from the liquidation. Any declaration by the 2024 Lenders of an event of default could significantly harm our business and prospects and could cause the price of our ADS to decline. In addition, the covenants under the 2024 Term Loan Agreement, the pledge of our assets (including our intellectual property) as collateral could limit our ability to obtain additional debt financing. If we raise any additional debt financing, the terms of such additional debt could further restrict our operating and financial flexibility.</w:t>
      </w:r>
    </w:p>
    <w:p>
      <w:pPr>
        <w:spacing w:after="0" w:line="5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terms of the RIPSA place restrictions on our operating and financial flexibility, and if we fail to comply with certain covenants in the RIPSA, our results of operations and financial condition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7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7"/>
          <w:szCs w:val="17"/>
          <w:color w:val="auto"/>
        </w:rPr>
        <w:t>On May 9, 2024, Verona Pharma plc and Verona Pharma, Inc. (collectively, the “Sellers”) entered into a revenue interest purchase and sale agreement (as amended by that certain First Amendment to Revenue Interest Purchase and Sale Agreement, dated as of November 7, 2024, the “RIPSA”) with Oaktree Fund Administration, LLC, as administrative agent, and certain funds managed by each of Oaktree and OMERS party thereto (collectively, the “Purchasers”). Under the terms of the RIPSA, in exchange for the Purchasers’ payment to us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global net sales of ensifentrine by the Sellers and 5% on certain proceeds the Sellers receive from licenses engaged during the term of the RIPSA outside of the U.S. The Tranche A Purchase Price of $100.0 million was received on June 28, 2024 following FDA approval of Ohtuvayre. We are also eligible to receive an additional funding tranche equal to $150 million upon achievement of a specified net sales milestone in any trailing six-month period after receipt of the Tranche A Purchase Price. The RIPSA contains covenants that impose on us certain obligations with respect to payment, diligence, reporting, intellectual property, license agreements, and certain other actions, as well as indemnification obligations. Among other things, these covenants require us to use commercially reasonable efforts to develop and commercialize ensifentrine in the U.S. and each major jurisdiction in which a marketing authorization is obtained, and limit our ability to create or incur liens or dispose of certain assets related to ensifentrine. Compliance with these covenants may limit our flexibility in operating our business and our ability to take actions that might otherwise be advantageous to us and our shareholders, including the holders of our ADSs. Pursuant to the RIPSA and related security agreement, we granted to the Purchasers a second-priority lien in certain of our intellectual property assets and other related assets to secure our obligations under the RIPSA. If we are unable to comply with our obligations, the Purchasers could seek to enforce their security interest in such assets.</w:t>
      </w:r>
    </w:p>
    <w:p>
      <w:pPr>
        <w:spacing w:after="0" w:line="7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Further, the RIPSA and our payment obligations to the Purchasers could have important negative consequences to holders of our securities. For example, a portion of our cash flow from operations will be needed to make required payments to the Purchasers and will not be available to fund future operations.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Payment requirements under the RIPSA will increase our cash outflows. Our future operating performance is subject to market conditions and business factors that are beyond our control. If our cash inflows and capital resources are insufficient to allow us to make required payments, we may have to reduce or delay capital expenditures, sell assets or seek additional capital. If we raise funds by selling additional equity, such sale would result in dilution to our shareholders. There is no assurance that if we are required to secure funding we can do so on terms acceptable to us, or at all. Failure to pay amounts owed to the Purchasers when due would result in a default under the RIPSA and could result in foreclosure on all or substantially all of our assets, which would have a material adverse effect.</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holders, restrict our operations or require us to relinquish rights to our technologies or product candidates.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securities offerings, the ownership interest of our ADS holders and 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r>
        <w:rPr>
          <w:rFonts w:ascii="Times New Roman" w:cs="Times New Roman" w:eastAsia="Times New Roman" w:hAnsi="Times New Roman"/>
          <w:sz w:val="18"/>
          <w:szCs w:val="18"/>
          <w:b w:val="1"/>
          <w:bCs w:val="1"/>
          <w:i w:val="1"/>
          <w:iCs w:val="1"/>
          <w:color w:val="auto"/>
        </w:rPr>
        <w:t>.</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become subject to economic, political, regulatory and other risks associated with international operations.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company based in the U.K. and whose securities are listed on Nasdaq, our business is subject to risks associated with conducting business internationally. Many of our suppliers and collaborative and clinical trial relationships are located outside the U.K. and the U.S. Accordingly, our future results could be harmed by a variety of factors,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72" w:lineRule="exact"/>
        <w:rPr>
          <w:sz w:val="20"/>
          <w:szCs w:val="20"/>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non-U.S. economies and markets;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regulatory requirements for drug approvals in non-U.S. countries;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jurisdictions could present different issues for securing, maintaining or obtaining freedom to operate in such jurisdictions;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reduced protection for intellectual property rights;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compliance with non-U.S. laws and regulations;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regulations and customs, tariffs and trade barriers;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non-U.S. currency exchange rates of the euro and currency controls;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environment;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protection measures, import or export licensing requirements or other restrictive actions by U.S. or non-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governments;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reimbursement regimes and price controls in certain non-U.S. markets;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consequences from changes in tax laws;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associated with staffing and managing international operations, including differing labor relations;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natural disasters including earthquakes, typhoons, floods and fires, or public health emergencies.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materially affect our results of operations and financial condition.</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Although we are based in the U.K., our financial statements are denominated in U.S. dollars and many of our business activities are carried out with partners outside the U.S. and U.K. and these transactions may be denominated in another currency. As a result, our business and the price of our ADSs may be affected by fluctuations in foreign exchange rates not only between the pound sterling and the U.S. dollar, but also the currencies of other countries, which may have a significant impact on our results of operations and cash flows from period to period. Currently, we do not have any exchange rate hedging arrangements in place.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Development, Clinical Testing and Regulatory Approval</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and regulatory approval involve a lengthy and expensive process, with uncertain outcomes. We may incur additional costs or experience delays in completing, or ultimately be unable to complete, the development and regulatory approval of our product candidates.</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Clinical drug development is a lengthy and expensive process with uncertain timelines and uncertain outcomes. If clinical trials of our product candidates, including our ensifentrine programs for additional targeted indications and formulations, are prolonged or delayed, or if such clinical trials fail to show the safety and efficacy required by regulatory authorities, we or our collaborators may be unable to obtain required regulatory approvals and be unable to commercialize our product candidates on a timely basis, or at all.</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To obtain the requisite regulatory approvals to market and sell our product candidates, we or any collaborator must demonstrate through extensive pre-clinical studies and clinical trials that such product candidates are safe and effective in humans. Clinical testing is expensive and can take many years to complete, and its outcome is inherently uncertain. Failure can occur at any time during the clinical trial process. The results of pre-clinical studies and early-stage clinical trials of product candidates may not be predictive of the results of later-stage clinical trials. Product candidates in later stages of clinical trials may fail to show the desired safety and efficacy traits despite having progressed through pre-clinical studies and initial clinical trials. Regulators’ interpretations of results may differ from our own, and expectations can change over time while a product is in clinical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 number of companies in the biopharmaceutical industry have suffered significant setbacks in advanced clinical trials due to lack of efficacy or adverse safety profiles, notwithstanding promising results in earlier trials. The FDA may require us to conduct additional pre-clinical studies or clinical trials that may not be successful, or may not be considered successful by regulators.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wish to commercialize ensifentrine in territories other than the U.S., the regulatory authorities in such territories may require us to conduct additional pre-clinical studies or clinical trials beyond those we successfully completed to obtain FDA approval of Ohtuvayre, and if we wish to commercialize ensifentrine in other formulations or for other targeted indications, we will also be required to conduct further clinical studies in the U.S. to support potential FDA approvals for such targeted indications and formulations.</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may experience delays in clinical trials of ensifentrine in different formulations, including fixed-dose combinations, and we do not know whether planned clinical trials will begin on time, need to be redesigned, enroll patients on time or be completed on schedule, if at all. Our clinical trials can be delayed, suspended, or terminated, or the utility of data from these trials may be compromised, for a variety of reasons, including the following:</w:t>
      </w:r>
    </w:p>
    <w:p>
      <w:pPr>
        <w:spacing w:after="0" w:line="76" w:lineRule="exact"/>
        <w:rPr>
          <w:sz w:val="20"/>
          <w:szCs w:val="20"/>
          <w:color w:val="auto"/>
        </w:rPr>
      </w:pP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generate sufficient preclinical, toxicology, drug product characterizations or other in vivo or in vitro data to support the initiation or continuation of clinical trials;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agreement on clinical trial design or implementation, including dose and frequency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regulatory authorization to commence a trial;</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reach agreement on acceptable terms with prospective CROs and clinical trial sites, the terms of which can be subject to extensive negotiation and may vary significantly among different CROs and trial sites;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a CRO to meet their contracted obligations regarding subject enrollment, data collection, data monitoring, laboratory sample management, programming and analysis or other activities;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obtain institutional review board (“IRB”), or ethics committee approval or positive opinion at each site;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failure to recruit suitable patients to participate in a trial;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have patients complete a trial or return for post-treatment follow-up;</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sites deviating from trial protocol or dropping out of a trial or committing gross misconduct or fraud;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to the addition of new clinical trial sites;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achieve or maintain double-blinding, when required by the applicable clinical trial protocol;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technical issues during manufacture;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variability in drug product performance and/or stability;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discoveries that may reduce the commercial viability of the product candidate;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manufacture sufficient quantities of the applicable product candidates for use in clinical trials;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quality or stability of the product candidate falling below acceptable standards for either safety or efficacy;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actions claiming infringement by the product candidate in clinical trials and obtaining injunctions interfering with our progress;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such as the ongoing conflicts in Europe and the Middle East, or natural disasters and other extreme weather-related events including earthquakes, hurricanes, typhoons, floods and fires;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sanctions imposed by the U.S. or other governments impacting our ability to transfer money to certain countries, such as Russia, to pay clinical trials sites in those countries;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or tolerability concerns causing us or our collaborators, as applicable, to suspend or terminate a trial if we or our collaborators find that the participants are being exposed to unacceptable health risks;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requirements, policies and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72" w:lineRule="exact"/>
        <w:rPr>
          <w:sz w:val="20"/>
          <w:szCs w:val="20"/>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retention rates of patients and volunteers in clinical trials;</w:t>
      </w:r>
    </w:p>
    <w:p>
      <w:pPr>
        <w:spacing w:after="0" w:line="103"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our third-party research contractors to comply with regulatory requirements or to meet their contractual obligations to us in a timely manner, or at all;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certain countries in identifying the populations that we are trying to evaluate in a particular trial, which may delay enrollment.</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Review Committee or Data Safety Monitoring Board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failure of our clinical trials to demonstrate adequate efficacy and safety, changes in governmental regulations or administrative actions or lack of adequate funding to continue the clinical trial.</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other regulatory authority. The FDA or other regulatory authority may conclude that a financial relationship between us and a principal investigator has created a conflict of interest or otherwise affected interpretation of the study. The FDA or other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other regulatory authority.</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If we experience delays in the completion of any clinical trial of ensifentrine for any indication, or of any other product candidate, or any clinical trial of ensifentrine or any other product candidate is terminated, the commercial prospects of such product candidates may be harmed, and our ability to generate product revenues, if any, will be delayed. Moreover, any delays in completing our clinical trials will increase our costs, slow down the development and approval process and jeopardize our ability to commence product sales and generate revenue, if any. Significant clinical trial delays could also allow our competitors to bring products to market before we do or shorten any periods during which we have the exclusive right to commercialize our product candidates and could impair our ability to commercialize our product candidates. In addition, many of the factors that cause, or lead to, a delay in the commencement or completion of clinical trials may also ultimately lead to the denial of regulatory approval of any product candidate.</w:t>
      </w:r>
    </w:p>
    <w:p>
      <w:pPr>
        <w:spacing w:after="0" w:line="7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Clinical trials must be conducted in accordance with the laws and regulations of the FDA, EU rules and regulations and other applicable regulatory authorities’ legal requirements, regulations or guidelines, and are subject to oversight by these governmental agencies and IRBs (or other ethics committees) at the medical institutions where the clinical trials are conducted. In addition, clinical trials must be conducted with supplies of the product candidate produced under current good manufacturing practice (“cGMP”) and similar foreign requirements and other regulations. Furthermore, we rely on CROs and clinical trial sites to ensure the proper and timely conduct of our clinical trials and while we have agreements governing their committed activities, we have limited influence over their actual performance. We depend on our collaborators and on medical institutions and CROs to conduct our clinical trials in compliance with GCP requirements. To the extent our collaborators or the CROs fail to enroll participants for our clinical trials, fail to conduct the study to GCP standards or are delayed for a significant time in the execution of trials, including achieving full enrollment, we may be affected by increased costs, program delays or both. In addition, clinical trials that are conducted in countries outside the EU and the U.S. may subject us to further delays and expenses as a result of increased shipment costs, additional regulatory requirements and the engagement of non-EU and non-U.S. CROs, as well as expose us to risks associated with clinical investigators who are unknown to the FDA or the EMA, and different standards of diagnosis, screening and medical care.</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the FDA’s and other regulatory authorities’ policies with respect to clinical trials may change and additional government regulations may be enacted. For instance, the regulatory landscape related to clinical trials in the EU recently evolved. The EU Clinical Trials Regulation (“CTR”), which was adopted in April 2014 and repeals the EU Clinical Trials Directive, became applicable on January 31, 2022. While the EU Clinical Trials Directive required a separate clinical trial application (“CTA”), to be submitted in each member state in which the clinical trial takes place, to both the competent national health authority and an independent ethics committee, the CTR introduces a centralized process and only requires the submission of a single application for multi-center trials. The CTR allows sponsors to make a single submission to both the competent authority and an ethics committee in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member state, leading to a single decision per member state. The assessment procedure of the CTA has been harmonized as well, including a joint assessment by all member states concerned, and a separate assessment by each member state with respect to specific requirements related to its own territory, including ethics rules. Each member state’s decision is communicated to the sponsor via the centralized EU portal. Once the CTA is approved, clinical study development may proceed. The CTR transition period ended on January 31, 2025 and all clinical trials and related applications are now fully subject to the provisions of the CTR. Compliance with the CTR requirements by us and our third-party service providers, such as CROs, may impact our developments plans.</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It is currently unclear to what extent the U.K. will seek to align its regulations with the EU. The U.K. regulatory framework in relation to clinical trials is derived from the now-repealed EU Clinical Trials Directive (as implemented into U.K. law, through the Medicines for Human Use (Clinical Trials) Regulations 2004, as amended).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extent to which the regulation of clinical trials in the U.K. will mirror the (EU) CTR in the long term is not yet certain, however, on December 12, 2024, the U.K. government introduced a legislative proposal - the Medicines for Human Use (Clinical Trials) Amendment Regulations 2024 - that, if implemented, will replace the current regulatory framework for clinical trials in the U.K. The U.K. government has provided the legislative proposal to the U.K. Parliament for its review and approval. Once the legislative proposal is approved (with or without amendment), it will be adopted into U.K. law which is expected in early 2026. A decision by the U.K. not to closely align its regulations with the new approach that has been adopted in the EU may have an effect on the cost of conducting clinical trials in the U.K. compared with other countries.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slow or unable to adapt to changes in existing requirements or the adoption of new requirements or policies governing clinical trials, our development plans may be impacted.</w:t>
      </w:r>
    </w:p>
    <w:p>
      <w:pPr>
        <w:spacing w:after="0" w:line="3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b w:val="1"/>
          <w:bCs w:val="1"/>
          <w:i w:val="1"/>
          <w:iCs w:val="1"/>
          <w:color w:val="auto"/>
        </w:rPr>
        <w:t>Our product and product candidates may have serious adverse, undesirable or unacceptable side effects which may delay or prevent marketing approval. If such side effects are identified during product development or following approval, if any, we may need to abandon our development programs, the commercial profile of any approved label may be limited, or we may be subject to other significant negative consequences following marketing approval, if any.</w:t>
      </w:r>
    </w:p>
    <w:p>
      <w:pPr>
        <w:spacing w:after="0" w:line="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Undesirable side effects that may be caused by a product or product candidate could cause us or regulatory authorities to interrupt, delay or halt clinical trials and could result in a more restrictive or less desirable label or the delay or denial of regulatory approval by the FDA or other comparable foreign authorities. 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observed in previous trials, as well as conditions that did not occur or went undetected in previous trials, will be reported by patients. Many times, side effects are only detectable after investigational products are tested in large-scale clinical trials or, in some cases, after they are made available to patients on a commercial scale following approval. We have completed more than twenty Phase 1, 2 and 3 clinical trials of ensifentrine. In these trials, some patients have experienced mild to moderate adverse reactions, including urinary tract infection, back pain, hypertension, and diarrhea. An increase in psychiatric adverse events were reported with use of ensifentrine, although such events were rare and a causal relationship between ensifentrine and increased rates of psychiatric events could not be established at the time of FDA approval of Ohtuvayre.</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Results of our future clinical trials could reveal a high and unacceptable severity and prevalence of adverse side effects. In such an event, our trials could be suspended or terminated and the FDA or other comparable foreign regulatory authorities could order us to cease further development of or deny approval of our product candidates for any or all targeted indications. The drug-related side effects could affect patient recruitment or the ability of enrolled patients to complete the trial or result in potential product liability claims. Additionally, if we or others identify undesirable or unacceptable side effects following regulatory approval, a number of potentially significant negative consequences could result, including:</w:t>
      </w:r>
    </w:p>
    <w:p>
      <w:pPr>
        <w:spacing w:after="0" w:line="80" w:lineRule="exact"/>
        <w:rPr>
          <w:sz w:val="20"/>
          <w:szCs w:val="20"/>
          <w:color w:val="auto"/>
        </w:rPr>
      </w:pPr>
    </w:p>
    <w:p>
      <w:pPr>
        <w:ind w:left="320" w:hanging="312"/>
        <w:spacing w:after="0"/>
        <w:tabs>
          <w:tab w:leader="none" w:pos="3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approvals of such products and require us to take them off the market;</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the addition of labeling statements, specific warnings, a contraindication or field alerts to physicians and pharmacies;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 medication guide outlining the risks of such side effects for distribution to patients, or that we implement a REMS plan or similar risk management measures to ensure that the benefits of ensifentrine outweigh its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72" w:lineRule="exact"/>
        <w:rPr>
          <w:sz w:val="20"/>
          <w:szCs w:val="20"/>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a product is administered, conduct additional clinical trials or change the labeling of the product;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limitations on how we may promote a product;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sales may be adversely impacted;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Any of these events could prevent us or any collaborators from achieving or maintaining market acceptance of any approved products, including Ohtuvayre, or could have significant negative consequences on the commercialization of such products, which in turn could delay or prevent us from generating significant revenue from the sale of such products.</w:t>
      </w:r>
    </w:p>
    <w:p>
      <w:pPr>
        <w:spacing w:after="0" w:line="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develop ensifentrine in different formulations, including fixed-dose combinations, and/or for other targeted indications, including bronchiectasis, CF, asthma or other respiratory diseases.</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Part of our strategy is to continue to develop ensifentrine in different formulations and in indications other than COPD, such as bronchiectasis, CF and asthma and other formulations including fixed-dose combinations, MDI and DPI. Although our research and development efforts to date have suggested that ensifentrine has the potential to treat bronchiectasis, CF and asthma, we may not be able to successfully develop ensifentrine to address these or any other diseases or conditions. In addition, the potential use of ensifentrine in other diseases may not be suitable for clinical development, including as a result of difficulties enrolling patients in any clinical studies we plan to initiate or the potential for harmful side effects or other characteristics that might suggest marketing approval and market acceptance are unlikely. We may find that it may not be feasible to develop an acceptable combination of ensifentrine with other products, including LAMAs, or that chemical stability or drug product stability does not support further development. If we do not continue to successfully develop, obtain regulatory approval for, and begin to commercialize ensifentrine for additional indications or formulations, we will face difficulty in obtaining product revenues in future periods, which could significantly harm our financial position.</w:t>
      </w:r>
    </w:p>
    <w:p>
      <w:pPr>
        <w:spacing w:after="0" w:line="6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depend on enrollment of patients in our clinical trials. If we are unable to enroll patients in our clinical trials, or enrollment is slower than anticipated, our research and development efforts could be adversely affected.</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Successful and timely completion of clinical trials will require that we enroll a sufficient number of patient candidates. Trials may be subject to delays as a result of patient enrollment taking longer than anticipated or patient withdrawal and other external factors. Patient enrollment depends on many factors, including the size and nature of the patient population, the severity of the disease under investigation, eligibility criteria for the trial, the proximity of patients to clinical sites, the design of the clinical protocol, the ability to obtain and maintain patient consents, the risk that enrolled patients will drop out of a trial, the availability of competing clinical trials, the availability of new drugs approved for the indication the clinical trial is investigating and clinicians’ and patients’ perceptions as to the potential advantages of the drug being studied in relation to other available therapies. These factors may make it difficult for us to enroll enough patients to complete our clinical trials in a timely and cost-effective manner. Higher than expected numbers of patients could also discontinue participation in the clinical trials. Delays in the completion of any clinical trial will increase our costs, slow down our development and delay or potentially jeopardize our ability to commence product sales and generate revenue. In addition, some of the factors that cause, or lead to, a delay in the commencement or completion of clinical trials may also ultimately lead to the denial of regulatory approval.</w:t>
      </w:r>
    </w:p>
    <w:p>
      <w:pPr>
        <w:spacing w:after="0" w:line="6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become exposed to costly and damaging liability claims, either when testing product candidates in the clinic or at the commercial stage, and our product liability insurance may not cover all damages from such claims.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are exposed to potential product liability and professional indemnity risks that are inherent in the research, development, manufacturing, marketing and use of pharmaceutical products. The current and future use of product candidates by us and any collaborators in clinical trials, and the commercial sale of Ohtuvayre by us or partners, may expose us to liability claims. These claims might be made by patients that use the product, healthcare providers, pharmaceutical companies, our collaborators or others selling Ohtuvayre. Any claims against us, regardless of their merit, could be difficult and costly to defend and could adversely affect the market for Ohtuvayre or any prospects for commercialization of other product candidates. In addition, regardless of the merits or eventual outcome, liability claims may result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2" w:lineRule="exact"/>
        <w:rPr>
          <w:sz w:val="20"/>
          <w:szCs w:val="20"/>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the reputation of Ohtuvayre in the market;</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related litigation;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time and our resources;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investigation, product recalls or withdrawals, or labeling, marketing or promotional restrictions;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or promote any approved products, including Ohtuvayre.</w:t>
      </w:r>
    </w:p>
    <w:p>
      <w:pPr>
        <w:spacing w:after="0" w:line="10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the clinical trial process is designed to identify and assess potential side effects,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warnings that identify known potential adverse effects and patients who should not use a product.</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Although we maintain product liability insurance for our product candidates and commercial products including Ohtuvayre, it is possible that our liabilities could exceed our insurance coverage. We may not be able to maintain insurance coverage at a reasonable cost or obtain insurance coverage that will be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spacing w:after="0" w:line="5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the EMA and comparable foreign regulatory authorities are lengthy, time consuming and inherently unpredictable, and if we are ultimately unable to obtain regulatory approval for ensifentrine for the maintenance treatment of COPD in adult patients in jurisdictions outside the U.S. or for ensifentrine for additional targeted indications and formulations, our business will be substantially harmed.</w:t>
      </w:r>
    </w:p>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time required to obtain approval by the FDA, the European Commission and comparable foreign regulatory authorities is unpredictable, but typically takes many years following the commencement of clinical trials and depends upon numerous factors, including substantial discretion of the regulatory authorities. In addition, approval policies, regulations, or the type and amount of clinical data necessary to gain approval may change during the course of a product candidate’s clinical development and may vary among jurisdictions. We have not obtained regulatory approval for ensifentrine outside of the U.S. and it is possible that ensifentrine or any product candidates we may develop in the future will never obtain the necessary or desired regulatory approvals.</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Prior to obtaining approval to commercialize a product candidate in the U.S. or abroad, we or our collaborators must demonstrate with substantial evidence from well-controlled clinical trials, and to the satisfaction of the FDA or foreign regulatory agencies, that such product candidate is safe and effective for its intended uses. Results from nonclinical studies and clinical trials can be interpreted in different ways. Even if we believe the nonclinical or clinical data for our product candidate are promising, such data may not be sufficient to support approval by the applicable regulatory authority. The FDA or foreign regulatory agencies may also require us to conduct additional preclinical studies or clinical trials prior to or post-approval, or it may object to elements of our clinical development program.</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Product candidates could fail to receive regulatory approval for many reasons, including the following:</w:t>
      </w:r>
    </w:p>
    <w:p>
      <w:pPr>
        <w:spacing w:after="0" w:line="104" w:lineRule="exact"/>
        <w:rPr>
          <w:sz w:val="20"/>
          <w:szCs w:val="20"/>
          <w:color w:val="auto"/>
        </w:rPr>
      </w:pPr>
    </w:p>
    <w:p>
      <w:pPr>
        <w:ind w:left="340" w:right="20" w:hanging="332"/>
        <w:spacing w:after="0" w:line="266"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to the satisfaction of the FDA, the EMA or comparable foreign regulatory authorities that a product candidate is safe and effective for its proposed indication;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unable to demonstrate that a product candidate’s benefits outweigh its safety risks;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interpretation of data from pre-clinical studies or clinical trials or may find the data to be unacceptable;</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collected from clinical trials may, for various reasons, be considered insufficient to support the submission or approval of an NDA or supplemental NDA in the U.S., an MAA or variation in the EU, or other comparable submission to obtain regulatory approval in other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72" w:lineRule="exact"/>
        <w:rPr>
          <w:sz w:val="20"/>
          <w:szCs w:val="20"/>
          <w:color w:val="auto"/>
        </w:rPr>
      </w:pPr>
    </w:p>
    <w:p>
      <w:pPr>
        <w:ind w:left="34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comparable regulatory authorities may identify issues of GCP noncompliance or unacceptable practices at clinical sites or CROs participating in our clinical studies, rendering clinical data insufficient to support approval;</w:t>
      </w:r>
    </w:p>
    <w:p>
      <w:pPr>
        <w:spacing w:after="0" w:line="54"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the design or implementation of our clinical trials;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the EMA or comparable foreign regulatory authorities may disagree with our proposed product specifications and performance characteristics.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This lengthy approval process as well as the unpredictability of future clinical trial results may result in our failing to obtain the necessary or desired regulatory approvals for our product candidates. The FDA, the EMA and other regulatory authorities have substantial discretion in the approval process, and determining when or whether regulatory approval will be obtained for our products. Even if we believe the data collected from our clinical trials are promising, such data may not be sufficient to support approval by the FDA, the European Commission or any other regulatory authority.</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even if we receive regulatory approvals for our product candidates, regulatory authorities may approve our product candidates for fewer or more limited indications than we request, may not approve the price we intend to charge, may grant approval contingent on the performance of costly post-marketing clinical trials, or may approve a product candidate with a label that does not include the labeling claims necessary or desirable for successful commercialization. Any of the foregoing scenarios could materially harm the commercial prospects for our product candidates, if approved at all.</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FDA and foreign regulatory authorities may change their approval policies and new regulations may be enacted. For instance, the EU pharmaceutical legislation is currently undergoing a complete review process, in the context of the Pharmaceutical Strategy for Europe initiative, launched by the European Commission in November 2020. The European Commission’s proposal for revision of several legislative instruments related to medicinal products (potentially reducing the duration of regulatory data protection, revising the eligibility for expedited pathways, etc.) was published on April 26, 2023. The proposed revisions remain to be agreed and adopted by the European Parliament and European Council and the proposals may therefore be substantially revised before adoption, which is not anticipated before early 2026. The revisions may however have a significant impact on the biopharmaceutical industry and our business in the long term.</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ability of the FDA and comparable foreign regulatory authorities to review and approve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or modifications to cleared or approved drugs, to be reviewed and/ 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 If a prolonged government shutdown occurs, or if global health concerns otherwise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Even though the FDA has approved Ohtuvayre, we remain subject to ongoing obligations and continued regulatory review, which may result in significant additional expense. Additionally, Ohtuvayre and any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approved products could be subject to labeling and other restrictions and market withdrawal and we may be subject to penalties if we fail to comply with regulatory requirements or experience unanticipated problems.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With respect to any products approved by the FDA or a comparable foreign regulatory, including Ohtuvayre, the manufacturing processes, labeling, packaging, distribution, adverse event reporting, storage, advertising, promotion and record keeping for such product remains subject to extensive and ongoing regulatory requirements. These requirements include, among other things, payment of annual user fees, submissions of safety and other post-marketing information and reports, facility registration and drug listing, as well as continued compliance with cGMP and similar foreign requirements for the manufacture of the product and GCP requirements for any clinical trials that we conduct post-approval, all of which may result in significant expense and limit our ability to commercialize any approved products, including Ohtuvayre. In addition, any approval we may obtain could include significant limitations related to use, restrictions for specified age groups, warnings, precautions or contraindications, and may include burdensome post-approval study or risk management requirements.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and our contract manufacturers will also be subject to periodic inspection by the FDA and other regulatory authorities to monitor compliance with these requirements.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and other comparable foreign regulatory requirements may subject our company to administrative or judicially imposed sanctions, including:</w:t>
      </w:r>
    </w:p>
    <w:p>
      <w:pPr>
        <w:spacing w:after="0" w:line="80" w:lineRule="exact"/>
        <w:rPr>
          <w:sz w:val="20"/>
          <w:szCs w:val="20"/>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or the rejection of product approvals;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our ability to conduct clinical trials, including full or partial clinical holds on ongoing or planned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products, manufacturers or manufacturing process;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or untitled letters;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and criminal penalties;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seizures, detentions or import bans;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or partial suspension of production; and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restrictions on operations, including costly new manufacturing requirements.</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occurrence of any event or penalty described above may inhibit our ability to commercialize our products and generate revenue and could require us to expend significant time and resources in response and could generate negative publicity.</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or executive action, either in the U.S. or abroad. If we are slow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The FDA and other foreign regulatory agencies actively enforce the laws and regulations prohibiting the promotion of off-label uses which may result in significant liability if we are found to have violated such laws.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are found to have improperly promoted off-label uses for our products, we may become subject to significant liability. 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For example, the FDA has approved Ohtuvayre for the maintenance treatment of COPD in adult patients, and we are not permitted to promote Ohtuvayre for any other uses. Physicians may nevertheless prescribe it to their patients in a manner that is inconsistent with the approved label. If we are found to have promoted such off-label uses, we may become subject to significant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Ohtuvayre and any other products for which we may obtain regulatory approval, we could become subject to significant liability, which would materially adversely affect our business and financial condition.</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Europe, off-label use is not per se regulated by the EU pharmaceutical legislation and a difference is made between the strict regulation of medicinal product and the use of medicinal products in medical practice. Off-label use is deferred to national regulation and may vary depending on the EU member state(s).</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never obtain approval or commercialize ensifentrine in other major markets outside of the U.S., which would limit our ability to realize its full market potential.</w:t>
      </w:r>
    </w:p>
    <w:p>
      <w:pPr>
        <w:spacing w:after="0" w:line="5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In order to market any products in a country or territory, we must establish and comply with numerous and varying regulatory requirements of such country or territory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regulatory approvals in all major markets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ensifentrine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While we have received approval in the U.S. for Ohtuvayre for the maintenance treatment of COPD in adult patients, we currently do not have any product candidates approved for sale in any other jurisdiction, whether in the EU or any other international markets, and we do not have experience in obtaining regulatory approval in international markets. If we fail to comply with regulatory requirements in international markets or to obtain and maintain required approvals, our target market will be reduced and our ability to realize the full market potential of our products will be compromised.</w:t>
      </w:r>
    </w:p>
    <w:p>
      <w:pPr>
        <w:spacing w:after="0" w:line="6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employees and independent contractors, including principal investigators, CROs, consultants, vendors and collaboration partners may engage in misconduct or other improper activities, including noncompliance with regulatory standards and requirements.</w:t>
      </w:r>
    </w:p>
    <w:p>
      <w:pPr>
        <w:spacing w:after="0" w:line="5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exposed to the risk that our employees and independent contractors, including principal investigators, CROs, consultants, vendors and collaboration partners may engage in fraudulent conduct or other illegal activities. Misconduct by these parties could include intentional, reckless or negligent conduct or unauthorized activities that violate: (i) the laws and regulations of the FDA, the EU and other similar regulatory bodies, including those laws that require the reporting of true, complete and accurate information to such authorities; (ii) manufacturing standards; (iii) federal and state data privacy, security, fraud and abuse and other healthcare laws and regulations in the U.S. and abroad; or (iv) laws that require the reporting of true, complete and accurate financial information and data. Specifically,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creating fraudulent data in our pre-clinical studies or clinical trials or illegal misappropriation of drug product,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significant civil, criminal and administrative penalties, damages, monetary fines, disgorgements, possible exclusion from participation in Medicare, Medicaid and other U.S. federal healthcare programs or healthcare programs in other jurisdictions, integrity oversight and reporting obligations to resolve allegations of non-compliance, individual imprisonment, other sanctions, contractual damages, reputational harm, diminished profits and future earnings, and curtailment of our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6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Interim, “top-line,” or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From time to time, we may publicly disclose interim, top-line or preliminary data from our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published. As a result, top-line and preliminary data should be viewed with caution until the final data are available.</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differences between interim data and final data could significantly harm our business prospects.</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63"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If the interim, top-line or preliminary data that we report differ from actual results, or if others, including regulatory authorities, disagree with the conclusions reached, our ability to obtain approval for, and commercialize, our product candidates may be harmed, which could harm our business, operating results, prospects or financial condition.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Healthcare Laws and Other Legal Compliance Matters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Enacted and future legislation and regulation may increase the difficulty and cost for us to commercialize our products and may affect the prices we may set.</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the United States, the EU and other foreign jurisdictions, there have been, and we expect there will continue to be, a number of legislative and regulatory changes and proposed changes to the healthcare system that could affect our future results of operations. In particular, there have been and continue to be a number of initiatives at the U.S. federal and state levels that seek to reduce healthcare costs and improve the quality of healthcare. For example, in March 2010, the Patient Protection and Affordable Care Act (the “ACA”) was enacted, which substantially changes the way healthcare is financed by both governmental and private insurers. Among the provisions of the ACA, those of greatest importance to the pharmaceutical and biotechnology industries include the following:</w:t>
      </w:r>
    </w:p>
    <w:p>
      <w:pPr>
        <w:spacing w:after="0" w:line="80" w:lineRule="exact"/>
        <w:rPr>
          <w:sz w:val="20"/>
          <w:szCs w:val="20"/>
          <w:color w:val="auto"/>
        </w:rPr>
      </w:pPr>
    </w:p>
    <w:p>
      <w:pPr>
        <w:ind w:left="340" w:right="2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non-deductible fee payable by any entity that manufactures or imports certain branded prescription drugs and biologic agents, which is apportioned among these entities according to their market share in certain government healthcare programs;</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Medicare Part D coverage gap discount program, which was replaced by a new manufacturer discount program on January 1, 2025 (as discussed below), in which manufacturers were required to agree to offer point-of-sale discounts off negotiated prices of applicable brand drugs to eligible beneficiaries during their coverage gap period, as a condition for the manufacturer’s outpatient drugs to be covered under Medicare Part D;</w:t>
      </w:r>
    </w:p>
    <w:p>
      <w:pPr>
        <w:spacing w:after="0" w:line="5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the statutory minimum rebates a manufacturer must pay under the Medicaid Drug Rebate Program (the “MDRP”);</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methodology by which rebates owed by manufacturers under the MDRP are calculated for drugs that are inhaled, infused, instilled, implanted or injected and not generally distributed through the retail channel;</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extension of a manufacturer’s Medicaid rebate liability to covered drugs dispensed to individuals who are enrolled in Medicaid managed care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72" w:lineRule="exact"/>
        <w:rPr>
          <w:sz w:val="20"/>
          <w:szCs w:val="20"/>
          <w:color w:val="auto"/>
        </w:rPr>
      </w:pPr>
    </w:p>
    <w:p>
      <w:pPr>
        <w:ind w:left="340" w:hanging="332"/>
        <w:spacing w:after="0" w:line="266"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new Patient-Centered Outcomes Research Institute to oversee, identify priorities in, and conduct comparative clinical effectiveness research, along with funding for such research; and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establishment of a Center for Medicare and Medicaid Innovation at the Centers for Medicare and Medicaid Services, or CMS, to test innovative payment and service delivery models to lower Medicare and Medicaid spending, potentially including prescription drug spending.</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Since its enactment, there have been judicial, executive and Congressional challenges to certain aspects of the ACA. On June 17, 2021, the U.S. Supreme Court dismissed the most recent judicial challenge to the ACA brought by several states without specifically ruling on the constitutionality of the ACA. Thus, the ACA will remain in force as it currently exists.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For example, the Budget Control Act of 2011 has, among other things, led to aggregate reductions of Medicare payments to providers, which, due to subsequent legislative amendments to the statute, will remain in effect through 2032, unless additional action is taken by Congress. The American Taxpayer Relief Act of 2012, among other things, further reduced Medicare payments to several types of providers, including hospitals, imaging centers and cancer treatment centers, and increased the statute of limitations period for the government to recover overpayments to providers from three to five years. In addition, the American Rescue Plan Act of 2021 eliminated the statutory Medicaid drug rebate cap, beginning January 1, 2024. The rebate was previously capped at 100% of a drug’s average manufacturer price. These laws and any laws enacted in the future may result in additional reductions in Medicare and other health care funding, which could have a material adverse effect on our customers and accordingly, our financial operations.</w:t>
      </w:r>
    </w:p>
    <w:p>
      <w:pPr>
        <w:spacing w:after="0" w:line="6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Most significantly, on August 16, 2022, the Inflation Reduction Act of 2022, or IRA, was signed into law. Among other things, the IRA requires manufacturers of certain drugs to engage in price negotiations with Medicare, with prices that can be negotiated subject to a cap (with resulting prices for the initial ten drugs, which were announced in 2023, first effective in 2026); imposes rebates under Medicare Part B and Medicare Part D to penalize price increases that outpace inflation (first due in 2023); redesigns the Medicare Part D benefit (beginning 2024); and replaces the Part D coverage gap discount program originally established under the ACA with a new discounting program (which began on January 1, 2025). The IRA permits the Secretary of the Department of Health and Human Services, or HHS, to implement many of these provisions through guidance, as opposed to regulation, for the initial years. HHS has and will continue to issue and update guidance as these programs are implemented. CMS has published the negotiated prices for the initial ten drugs, which will first be effective in 2026, and the list of the subsequent 15 drugs that will be subject to negotiation, although the Medicare drug price negotiation program is currently subject to legal challenges. The impact of the IRA on our company and the pharmaceutical industry cannot yet be fully determined but is likely to be significant.</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CMS may develop new payment and delivery models, such as bundled payment models. In addition, recently there has been heightened governmental scrutiny over the manner in which manufacturers set prices for their marketed products.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that additional U.S. federal healthcare reform measures will be adopted in the future, any of which could limit the amounts that the U.S. federal government will pay for healthcare products and services, which could result in reduced demand for ensifentrine or additional pricing pressures.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in the U.S. have also become increasingly active in passing legislation and implementing regulations designed to control pharmaceutical and biological product pricing, including price or patient reimbursement constraints, discounts, restrictions on certain product access and marketing cost disclosure, drug price increase disclosure and other transparency measures, and, in some cases, designed to encourage importation from other countries and bulk purchasing. Some states have enacted legislation creating so-called prescription drug affordability boards, which ultimately may attempt to impose price limits on certain drugs in these states. Legally mandated price controls on payment amounts by third-party payors or other restrictions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products or put pressure on our product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the EU, similar political, economic and regulatory developments may affect our ability to profitably commercialize our products, if approved. In addition to continuing pressure on prices and cost containment measures, legislative developments at the EU or member state level may result in significant additional requirements or obstacles that may increase our operating costs. The delivery of health care in the EU,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products, restrict or regulate post-approval activities and affect our ability to commercialize our products, if approved. In international markets, reimbursement and healthcare payment systems vary significantly by country, and many countries have instituted price ceilings on specific products and therapies.</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On December 13, 2021, Regulation No 2021/2282 on Health Technology Assessment (“HTA”) amending Directive 2011/24/EU, was adopted. The Regulation entered into force in January 2022 and has been applicable since January 2025, with phased implementation based on the type of product, i.e. oncology and advanced therapy medicinal products as of 2025, orphan medicinal products as of 2028, and all other medicinal products by 2030.</w:t>
      </w:r>
    </w:p>
    <w:p>
      <w:pPr>
        <w:spacing w:after="0" w:line="7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Regulation intends to boost cooperation among EU member states in assessing health technologies, including new medicinal products, and provide the basis for cooperation at the EU level for joint clinical assessments in these areas. It will permit EU member states to use common HTA tools, methodologies, and procedures across the EU, working together in four main areas, including joint clinical assessment of the innovative health technologies with the highest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technology, and making decisions on pricing and reimbursement.</w:t>
      </w:r>
    </w:p>
    <w:p>
      <w:pPr>
        <w:spacing w:after="0" w:line="7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cannot predict the likelihood, nature or extent of government regulation that may arise from future legislation or administrative action, either in the U.S. or abroad. If we or our collaborators are slow or unable to adapt to changes in existing requirements or the adoption of new requirements or policies, or if we or our collaborators are not able to maintain regulatory compliance, we may be subject to enforcement action and we may not achieve or sustain profitability.</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Our business operations and current and future relationships with investigators, healthcare professionals, consultants, third-party payors and customers will be subject to applicable healthcare regulatory laws, which could expose us to penalties.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operations and current and future arrangements with investigators, healthcare professionals, consultants, third-party payors and customers, may expose us to broadly applicable fraud and abuse and other healthcare laws and regulations. These laws may constrain the business or financial arrangements and relationships through which we conduct our operations, including how we research, market, sell and distribute ensifentrine, if approved. Such laws include:</w:t>
      </w:r>
    </w:p>
    <w:p>
      <w:pPr>
        <w:spacing w:after="0" w:line="77" w:lineRule="exact"/>
        <w:rPr>
          <w:sz w:val="20"/>
          <w:szCs w:val="20"/>
          <w:color w:val="auto"/>
        </w:rPr>
      </w:pPr>
    </w:p>
    <w:p>
      <w:pPr>
        <w:jc w:val="both"/>
        <w:ind w:left="340" w:hanging="332"/>
        <w:spacing w:after="0" w:line="235"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Anti-Kickback Statute, which prohibits, among other things, persons or entities from knowingly and willfully soliciting, offering, receiving or providing any remuneration (including any kickback, bribe, or certain rebate), directly or indirectly, overtly or covertly, in cash or in kind, to induce or reward, or in return for, either the referral of an individual for, or the purchase, lease, order or recommendation of, any good, facility, item or service, for which payment may be made, in whole or in part, under U.S. federal and state healthcare programs such as Medicare and Medicaid.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false claims and civil monetary penalties laws, including the civil False Claims Act, which, among other things, impose criminal and civil penalties, including through civil whistleblower or qui tam actions, against individuals or entities for knowingly presenting, or causing to be presented, to the U.S. federal government, claims for payment or approval that are false or fraudulent, knowingly making, using or causing to be made or used, a false record or statement material to a false or fraudulent claim, or from knowingly making a false statement to avoid, decrease or conceal an obligation to pay money to the U.S. federal government. In addition, the government may assert that a claim including items and services resulting from a violation of the U.S. federal Anti-Kickback Statute constitutes a false or fraudulent claim for purposes of the False Claims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72" w:lineRule="exact"/>
        <w:rPr>
          <w:sz w:val="20"/>
          <w:szCs w:val="20"/>
          <w:color w:val="auto"/>
        </w:rPr>
      </w:pPr>
    </w:p>
    <w:p>
      <w:pPr>
        <w:jc w:val="both"/>
        <w:ind w:left="340" w:hanging="332"/>
        <w:spacing w:after="0" w:line="239"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or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62"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FDCA, which prohibits, among other things, the adulteration or misbranding of drugs, biologics and medical devices;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monetary penalties laws, which impose civil fines for,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7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consumer protection and unfair competition laws, which broadly regulate marketplace activities and activities that potentially harm consumers;</w:t>
      </w:r>
    </w:p>
    <w:p>
      <w:pPr>
        <w:spacing w:after="0" w:line="103"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government information related to certain payments and other transfers of value to physicians (defined to include doctors, dentists, optometrists, podiatrists and chiropractors), certain non-physician practitioners (physician assistants, nurse practitioners, clinical nurse specialists, certified nurse anesthetists, anesthesiology assistants and certified nurse-midwives), and teaching hospitals, as well as ownership and investment interests held by the physicians described above and their immediate family members;</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33"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analogous state laws and regulations,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and state laws and regulations that require drug manufacturers to file reports relating to pricing and marketing information, which requires tracking gifts and other remuneration and items of value provided to healthcare professionals and entities; and</w:t>
      </w:r>
    </w:p>
    <w:p>
      <w:pPr>
        <w:spacing w:after="0" w:line="78" w:lineRule="exact"/>
        <w:rPr>
          <w:rFonts w:ascii="Times New Roman" w:cs="Times New Roman" w:eastAsia="Times New Roman" w:hAnsi="Times New Roman"/>
          <w:sz w:val="18"/>
          <w:szCs w:val="18"/>
          <w:color w:val="auto"/>
        </w:rPr>
      </w:pPr>
    </w:p>
    <w:p>
      <w:pPr>
        <w:jc w:val="both"/>
        <w:ind w:left="340" w:hanging="332"/>
        <w:spacing w:after="0" w:line="235" w:lineRule="auto"/>
        <w:tabs>
          <w:tab w:leader="none" w:pos="33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EU, interactions between pharmaceutical companies, health care professionals, and health care organizations are also governed by strict laws, regulations, industry self-regulation codes of conduct and physicians’ codes of professional conduct both at EU level and in the individual EU member states. The provision of benefits or advantages to physicians to induce or encourage the prescription, recommendation, endorsement, purchase, supply, order or use of pharmaceutical products is prohibited in the EU. Relationships with healthcare professionals and associations are subject to stringent anti-gift statutes and anti-bribery laws, the scope of which differs across the EU. In addition, national “Sunshine Acts” may require pharmaceutical companies to report/publish transfers of value provided to health care professionals and associations on a regular (e.g. annual) basis. Failure to comply with these requirements could result in reputational risk, public reprimands, administrative penalties, fines or imprisonment.</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Ensuring that our internal operations and business arrangements with third parties comply with applicable healthcare laws and regulations involves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a corporate integrity agreement or other agreement to resolve allegations of non-compliance with these laws, disgorgement, individual imprisonment, contractual damages, reputational harm, diminished profits and the curtailment or restructuring of our operations. If any of the physicians or other providers or entities with whom we expect to do business are found to not be in compliance with applicable laws, they may be subject to criminal, civil or administrative sanctions, including exclusions from government funded healthcare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programs and imprisonment, which could affect our ability to operate our business. Further, defending against any such actions can be costly, time-consuming and may require significant personnel resources. Therefore, even if we are successful in defending against any such actions that may be brought against us, our business may be impaired.</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Actual or perceived failures to comply with applicable data protection, privacy and security laws, regulations, standards and other requirements could adversely affect our business, results of operations, and financial condition.</w:t>
      </w:r>
    </w:p>
    <w:p>
      <w:pPr>
        <w:spacing w:after="0" w:line="3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and commercialization activities.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regulations,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business, results of operation, and financial condition.</w:t>
      </w:r>
    </w:p>
    <w:p>
      <w:pPr>
        <w:spacing w:after="0" w:line="8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As our operations and business grow, we may become subject to or affected by new or additional data protection laws and regulations and face increased scrutiny or attention from regulatory authorities. In the U.S., HIPAA, as amended by the Health Information Technology for Economic and Clinical Health Act of 2009, and regulations implemented thereunder, or collectively HIPAA, imposes, among other things, certain standards relating to the privacy, security, transmission and breach reporting of individually identifiable health information. Most healthcare providers, including research institutions from which we obtain patient health information, are subject to privacy and security regulations promulgated under HIPAA. We do not believe that we are currently acting as a covered entity or business associate under HIPAA and thus are not directly subject to its requirements or penalties. However,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w:t>
      </w:r>
    </w:p>
    <w:p>
      <w:pPr>
        <w:spacing w:after="0" w:line="81"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Certain states have also adopted comparable privacy and security laws and regulations, some of which may be more stringent than HIPAA. Such laws and regulations will be subject to interpretation by various courts and other governmental authorities, thus creating potentially complex compliance issues for us and our future customers and strategic partners. For example, the California Consumer Privacy Act, as amended by the California Privacy Rights Act (collectively,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passed in other states and are continuing to be proposed at the state and federal level, reflecting a trend toward more stringent privacy legislation in the U.S. The enactment of such laws could have potentially conflicting requirements that would make compliance challenging. In the event that we are subject to or affected by HIPAA, the CCPA, or other domestic privacy and data protection laws, any liability from failure to comply with the requirements of these laws could adversely affect our financial condition.</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Furthermore, the Federal Trade Commission (“FTC”) has authority to initiate enforcement actions against entities that make deceptive statements about privacy and data sharing in privacy policies, fail to limit third-party use of personal health information, fail to implement policies to protect personal health information or engage in other unfair practices that harm customers or that may violate Section 5(a) of the FTC Act.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The FTC and many state Attorneys General also continue to enforce federal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state consumer protection laws against companies for online collection, use, dissemination and security practices that appear to be unfair or deceptive, including by regulating the presentation of website content.</w:t>
      </w:r>
    </w:p>
    <w:p>
      <w:pPr>
        <w:spacing w:after="0" w:line="4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are also subject to diverse laws and regulations relating to data privacy and security in the EU and the EEA, including the General Data Protection Regulation (“GDPR”). The GDPR went into effect in May 2018 and imposes strict requirements for processing the personal data of individuals within the EEA. The GDPR imposes strict obligations on the ability to process health-related and other personal data of individuals within the EEA, including in relation to use, collection, analysis, and transfer (including cross-border transfer) of such personal data. Companies that must comply with the GDPR face increased compliance obligations and risk, including more robust regulatory enforcement of data protection requirements and potential fines for noncompliance of up to €20 million or 4% of the annual global revenues of the noncompliant company, whichever is greater. In addition to fines, a breach of the GDPR may result in regulatory investigations, reputational damage, orders to cease/change our data processing activities, enforcement notices, assessment notices (for a compulsory audit) and/ or civil claims (including class actions). Among other requirements, the GDPR regulates transfers of personal data subject to the GDPR to third countries that have not been found to provide adequate protection to such personal data, including the U.S., and the efficacy and longevity of current transfer mechanisms between the EEA and the U.S. remains uncertain. Case law from the Court of Justice of the European Union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On July 10, 2023, the European Commission adopted its Adequacy Decision in relation to the new EU-U.S. Data Privacy Framework (“DPF”), rendering the DPF effective as a GDPR transfer mechanism to U.S. entities self-certified under the DPF, rendering the DPF effective as a GDPR transfer mechanism to U.S. entities self-certified under the DPF. We expect the existing legal complexity and uncertainty regarding international personal data transfers to continue. In particular, we expect the DPF Adequacy Decision to be challenged and international transfers to the U.S. and to other jurisdictions more generally to continue to be subject to enhanced scrutiny by regulators. As a result, we may have to make certain operational changes and we will have to implement revised standard contractual clauses and other relevant documentation for existing data transfers within required time frames.</w:t>
      </w:r>
    </w:p>
    <w:p>
      <w:pPr>
        <w:spacing w:after="0" w:line="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Relatedly, since the beginning of 2021, following the U.K.’s withdrawal from the EEA and the European Union, and the expiry of the transition period, companies have had to comply with both the GDPR and the GDPR as incorporated into U.K. national law, the latter regime having the ability to separately fine up to the greater of £17.5 million or 4% of global turnover. On October 12, 2023, the U.K. Extension to the DPF came into effect (as approved by the U.K. Government), as a data transfer mechanism from the U.K. to U.S. entities self-certified under the DPF. As we continue to expand into other foreign countries and jurisdictions, we may be subject to additional laws and regulations that may affect how we conduct business.</w:t>
      </w:r>
    </w:p>
    <w:p>
      <w:pPr>
        <w:spacing w:after="0" w:line="6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Compliance with applicable data protection laws and regulations could require us to take on more onerous obligations in our contracts, restrict our ability to collect, use and disclose data, or in some cases, impact our ability to operate in certain jurisdictions. Failure by us or our collaborators and third-party providers to comply with applicable data protection laws and regulations could result in government enforcement actions (which could include civil or criminal penalties), private litigation and/or adverse publicity and could negatively affect our operating results and business. Moreover, clinical trial subjects about whom we or our potential collaborators obtain information, as well as the providers who share this information with us, may contractually limit our ability to use and disclose such information. Claims that we have violated individuals’ privacy rights, failed to comply with data protection laws or breached our contractual obligations, even if we are not found liable, could be expensive and time consuming to defend, could result in adverse publicity and could have a material adverse effect on our business, financial condition, results of operations and prospects.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The varied and differing positions on environmental sustainability and social initiatives by government and other stakeholders could increase our costs, harm our reputation and adversely impact our financial results.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has been varied and differing public focus by investors, environmental activists, the media, governmental and nongovernmental organizations, and other stakeholders on a variety of environmental, social and other sustainability matters. We may experience pressure to make commitments relating to sustainability matters that affect us, including the design and implementation of specific risk mitigation strategic initiatives relating to sustainability. If we are not effective in addressing environmental, social and other sustainability matters affecting our business, or setting and meeting relevant sustainability goals, our reputation and financial results may suffer. In addition, we may experience increased costs in order to execute upon our sustainability goals and measure achievement of those goals, which could have an adverse impact on our business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addition, this emphasis on environmental, social and other sustainability matters has resulted and may result in the adoption of new laws and regulations, including new reporting requirements. We are currently assessing the potential impacts of the adopted or proposed laws, as well as other sustainability related disclosure obligations and evolving legal and regulatory requirements, to which we may be subject. If we fail to comply with new laws, regulations or reporting requirements, our reputation and business could be adversely impacted.</w:t>
      </w:r>
    </w:p>
    <w:p>
      <w:pPr>
        <w:spacing w:after="0" w:line="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subject to environmental, health and safety laws and regulations, and we may become exposed to liability and substantial expenses in connection with environmental compliance or remediation activities.</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sub-contracted operations, including our research, development, testing and manufacturing activities, are subject to numerous environmental, health and safety laws and regulations. These laws and regulations govern, among other things, the controlled use, handling, release and disposal of and the maintenance of a registry for, hazardous materials and biological materials, such as chemical solvents, human cells, carcinogenic compounds, mutagenic compounds and compounds that have a toxic effect on reproduction, laboratory procedures and exposure to blood-borne pathogens. If we fail to comply with such laws and regulations, we could incur significant costs associated with civil or criminal fines, penalties or other sanctions.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with other companies engaged in activities similar to ours, we face a risk of environmental liability inherent in our current and historical activities, including liability relating to releases of or exposure to hazardous or biological materials. Environmental, health and safety laws and regulations are becoming more stringent. We may be required to incur substantial expenses in connection with future environmental compliance or remediation activities, in which case, our production and development efforts may be interrupted or delayed.</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laws, as well as export control laws, customs laws, sanctions laws and other laws governing our operations. If we fail to comply with these laws, we could be subject to civil or criminal penalties, other remedial measures and legal expenses.</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operations are subject to anti-corruption laws, including the U.K. Bribery Act 2010 (the “ Bribery Act”), the U.S. Foreign Corrupt Practices Act (the “ FCPA”), and other anti-corruption laws that apply in countries where we do business and may do business in the future. The Bribery Act, FCPA and these other laws generally prohibit us, our officers and our employees and intermediaries from bribing, being bribed or making other prohibited payments to government officials or other persons to obtain or retain business or gain some other business advantage. We may in the future operate in jurisdictions that pose a high risk of potential Bribery Act or FCPA violations, and we may participate in collaborations and relationships with third parties whose actions could potentially subject us to liability under the Bribery Act, FCPA or local anti-corruption laws. In addition, we cannot predict the nature, scope or effect of future regulatory requirements to which any of our international operations might be subject or the manner in which existing laws might be administered or interpreted.</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are subject to other laws and regulations governing any international operations, including regulations administered by the governments of the U.K. and the U.S., and authorities in the EU, including applicable export control regulations, economic sanctions on countries and persons, customs requirements and currency exchange regulations, or, collectively, the Trade Control laws.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There is no assurance that we will be completely effective in ensuring our compliance with all applicable anti-corruption laws, including the Bribery Act, the FCPA or other legal requirements, including Trade Control laws. If we are not in compliance with the Bribery Act, the FCPA and other anti-corruption laws or Trade Control laws, we may be subject to criminal and civil penalties, disgorgement and other sanctions and remedial measures and legal expenses. Any investigation of any potential violations of the Bribery Act, the FCPA, other anti-corruption laws or Trade Control laws by U.K., U.S. or other authorities, even if it is ultimately determined that we did not violate such laws, could be costly and time consuming, require significant personnel resources and harm our reputation.</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will seek to build and continuously improve our systems of internal controls and to remedy any weaknesses identified. There can be no assurance, however, that the policies and procedures will be followed at all times or effectively detect and prevent violations of the applicable laws by one or more of our employees, consultants, agents or collaborators and, as a result, we could be subject to fines, penalties or prosecution.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21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competitive and rapidly changing industry, which may result in others discovering, developing or commercializing competing products before or more successfully than we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biopharmaceutical and pharmaceutical industries are highly competitive and subject to significant and rapid technological change. Our success is highly dependent on our ability to discover, develop and obtain marketing approval for new products on a cost-effective basis and to market them successfully. We will face intense competition for our approved products from a variety of businesses, including large, fully integrated pharmaceutical companies, biopharmaceutical companies and specialty pharmaceutical companies, academic institutions, government agencies and other private and public research institutions in Europe, the U.S. and other jurisdictions. These organizations may have significantly greater resources than we do and conduct similar research, seek patent protection and establish collaborative arrangements for research, development, manufacturing and marketing of products that may compete with our products.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Given the number of products already on the market and in development to treat COPD, asthma, CF and bronchiectasis, we expect to face intense competition for our products, including for Ohtuvayre, and for ensifentrine, if approved for these additional indications. Companies including GlaxoSmithKline, AstraZeneca, Vertex, Viatris, Theravance, Gilead, Genentech, Regeneron and Sanofi currently have treatments on the market for COPD, CF and asthma, and we anticipate that new companies will enter these markets in the future. While no treatments for bronchiectasis currently have marketing approval in the U.S. or EU, there are products in late-stage clinical development that could be approved in the future. Our products will compete with existing therapies and new therapies that may become available in the future. The highly competitive nature of, and rapid technological changes in, the biopharmaceutical and pharmaceutical industries could render our products obsolete, less competitive or uneconomical. Our competitors may, among other things:</w:t>
      </w:r>
    </w:p>
    <w:p>
      <w:pPr>
        <w:spacing w:after="0" w:line="80" w:lineRule="exact"/>
        <w:rPr>
          <w:sz w:val="20"/>
          <w:szCs w:val="20"/>
          <w:color w:val="auto"/>
        </w:rPr>
      </w:pPr>
    </w:p>
    <w:p>
      <w:pPr>
        <w:jc w:val="both"/>
        <w:ind w:left="340" w:hanging="332"/>
        <w:spacing w:after="0" w:line="242"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significantly greater name recognition, financial, manufacturing, marketing, drug development, technical and human resources than we do, and future mergers and acquisitions in the biopharmaceutical and pharmaceutical industries may result in even more resources being concentrated in our competitors;</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commercialize products that are safer, more effective, less expensive, more convenient or easier to administer, or have fewer or less severe side effects;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quicker regulatory approval;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superior proprietary positions covering our products and technologies;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more effective approaches to sales, marketing and distribution; or</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more advantageous strategic alliances.</w:t>
      </w:r>
    </w:p>
    <w:p>
      <w:pPr>
        <w:spacing w:after="0" w:line="10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any collaborators we may have may decide to market and sell products that compete with our products. Our commercial opportunity could be reduced or eliminated if our competitors develop and commercialize products that are more effective, have fewer or less severe side effects, are more convenient or are less expensive than our products. Our competitors may also obtain FDA or other regulatory approval for their product candidates more rapidly than we may obtain approval for ours, which could result in our competitors establishing or strengthening their market position before we are able to enter the market.</w:t>
      </w:r>
    </w:p>
    <w:p>
      <w:pPr>
        <w:spacing w:after="0" w:line="6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Forecasting potential sales for Ohtuvayre is difficult, and if our projections are inaccurate, our business may be harmed and our share price may be adversely affected.</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business planning requires us to forecast or make assumptions regarding product demand and revenues for Ohtuvayre, despite numerous uncertainties. These uncertainties may be increased if we rely on third parties to conduct commercial activities in certain jurisdictions and provide us with accurate and timely information. Actual results may differ materially from projected results for various reasons, including the following, as well as risks identified in other risk factors:</w:t>
      </w:r>
    </w:p>
    <w:p>
      <w:pPr>
        <w:spacing w:after="0" w:line="63" w:lineRule="exact"/>
        <w:rPr>
          <w:sz w:val="20"/>
          <w:szCs w:val="20"/>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efficacy and safety of Ohtuvayre, including as relative to marketed products and product candidates in development by third parties;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(including discounting and other promotions), reimbursement, product returns or recalls, competition, labeling, adverse events and other items that impact commercialization;</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of adoption in the particular market, including fluctuations in demand for various reasons;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market size;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72" w:lineRule="exact"/>
        <w:rPr>
          <w:sz w:val="20"/>
          <w:szCs w:val="20"/>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and physician familiarity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patient use and physician prescribing history;</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commercialization experience with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relating to rate of adoption; and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products provided without compensation through patient support programs or other free drug programs, may not eventually result in or contribute to revenue-producing prescriptions.</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expect that our revenues from sales of Ohtuvayre will be based in part on estimates, judgment and accounting policies. Any incorrect estimates or disagreements with regulators or others regarding such estimates, judgment or accounting policies may result in changes to our guidance, projections or previously reported results. Expected and actual product sales and quarterly and other results may greatly fluctuate, including in the near-term, and such fluctuations can adversely affect the price of our common stock, perceptions of our ability to forecast demand and revenues, and our ability to maintain and fund our operations. The metrics that we are tracking in order to evaluate the success of our sales efforts may not correlate to commercial success, particularly given the challenging market for Ohtuvayre.</w:t>
      </w:r>
    </w:p>
    <w:p>
      <w:pPr>
        <w:spacing w:after="0" w:line="7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The successful commercialization of Ohtuvayre will depend in part on the extent to which governmental authorities and health insurers establish adequate coverage, reimbursement levels and pricing policies for it. Failure to obtain or maintain adequate coverage and reimbursement for Ohtuvayre could limit our ability to market it and decrease our ability to generate revenue.</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availability and adequacy of coverage and reimbursement by governmental healthcare programs such as Medicare and Medicaid, private health insurers and other third-party payors are essential for most patients to be able to afford prescription medications such as Ohtuvayre. Our ability to achieve and maintain acceptable levels of coverage and reimbursement by governmental authorities, private health insurers and other organizations will have an effect on our ability to successfully commercialize ensifentrine. Assuming we obtain coverage for Ohtuvayre by a third-party payor, the resulting reimbursement payment rates may not be adequate or may require co-payments that patients find unacceptably high. Moreover, for drugs and biologics administered under the supervision of a physician, obtaining appropriate documentation for usage may be difficult because of the higher prices often associated with such products. We cannot be sure that coverage and reimbursement in the U.S., the EU or elsewhere will be available for Ohtuvayre or any product that we may develop, and any reimbursement that may become available may be decreased or eliminated in the future.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Third-party payors increasingly are challenging prices charged for pharmaceutical products and services, and many third-party payors may refuse to provide coverage and reimbursement for particular drugs when an equivalent generic drug or a less expensive therapy is available. It is possible that a third-party payor may consider Ohtuvayre as substitutable and only offer to reimburse patients for the less expensive product. Even if we show improved efficacy or improved convenience of administration with Ohtuvayre, pricing of existing drugs may limit the amount we will be able to charge for Ohtuvayre. These payors may deny or revoke the reimbursement status of a given product or establish prices for new or existing marketed products at levels that are too low to enable us to realize an appropriate return on our investment in ensifentrine. If reimbursement is not available or is available only at limited levels, we may not be able to successfully commercialize Ohtuvayre, and may not be able to obtain a satisfactory financial return on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There is significant uncertainty related to the insurance coverage and reimbursement of newly approved products. In the U.S., third-party payors, including private and governmental payors, such as the Medicare and Medicaid programs, play an important role in determining the extent to which new drugs and biologics will be covered. The Medicare and Medicaid programs increasingly are used as models for how private payors and other governmental payors develop their coverage and reimbursement policies for drugs and biologics. Some third-party payors may require pre-approval of coverage for new or innovative devices or drug therapies before they will reimburse healthcare providers who use such therapies. It is difficult to predict at this time what third-party payors will decide with respect to the continued coverage and reimbursement for Ohtuvayre.</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Obtaining and maintaining reimbursement status is time consuming and costly. No uniform policy for coverage and reimbursement for products exists among third-party payors in the U.S. Therefore, coverage and reimbursement for products can differ significantly from payor to payor. As a result, the coverage determination process is often a time- consuming and costly process that will require us to provide scientific and clinical support for the use of Ohtuvayre to each payor separately, with no assurance that coverage and adequate reimbursement will be applied consistently or obtained in the first instance. Furthermore, rules and regulations regarding reimbursement change frequently,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cases at short notice, and we believe that changes in these rules and regulations are likely. Specifically, we believe that Ohtuvayre will be primarily reimbursed under a medical benefit through either Medicare Part B or Medicare Advantage programs, and changes within how products are reimbursed under these programs could occur and those changes may affect the overall coverage and reimbursement of Ohtuvayre in the future.</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Outside the U.S., international operations are generally subject to extensive governmental price controls and other market regulations, and we believe the increasing emphasis on cost-containment initiatives in Europe and other countries has and will continue to put pressure on the pricing and usage of approved products. In many countries, the prices of medical products are subject to varying price control mechanisms as part of national health systems. Other countries allow companies to fix their own prices for medical products, but monitor and control company profits. Additional foreign price controls or other changes in pricing regulation could restrict the amount that we are able to charge for ensifentrine. Accordingly, in markets outside the U.S., the reimbursement for our products may be reduced compared with the U.S. and may be insufficient to generate commercially reasonable revenue and profits.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products. We expect to experience pricing pressures in connection with the sale of Ohtuvayre due to the trend toward managed healthcare, the increasing influence of health maintenance organizations and additional legislative changes. The downward pressure on healthcare costs in general, particularly prescription drugs and surgical procedures and other treatments, has become very intense. As a result, increasingly high barriers are being erected to the entry of new products.</w:t>
      </w:r>
    </w:p>
    <w:p>
      <w:pPr>
        <w:spacing w:after="0" w:line="8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even if a pharmaceutical product obtains a marketing authorization in the EU, there can be no assurance that reimbursement for such product will be secured on a timely basis or at all.</w:t>
      </w:r>
    </w:p>
    <w:p>
      <w:pPr>
        <w:spacing w:after="0" w:line="3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reporting and payment obligations under the Medicaid Drug Rebate Program or other governmental pricing programs in which we participate, we could be subject to additional reimbursement requirements, penalties, sanctions and fines, which could have a material adverse effect on our business, financial condition, results of operations and growth prospects.</w:t>
      </w:r>
    </w:p>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Medicaid is a joint federal and state program administered by the states for low income and disabled beneficiaries. We participate in and have certain price reporting obligations under the MDRP, as a condition of having covered outpatient drugs payable under Medicaid and, if applicable, under Medicare Part B. The MDRP requires us to pay a rebate to state Medicaid programs every quarter for each unit of our covered outpatient drugs dispensed to Medicaid beneficiaries and paid for by a state Medicaid program. The rebate is based on pricing data that we must report on a monthly and quarterly basis to the Centers for Medicare &amp; Medicaid Services, or CMS, the federal agency that administers the MDRP and other governmental healthcare programs. These data include the average manufacturer price (AMP) for each drug and, in the case of innovator products, the best price, which in general represents the lowest price available from the manufacturer to certain entities in the U.S. in any pricing structure, calculated to include all sales and associated rebates, discounts and other price concessions. The Medicaid rebate consists of two components, the basic rebate and the additional rebate, which is triggered if the AMP for a drug increases faster than inflation. If we become aware that our MDRP government price reporting submission for a prior quarter was incorrect or has changed as a result of recalculation of the pricing data, we must resubmit the corrected data for up to three years after those data originally were due. If we fail to provide information timely or are found to have knowingly submitted false information to the government, we may be subject to civil monetary penalties and other sanctions, including termination from the MDRP. In the event that CMS terminates our rebate agreement pursuant to which we participate in the MDRP, no federal payments would be available under Medicaid or Medicare Part B for our covered outpatient drugs. Our failure to comply with our MDRP price reporting and rebate payment obligations could negatively impact our financial results.</w:t>
      </w:r>
    </w:p>
    <w:p>
      <w:pPr>
        <w:spacing w:after="0" w:line="7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ACA made significant changes to the MDRP, as described under the risk factor “Enacted and future legislation and regulation may increase the difficulty and cost for us to commercialize our products and may affect the prices we may set,” above. In addition, in March 2021, the American Rescue Plan Act of 2021 was signed into law, which, among other things, eliminated the statutory cap on drug manufacturers’ MDRP rebate liability, effective January 1, 2024. Previously, under law enacted as part of the ACA, drug manufacturers’ MDRP rebate liability was capped at 100% of the AMP for a covered outpatient drug. Congress could enact additional legislation that further increases Medicaid drug rebates or other costs and charges associated with participating in the MDRP. Additional legislation or the issuance of regulations relating to the MDRP could have a material adverse effect on our results of operations.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recently-enacted IRA imposes rebates under Medicare Part B and Medicare Part D that are triggered by price increases that outpace inflation (first due in 2023), as described under the risk factor “Enacted and future legislation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regulation may increase the difficulty and cost for us to commercialize our products and may affect the prices we may set,” above. The Medicare Part D rebate will be calculated on the basis of the AMP figures we report pursuant to the MDRP.</w:t>
      </w:r>
    </w:p>
    <w:p>
      <w:pPr>
        <w:spacing w:after="0" w:line="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Federal law requires that any company that participates in the MDRP also participate in the Public Health Service’s 340B drug pricing program in order for federal funds to be available for the manufacturer’s drugs under Medicaid and, if applicable, Medicare Part B. We participate in the 340B program, which is administered by the Health Resources and Services Administration, or HRSA, and requires us to charge statutorily defined covered entities no more than the 340B “ceiling price” for our covered outpatient drugs. These 340B covered entities include a variety of community health clinics and other entities that receive health services grants from the Public Health Service, as well as hospitals that serve a disproportionate share of low-income patients. The 340B ceiling price is calculated using a statutory formula based on the AMP and rebate amount for the covered outpatient drug as calculated under the MDRP, and in general, products subject to Medicaid price reporting and rebate liability are also subject to the 340B ceiling price calculation and discount requirement. We must report 340B ceiling prices to HRSA on a quarterly basis, and HRSA publishes those prices to 340B covered entities. In addition, HRSA has finalized regulations regarding the calculation of the 340B ceiling price and the imposition of civil monetary penalties on manufacturers that knowingly and intentionally overcharge covered entities for 340B-eligible drugs. HRSA has also finalized an administrative dispute resolution process through which 340B covered entities may pursue claims against participating manufacturers for overcharges, and through which manufacturers may pursue claims against 340B covered entities for engaging in unlawful diversion or duplicate discounting of 340B drugs. Our failure to comply 340B program requirements could negatively impact our financial results. Any additional future changes to the definition of average manufacturer price and the Medicaid rebate amount under the ACA or other legislation or regulation could affect our 340B ceiling price calculations and also negatively impact our financial results.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order for Ohtuvayre or any product candidates, if approved, to be paid for with federal funds under the Medicaid and Medicare Part B programs and purchased by certain federal agencies and grantees, we also participate in the U.S. Department of Veterans Affairs, or VA, Federal Supply Schedule, or FSS, pricing program. As part of this program, we are required to make our products available for procurement on an FSS contract under which we must comply with standard government terms and conditions and charge a price that is no higher than the statutory Federal Ceiling Price, or FCP, to four federal agencies (VA, U.S. Department of Defense, or DOD, Public Health Service, and U.S. Coast Guard). The FCP is based on the Non-Federal Average Manufacturer Price, or Non-FAMP, which we must calculate and report to the VA on a quarterly and annual basis. Pursuant to applicable law, knowing provision of false information in connection with a Non-FAMP filing can subject a manufacturer to significant civil monetary penalties for each item of false information. The FSS pricing and contracting obligations also contain extensive disclosure and certification requirements.</w:t>
      </w:r>
    </w:p>
    <w:p>
      <w:pPr>
        <w:spacing w:after="0" w:line="6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also participate in the Tricare Retail Pharmacy program, under which we are required to pay quarterly rebates on utilization of innovator products that are dispensed through the Tricare Retail Pharmacy network to Tricare beneficiaries. The rebates are calculated as the difference between the annual Non-FAMP and FCP. We are required to list our innovator products on a Tricare Agreement in order for them to be eligible for DOD formulary inclusion. If we overcharge the government in connection with our FSS contract or Tricare Agreement, whether due to a misstated FCP or otherwise, we are required to refund the difference to the government. Failure to make necessary disclosures and/or to identify contract overcharges could result in allegations against us under the False Claims Act and other laws and regulations. Unexpected refunds to the government, and responding to a government investigation or enforcement action, would be expensive and time-consuming, and could have a material adverse effect on our business, financial condition, results of operations and growth prospects.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Individual states continue to consider and have enacted legislation to limit the growth of healthcare costs, including the cost of prescription drugs and combination products. A number of states have either implemented or are considering implementation of drug price transparency legislation. Requirements of pharmaceutical manufacturers under such laws include advance notice of planned price increases, reporting price increase amounts and factors considered in taking such increases, wholesale acquisition cost information disclosure to prescribers, purchasers, and state agencies, and new product notice and reporting. Such legislation could limit the price or payment for certain drugs, and a number of states are authorized to impose civil monetary penalties or pursue other enforcement mechanisms against manufacturers who fail to comply with drug price transparency requirements, including the untimely, inaccurate, or incomplete reporting of drug pricing information.</w:t>
      </w:r>
    </w:p>
    <w:p>
      <w:pPr>
        <w:spacing w:after="0" w:line="66"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Pricing and rebate calculations vary among products and programs. The calculations are complex and are often subject to interpretation by us, governmental or regulatory agencies, and the courts. CMS, the Department of Health &amp; Human Services Office of Inspector General, and other governmental agencies have pursued manufacturers that were alleged to have failed to report these data to the government in a timely or accurate manner. Governmental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7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agencies may also make changes in program interpretations, requirements or conditions of participation, some of which may have implications for amounts previously estimated or paid. We cannot assure you that any submissions we are required to make under the MDRP, the 340B program, the VA/FSS program, the Tricare Retail Pharmacy Program, and other governmental drug pricing programs will not be found to be incomplete or incorrect.</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products, including Ohtuvayre, do not gain market acceptance or if we fail to accurately forecast demand or manage our inventories, our business will suffer because we might not be able to fund future operations.</w:t>
      </w:r>
    </w:p>
    <w:p>
      <w:pPr>
        <w:spacing w:after="0" w:line="3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Patients or the medical community may not accept or use Ohtuvayre in the U.S. If Ohtuvayre does not achieve an adequate level of acceptance, we may not generate significant product revenues or any profits from operations. The degree of market acceptance of Ohtuvayre will depend on a variety of factors, including:</w:t>
      </w:r>
    </w:p>
    <w:p>
      <w:pPr>
        <w:spacing w:after="0" w:line="55" w:lineRule="exact"/>
        <w:rPr>
          <w:sz w:val="20"/>
          <w:szCs w:val="20"/>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market introduction;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product relative to other products for the same or similar treatment;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clinical profile of competing products;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clinical indication for which Ohtuvayre is approved;</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acceptable evidence of safety and efficacy;</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relative convenience, frequency, and ease of administration;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effectiveness;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sales, and distribution support;</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adequate coverage, reimbursement and adequate payment from health maintenance organizations and other insurers, both public and private;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potential advantages over alternative treatment methods.</w:t>
      </w:r>
    </w:p>
    <w:p>
      <w:pPr>
        <w:spacing w:after="0" w:line="1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our products do not gain market acceptance, we may not be able to fund future operations, including developing, testing and obtaining regulatory approval for new product candidates and expanding our sales and marketing efforts for our approved products, which would cause our business to suffer.</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Our results of operations could be materially harmed if we are unable to accurately forecast customer demand for Ohtuvayre and manage our inventory. To ensure adequate inventory supply, we must forecast inventory needs and place orders with our suppliers based on our estimates of future demand for Ohtuvayre. Our ability to accurately forecast demand for Ohtuvayre could be negatively affected by many factors, including our failure to accurately manage our expansion strategy, product introductions by competitors, an increase or decrease in customer demand for Ohtuvayre or for products of our competitors, our failure to accurately forecast customer acceptance of new products, unanticipated changes in general market conditions or regulatory matters, and weakening of economic conditions or consumer confidence in future economic conditions.</w:t>
      </w:r>
    </w:p>
    <w:p>
      <w:pPr>
        <w:spacing w:after="0" w:line="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seek to maintain sufficient levels of inventory to protect ourselves from supply interruptions. As a result, we are subject to the risk that a portion of our inventory will become obsolete or expire, which could have a material adverse effect on our earnings and cash flows due to the resulting costs associated with the inventory impairment charges and costs required to replace such inventory.</w:t>
      </w:r>
    </w:p>
    <w:p>
      <w:pPr>
        <w:spacing w:after="0" w:line="5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commercial capabilities and infrastructure, including sales, marketing, operations, distribution, and reimbursement infrastructure, may not be adequate to successfully commercialize Ohtuvayre.</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continuing to develop sales, marketing, operations, distribution and reimbursement capabilities and infrastructure after receiving approval of Ohtuvayre in June 2024, and we did not market, sell or distribute pharmaceutical products prior to the approval of Ohtuvayre. The establishment of commercial capabilities and infrastructure, including sales, marketing, operations, distribution, and reimbursement with technical expertise and supporting distribution capabilities to commercialize Ohtuvayre, is expensive and time consuming. Some or all of these costs were incurred in preparation for approval and will continue as we commercialize Ohtuvayre for the maintenance treatment of COPD in adult patients. In addition, our sales force may not be sufficient in size or have adequate expertise in the medical markets that we intend to target, and we may have difficulty retaining our sales employees or attracting new employees. Any failure of our internal sales, marketing and distribution capabilities on our own or through collaborations would adversely impact the commercialization of Ohtuvayre.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200" w:lineRule="exact"/>
        <w:rPr>
          <w:sz w:val="20"/>
          <w:szCs w:val="20"/>
          <w:color w:val="auto"/>
        </w:rPr>
      </w:pPr>
    </w:p>
    <w:p>
      <w:pPr>
        <w:spacing w:after="0" w:line="22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contracting third parties to perform certain services to support our sales, marketing, warehousing, distribution and reimbursement activities. To the extent that any of these third parties fail to perform their services in compliance with their obligations to us or other parties, we may not be successful in commercializing Ohtuvayre and our future product revenues may be adversely impacted.</w:t>
      </w:r>
    </w:p>
    <w:p>
      <w:pPr>
        <w:spacing w:after="0" w:line="7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To the extent that we enter into collaboration agreements with respect to marketing, sales or distribution, our product revenue may be lower than if we directly marketed or sold Ohtuvayre. In addition, any revenue we receive will depend in whole or in part upon the efforts of these third-party collaborators, which may not be successful and are generally not within our control. If we are unable to enter into these arrangements on acceptable terms or at all, we may not be able to successfully commercialize Ohtuvayre. If we are not successful in commercializing Ohtuvayre, either on our own or through collaborations with one or more third parties, our future product revenue will suffer and we may incur significant additional losses.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establish effective sales and marketing capabilities to market and sell our approved product, Ohtuvayre, we may be unable to generate adequate revenue.</w:t>
      </w:r>
    </w:p>
    <w:p>
      <w:pPr>
        <w:spacing w:after="0" w:line="5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continuing to establish our infrastructure for the sales, marketing and distribution of Ohtuvayre, and the cost of establishing and maintaining such an organization may exceed the benefits of doing so. Additionally, the infrastructure we have built to support the launch of Ohtuvayre, future indications of ensifentrine, or other potential marketed products may not be sufficient, and we may be required to increase spending or add resources to support commercialization efforts.</w:t>
      </w:r>
    </w:p>
    <w:p>
      <w:pPr>
        <w:spacing w:after="0" w:line="6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established an in-house sales force to promote Ohtuvayre to appropriate healthcare providers including those that may be associated with hospital networks, Integrated delivery networks and third-party payers in the United States. There are significant expenses and risks involved with establishing our own sales and marketing capabilities, including our ability to hire, retain and appropriately incentivize qualified individuals, generate sufficient sales leads, provide adequate training to sales and marketing personnel, and effectively manage a geographically dispersed sales and marketing team.</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compete with other companies to recruit, hire, train and retain sales and marketing personnel. We cannot be sure that we will be able to retain a sufficient number of qualified sales representatives or that they will be effective at promoting Ohtuvayre. In addition, we will need to commit significant additional management and other resources to build our sales organization to the desired size, and we may not be successful in a cost-effective manner.</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Factors that may inhibit our efforts to establish and maintain our sales and marketing capabilities include:</w:t>
      </w:r>
    </w:p>
    <w:p>
      <w:pPr>
        <w:spacing w:after="0" w:line="90" w:lineRule="exact"/>
        <w:rPr>
          <w:sz w:val="20"/>
          <w:szCs w:val="20"/>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physicians in order to educate physicians about Ohtuvayre or our product candidates, once approved;</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fixed costs as compared to companies who market products using independent third parties, such as costs associated with employee benefits, training, and managing sales personnel;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If we are unable to establish adequate sales, marketing and distribution capabilities, whether independently or with third parties, our business, results of operations, financial condition and prospects will be materially adversely impacted.</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Beyond Ohtuvayre, we may leverage the sales and marketing capabilities that we establish for Ohtuvayre to commercialize additional product candidates or market Ohtuvayre for other indications, if approved by the FDA, in the United States. If we are unable to do so for any reason, we would need to expend additional resources to establish commercialization capabilities for those product candidates or Ohtuvayre for other indications, if approved.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We rely, and expect to continue to rely, on third parties, including independent clinical investigators and CROs, to conduct our pre-clinical studies and clinical trials. If these third parties do not successfully carry out their contractual duties or meet expected deadlines, we may not be able to obtain regulatory approvals for or commercialize our product candidates and our business could be substantially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have relied upon and plan to continue to rely upon third parties, including independent clinical investigators and CROs, to conduct our pre-clinical studies and clinical trials and to monitor and manage data for our ongoing pre-clinical and clinical programs. We rely on these parties for execution of our pre-clinical studies and clinical trials, and control only certain aspects of their activities. Nevertheless, we are responsible for ensuring that each of our studies and trials is conducted in accordance with the applicable protocol and legal, regulatory and scientific standards, and our reliance on these third parties does not relieve us of our regulatory responsibilities. We and our third-party contractors and CROs are required to comply with Good Laboratory Practice (“GLP”) and GCP requirements, which are regulations and guidelines enforced by the FDA and comparable foreign regulatory authorities with respect to the conduct of clinical trials, and in the case of GLP, certain animal studies. Regulatory authorities enforce these GLP and GCP requirements through periodic inspections of CROs, trial sponsors, principal investigators and trial sites. If we fail to exercise adequate oversight over any of our CROs or if we or any of our CROs fail to comply with applicable GLP or GCP requirements, the non-clinical or clinical data generated in our clinical trials may be deemed unreliable and the FDA, the EMA or comparable foreign regulatory authorities may require us to perform additional studies or clinical trials before approving our marketing applications. We cannot provide assurance that upon a regulatory inspection of us or our CROs or other third parties performing services in connection with our non-clinical studies or clinical trials, such regulatory authority will determine that any of our non-clinical or clinical trials complies with GLP or GCP regulations. In addition, our clinical trials must be conducted with product produced under applicable cGMP and similar foreign regulations. Our failure to comply with these regulations may require us to repeat clinical trials, which would delay the regulatory approval process.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 these investigators and CROs are not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our product candidates. In addition, the use of third-party service providers requires us to disclose our proprietary information to these parties, which could increase the risk that this information will be misappropriated.</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existing and future CROs have or may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any of our relationships with these third-party CROs terminate, we may not be able to enter into arrangements with alternative CROs or to do so on commercially reasonable terms. Switching or adding CROs involves additional cost and requires management’s time and focus. In addition, there is a natural transition period when a new CRO commences work. As a result, delays could occur, which could materially impact our ability to meet our desired clinical development timelines. In addition, if our CROs do not successfully carry out their contractual duties or obligations or meet expected deadlines,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approvals for, or commercialize, our product candidates. As a result, our results of operations and the commercial prospects would be harmed, our costs could increase and our ability to generate revenues could be delayed.</w:t>
      </w:r>
    </w:p>
    <w:p>
      <w:pPr>
        <w:spacing w:after="0" w:line="6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The collaboration and license agreement with Nuance Pharma is important to our business. If Nuance Pharma is unable to develop and commercialize products containing ensifentrine in Greater China, if we or Nuance Pharma fail to adequately perform under the Nuance Agreement, or if we or Nuance Pharma terminate the Nuance Agreement, our business would be adversely affected.</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entered into a collaboration and license agreement with Nuance Pharma effective June 9, 2021 (the “Nuance Agreement”) under which we granted Nuance Pharma the exclusive rights to develop and commercialize products containing ensifentrine (the “Nuance Licensed Products”) in Greater China (China, Taiwan, Hong Kong and Macau).</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Termination of the Nuance Agreement could cause significant setbacks in our ability to develop and commercialize the Nuance Licensed Products in Greater China. Any suitable alternative collaboration or license agreement would take considerable time to negotiate and could also be on less favorable terms to us. In addition, under the Nuance Agreement, Nuance Pharma agreed to assume all costs related to clinical development and commercialization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Nuance Licensed Products in Greater China. If the Nuance Agreement were to be terminated, and whether or not we identify another suitable collaborator, we may need to seek additional financing to support the clinical development and commercialization of the Nuance Licensed Products in Greater China, which could have a material adverse effect on our business.</w:t>
      </w:r>
    </w:p>
    <w:p>
      <w:pPr>
        <w:spacing w:after="0" w:line="7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the Nuance Agreement, we are dependent upon Nuance Pharma to successfully develop and commercialize Nuance Licensed Products. Although we have formed a joint steering committee with Nuance Pharma to oversee and coordinate the overall conduct of the clinical development and commercialization of the Nuance Licensed Products in Greater China, we do not control all aspects of Nuance Pharma’s development and commercialization or the resources it allocates to the development of the Nuance Licensed Products identified under the Nuance Agreement. Our interests and Nuance Pharma’s interests may differ or conflict from time to time, or we may disagree with Nuance Pharma’s level of effort or resource allocation. Nuance Pharma may internally prioritize programs under development within the collaboration differently than we would, or it may not allocate sufficient resources to effectively or optimally develop or commercialize the Nuance Licensed Products. If these events were to occur, our ability to receive revenue from the commercialization of the Nuance Licensed Products would be reduced, and our business would be adversely affected. In addition, under the Nuance Agreement, we have an obligation to supply Nuance Pharma with the ensifentrine drug product for their development and commercialization activities in Greater China and if our supply price is too high, the price at which Nuance Pharma sells the drug product in Greater China may not be competitive, which could have a material adverse effect on Nuance Pharma’s ability to successfully commercialize Nuance Licensed Products and the returns that we generate under the Nuance Agreement.</w:t>
      </w:r>
    </w:p>
    <w:p>
      <w:pPr>
        <w:spacing w:after="0" w:line="83"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Nuance Agreement, we remain the marketing authorization holder for ensifentrine in the People’s Republic of China (“PRC”). In recent years, the regulatory framework in the PRC regarding the pharmaceutical industry has undergone significant changes, and we expect that it will continue to undergo significant changes. Any such changes or amendments may result in increased compliance costs on our business or cause delays in or prevent the successful development or commercialization of ensifentrine under the Nuance Agreement, and could have a material adverse effect on Nuance Pharma’s ability to successfully commercialize ensifentrine and the returns that we generate under the Nuance Agreement.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Furthermore, the safety and/or efficacy data from Nuance Pharma’s clinical development activities could for various reasons differ from our data and could potentially impact our clinical development and commercialization activities, including our ability to obtain regulatory approval of ensifentrine in other countries.</w:t>
      </w:r>
    </w:p>
    <w:p>
      <w:pPr>
        <w:spacing w:after="0" w:line="7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enter into new strategic relationships for ensifentrine, our business, research and development and commercialization prospects could be adversely affected.</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development programs for our product candidates and, if approved, their commercialization will require substantial additional cash to fund expenses. Therefore, we may decide to enter into collaborations with pharmaceutical or biopharmaceutical companies for their development and commercialization. For example, we may seek a collaborator for development of our DPI or pMDI formulation of ensifentrine for the maintenance treatment of COPD and potentially asthma and other respiratory diseases.</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Collaborations are complex and time consuming to negotiate and document. We may also be restricted under existing and future collaboration agreements from entering into agreements on certain terms with other potential collaborators. We may not be able to negotiate collaborations on acceptable terms, or at all. If that were to occur, we may have to curtail the development of our product candidates, reduce or delay development programs, delay commercialization or reduce the scope of our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will not be able to bring our products or product candidates to market and generate product revenue. If we do enter into collaboration agreements, we could be subject to the following risks, among others, any of which could adversely affect our ability to develop and commercialize our products and product candidates:</w:t>
      </w:r>
    </w:p>
    <w:p>
      <w:pPr>
        <w:spacing w:after="0" w:line="81" w:lineRule="exact"/>
        <w:rPr>
          <w:sz w:val="20"/>
          <w:szCs w:val="20"/>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control the amount and timing of resources that the collaborator devotes to the development of the product candidate;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collaborator may experience financial difficulties;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relinquish important rights such as marketing, distribution and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72" w:lineRule="exact"/>
        <w:rPr>
          <w:sz w:val="20"/>
          <w:szCs w:val="20"/>
          <w:color w:val="auto"/>
        </w:rPr>
      </w:pPr>
    </w:p>
    <w:p>
      <w:pPr>
        <w:ind w:left="34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could move forward with a competing product developed either independently or in collaboration with third parties, including our competitors;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and/or efficacy data from a collaborator’s clinical development activities may conflict with our data and could potentially impact our global clinical development and commercialization activities;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may unlawfully use or disclose confidential information and materials in breach of confidentiality obligations to us;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combinations or significant changes in a collaborator’s business strategy may adversely affect our willingness to complete our obligations under any arrangement;</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 collaborator could fail to adequately perform our obligations under the agreement and/or the agreement could fall into dispute; or</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lawsuits to protect or enforce patents covering our products or product candidates, or relating to the terms of our collaborations, which could be expensive, time consuming and unsuccessful.</w:t>
      </w:r>
    </w:p>
    <w:p>
      <w:pPr>
        <w:spacing w:after="0" w:line="5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third-party manufacturers and suppliers for production of the active pharmaceutical ingredient ensifentrine and its derived formulated products. Our dependence on these third parties may impair the advancement of our research and development programs. Moreover, we rely on third parties to produce commercial supplies of Ohtuvayre, and commercialization could be stopped, delayed or made less profitable if those third parties fail to maintain the necessary approvals from the FDA or comparable regulatory authorities, fail to provide us with sufficient quantities of product in a timely manner or fail to do so at acceptable quality levels or prices or fail to otherwise complete their duties in compliance with their obligations to us or other parties.</w:t>
      </w:r>
    </w:p>
    <w:p>
      <w:pPr>
        <w:spacing w:after="0" w:line="79"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We do not own facilities for manufacturing ensifentrine and its derived formulated products. Instead, we rely on and expect to continue to rely on third-party CMOs, for the supply of cGMP- or GMP-grade clinical trial materials of ensifentrine and its derived formulated products, including commercial quantities of Ohtuvayre. While we may contract with other CMOs in the future, we currently have one CMO for the manufacture of ensifentrine drug substance and one CMO for each formulation of ensifentrine. The facilities used to manufacture ensifentrine and its derived formulated products must be approved for the manufacture of ensifentrine by the FDA, and by comparable foreign regulatory authorities for approvals outside the U.S. While we provide sponsor oversight of manufacturing activities, we do not and will not directly control the manufacturing process of, and are or will be essentially dependent on, our CMOs for compliance with cGMP and similar foreign requirements for the manufacture of ensifentrine and its derived formulated products. If a CMO cannot successfully manufacture material that conforms to our specifications and the regulatory requirements of the FDA or a comparable foreign regulatory authority, it will not be able to secure or maintain regulatory approval for the manufacture of ensifentrine and its derived formulated products in its manufacturing facilities. In addition, we have little direct control over the ability of a CMO to maintain adequate quality control, quality assurance and qualified personnel. If the FDA or a comparable foreign regulatory authority does not approve these facilities for the manufacture of ensifentrine and its derived formulated products or if it withdraws any such approval in the future, we may need to find alternative manufacturing facilities, which would delay our development program and significantly impact our ability to develop, and obtain or maintain regulatory approval for or market ensifentrine and its derived formulated products. In addition, any failure to achieve and maintain compliance with these laws, regulations and standards could subject us to the risk that we may have to suspend the manufacture of ensifentrine and its derived formulated products or that obtained approvals could be revoked. Furthermore, third-party providers may breach existing agreements they have with us because of factors beyond our control. They may also terminate or refuse to renew their agreement because of their own financial difficulties or business priorities, at a time that is costly or otherwise inconvenient for us. If we were unable to find an adequate replacement or another acceptable solution in time, our clinical trials could be delayed or our commercial activities could be harmed. In addition, the fact that we are dependent on our suppliers, CMOs and other third parties for the manufacture, storage and distribution of ensifentrine and its derived formulated products means that we are subject to the risk that ensifentrine and its derived formulated products may have manufacturing defects that we have limited ability to prevent, detect or control.</w:t>
      </w:r>
    </w:p>
    <w:p>
      <w:pPr>
        <w:spacing w:after="0" w:line="6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rely on and will continue to rely on CMOs to purchase from third-party suppliers the materials necessary to produce ensifentrine and its derived formulated products and the inhalation and nebulization devices to deliver ensifentrine. We do not and will not have any direct control over the process or timing of the acquisition and delivery of these supplies by any CMO or its third-party suppliers, or the quality or quantity of such supplies. These supplies could be interrupted from time to time and, if interrupted, we cannot be certain that alternative supplies could be obtained within a reasonable timeframe, at an acceptable cost or quality, or at all. There are a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number of suppliers for the raw materials that we may use to manufacture ensifentrine and for the drug delivery devices (e.g. nebulizers) that we use for clinical trials with ensifentrine, and we may need to assess alternate suppliers to prevent a possible disruption to our clinical trials and commercial sales. Although we generally do not begin a clinical trial unless we believe we have on hand, or will be able to obtain, a sufficient supply of ensifentrine to complete the clinical trial, any significant delay in the supply of ensifentrine drug products, or the raw material components needed to produce, or devices needed to deliver, ensifentrine, for an ongoing clinical trial due to our CMOs or their third-party suppliers could considerably delay completion of our clinical trials, product testing and potential regulatory approval of ensifentrine. If our CMOs, their third-party supplies, or we are unable to purchase these supplies, there would be a shortage in supply, which would impair our ability to generate revenues from the sale of Ohtuvayre. In addition, growth in the costs and expenses of these supplies may impair our ability to cost-effectively manufacture ensifentrine. Additionally, CMOs may experience labor constraints which could impact their ability to manufacture and deliver ensifentrine.</w:t>
      </w:r>
    </w:p>
    <w:p>
      <w:pPr>
        <w:spacing w:after="0" w:line="8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rely and will continue to rely on CMOs and third-party suppliers to comply with and respect the proprietary rights of others in conducting their contractual obligations for us. If a CMO or third-party suppliers fails to acquire the proper licenses or otherwise infringes third-party proprietary rights in the course of providing services to us, we may have to find alternative CMOs or third-party suppliers, or defend against claims of infringement, either of which would significantly impact our ability to develop, obtain regulatory approval for, or market ensifentrine and any of its derived formulated products.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rely on patents and other intellectual property rights to protect our products and product candidates, the enforcement, defense and maintenance of which may be challenging and costly. Failure to enforce or protect these rights adequately could harm our ability to compete and impair our business.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commercial success depends in part on obtaining and maintaining patents and other forms of intellectual property rights for our products and product candidates, or on in-licensing such rights. The registrations of the assignment of each of these patents and patent applications with the relevant authorities in certain jurisdictions in which the patent and patent applications are registered have been granted, but there is no assurance that any additional registrations will be effected in a timely manner or at all. Failure to protect or to obtain, maintain or extend adequate patent and other intellectual property rights could adversely affect our ability to develop and market Ohtuvayre or our product candidates.</w:t>
      </w:r>
    </w:p>
    <w:p>
      <w:pPr>
        <w:spacing w:after="0" w:line="80"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patent prosecution process is expensive and time-consuming, and we or our licensors, licensees or collaborators may not be able to prepare, file and prosecute all necessary or desirable patent applications at a reasonable cost or in a timely manner or in all jurisdictions. It is also possible that we or our licensors, licensees or collaborators will fail to identify patentable aspects of inventions made in the course of development and commercialization activities before it is too late to obtain patent protection on them. Moreover, depending on the terms of any future in-licenses to which we may become a party, in some circumstances we may not have the right to control the preparation, filing and prosecution of patent applications, or to maintain the patents, covering technology in-licensed from third parties. Therefore, these patents and applications may not be prosecuted and enforced in a manner consistent with the best interests of our business. Further, the issuance, scope, validity, enforceability and commercial value of our and our current or future licensors’, licensees’ or collaborators’ patent rights are highly uncertain. Our and our licensors’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We cannot provide assurance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ensifentrine, third parties may initiate an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 the technology claimed in such applications unless and until a patent issues from such applications, and then only to the extent the issued claims cover the technology.</w:t>
      </w:r>
    </w:p>
    <w:p>
      <w:pPr>
        <w:spacing w:after="0" w:line="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Because patent applications are confidential for a period of time after filing, and some remain so until issued, we cannot be certain that we or our licensors were the first to file any patent application related to ensifentrine.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2" w:name="page63"/>
    <w:bookmarkEnd w:id="62"/>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Furthermore, if third parties have filed such patent applications on or before March 15, 2013, the date on which the U.S. patent filing system changed from a first-to-invent to a first-to-file standard, an interference proceeding can be initiated by such third parties to determine who was the first to invent any of the subject matter covered by the patent claims of our applications. If third parties have filed such applications after March 15, 2013, a derivation proceeding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identify relevant third-party patents or may incorrectly interpret the relevance, scope or expiration of a third-party patent which might adversely affect our ability to develop, manufacture and market our products and our product candidates, if approved.</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cannot guarantee that any of our or our licensors’ patent searches or analyses, including but not limited to the identification of relevant patents, the scope of patent claims or the expiration of relevant patents, are complete or thorough, nor can we be certain that we have identified each and every third-party patent and pending application in the U.S. and abroad that is relevant to or necessary for the commercialization of our products in any jurisdiction.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product candidates could have been filed by others without our knowledge. Additionally, pending patent applications that have been published can, subject to certain limitations, be later amended in a manner that could cover our products or product candidates. The scope of a patent claim is determined by an interpretation of the law, the written disclosure in a patent and the patent’s prosecution history. Our interpretation of the relevance or the scope of a patent or a pending application may be incorrect, which may negatively impact our ability to market our products and, if approved, our product candidates. We may incorrectly determine that one of our products or product candidates is not covered by a third-party patent or may incorrectly predict whether a third party’s pending application will issue with claims of relevant scope. Our determination of the expiration date of any patent in the U.S. or abroad that we consider relevant may be incorrect, which may negatively impact our ability to develop and market our products or, if approved, our product candidates. Our failure to identify and correctly interpret relevant patents may negatively impact our ability to develop and market our products and, if approved, our product candidates.</w:t>
      </w:r>
    </w:p>
    <w:p>
      <w:pPr>
        <w:spacing w:after="0" w:line="7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If we fail to identify and correctly interpret relevant patents, we may be subject to infringement claims. We cannot guarantee that we will be able to successfully settle or otherwise resolve such infringement claims. If we fail in any such dispute, in addition to being forced to pay damages, we may be temporarily or permanently prohibited from commercializing our products or, if approved, our product candidates. We might, if possible, also be forced to redesign our products or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lawsuits to protect or enforce patents covering our products or product candidates, which could be expensive, time consuming and unsuccessful, and issued patents could be found invalid or unenforceable if challenged in court.</w:t>
      </w:r>
    </w:p>
    <w:p>
      <w:pPr>
        <w:spacing w:after="0" w:line="5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To protect our competitive position, we may from time to time need to resort to litigation in order to enforce or defend any patents or other intellectual property rights owned by or licensed to us, or to determine or challenge the scope or validity of patents or other intellectual property rights of third parties. As enforcement of intellectual property rights is difficult, unpredictable, time consuming and expensive, we may fail in enforcing our rights - in which case our competitors may be permitted to use our technology without being required to pay us any license fees. In addition, however, litigation involving our patents carries the risk that one or more of our patents will be held invalid (in whole or in part, on a claim-by-claim basis) or held unenforceable. Such an adverse court ruling could allow third parties to commercialize our products or product candidates, and then compete directly with us, without payment to us. If we in-license intellectual property rights, our agreements may give our licensors the first right to control claims of third-party infringement, or to defend validity challenges. Therefore, these patents and patent applications may not be enforced or defended in a manner consistent with the best interests of our business.</w:t>
      </w:r>
    </w:p>
    <w:p>
      <w:pPr>
        <w:spacing w:after="0" w:line="8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were to initiate legal proceedings against a third party to enforce a patent covering one of our products or product candidates, the defendant could counterclaim that our patent is invalid or unenforceable. In patent litigation in the U.S. or in Europe, defendant counterclaims alleging invalidity or unenforceability are commonplace. Grounds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3" w:name="page64"/>
    <w:bookmarkEnd w:id="63"/>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 Patent and Trademark Office, or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our products or product candidates. Patents and other intellectual property rights also will not protect our technology if competitors design around our protected technology without infringing our patents or other intellectual property rights.</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industry commentators or investors perceive these results to be negative, it could have an adverse effect on the price of our ADSs.</w:t>
      </w:r>
    </w:p>
    <w:p>
      <w:pPr>
        <w:spacing w:after="0" w:line="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negative impact on the success of our business.</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Our commercial success depends, in part, upon our ability, and the ability of our future collaborators, to develop, manufacture, market and sell our products and, if approved, our product candidates without alleged or actual infringement, misappropriation or other violation of the patents and proprietary rights of third parties. There have been many lawsuits and other proceedings involving patent and other intellectual property rights in the biotechnology and pharmaceutical industries, including patent infringement lawsuits, interferences, oppositions and reexamination proceedings before the USPTO and corresponding foreign patent offices. The various markets in which we plan to operate are subject to frequent and extensive litigation regarding patents and other intellectual property rights. In addition, many companies in intellectual property-dependent industries, including the biopharmaceutical and pharmaceutical industries, have employed intellectual property litigation as a means to gain an advantage over their competitors. Numerous U.S. and foreign issued patents and pending patent applications, which are owned by third parties, exist in the fields in which we are developing ensifentrine. Some claimants may have substantially greater resources than we do and may be able to sustain the costs of complex intellectual property litigation to a greater degree and for longer periods of time than we could. In addition, patent holding companies that focus solely on extracting royalties and settlements by enforcing patent rights may target us. As the biotechnology and pharmaceutical industries expand and more patents are issued, the risk increases that our products may be subject to claims of infringement of the intellectual property rights of third parties.</w:t>
      </w:r>
    </w:p>
    <w:p>
      <w:pPr>
        <w:spacing w:after="0" w:line="83"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may in the future become party to, or be threatened with, adversarial proceedings or litigation regarding intellectual property rights with respect to Ohtuvayre and any existing or future product candidates, including interference or derivation proceedings, post grant review and inter partes review before the USPTO or similar adversarial proceedings or litigation in other jurisdictions. Similarly, we or our licensors or collaborators may initiate such proceedings or litigation against third parties, for example, to challenge the validity or scope of intellectual property rights controlled by third parties. Third parties may assert infringement claims against us based on existing patents or patents that may be granted in the future, regardless of their merit. There is a risk that third parties may choose to engage in litigation with us to enforce or to otherwise assert their patent rights against us. Even if we believe such claims are without merit, a court of competent jurisdiction could hold that these third-party patents are valid, enforceable and infringed, and the holders of any such patents may be able to block our ability to commercialize such product candidate unless we obtained a license under the applicable patents, or until such patents expire or are finally determined to be invalid or unenforceable. Similarly, if any third-party patents were held by a court of competent jurisdiction to cover aspects of our compositions, formulations, or methods of treatment, prevention or use, the holders of any such patents may be able to block our ability to develop and commercialize the applicable product or product candidate unless we obtained a license or until such patent expires or is finally determined to be invalid or unenforceable. Such licenses may not be available on reasonable terms, or at all, or may be non-exclusive thereby giving our competitors access to the same technologies licensed to us.</w:t>
      </w:r>
    </w:p>
    <w:p>
      <w:pPr>
        <w:spacing w:after="0" w:line="8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If we fail in any such dispute, we may be forced to pay damages, including the possibility of treble damages in a patent case if a court finds us to have willfully infringed certain intellectual property rights. We or our licensees may be temporarily or permanently prohibited from commercializing Ohtuvayre or from selling, incorporating, manufacturing or using our products or product candidates in the U.S. and/or other jurisdictions that use the subject intellectual property. We might, if possible, also be forced to redesign our products or product candidates so that we no longer infringe the third-party intellectual property rights, which may result in significant cost or delay to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4" w:name="page65"/>
    <w:bookmarkEnd w:id="64"/>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which redesign could be technically infeasible. Any of these events, even if we were ultimately to prevail, could require us to divert substantial financial and management resources that we would otherwise be able to devote to our business.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if the breadth or strength of protection provided by our or our licensors’ or collaborators’ patents and patent applications is threatened, it could dissuade companies from collaborating with us to license, develop or commercialize Ohtuvayre or any existing or future product candidates.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challenging the inventorship of our patents and other intellectual property.</w:t>
      </w:r>
    </w:p>
    <w:p>
      <w:pPr>
        <w:spacing w:after="0" w:line="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Although we are not currently experiencing any claims challenging the inventorship of our patents or ownership of our intellectual property, we may in the future be subject to claims that former employees, collaborators or other third parties have an interest in our patents or other intellectual property as an inventor or co-inventor.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For example, the assignment of intellectual property rights may not be self-executing or the assignment agreements may be breached, or we may have inventorship disputes arise from conflicting obligations of consultants or others who are involved in developing our product candidates. Litigation may be necessary to defend against these and other claims challenging inventorship. If we fail in defending any such claims, in addition to paying monetary damages, we may lose valuable intellectual property rights, such as exclusive ownership of, or right to use, valuable intellectual property. Even if we are successful in defending against such claims, litigation could result in substantial costs and be a distraction to management and other employees.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0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such perceptions could have a substantial adverse effect on the price of our ADSs.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an adverse effect on our ability to compete in the marketplace.</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our obligations under our existing and any future intellectual property licenses, the 2024 Loan Agreement, the RIPSA or any other future loan agreements with third parties, we could lose rights that are important to our business.</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are party to a license agreement with Ligand, under which we in-license certain intellectual property and were assigned certain patents and patent applications related to our business. We may enter into additional license agreements in the future. We expect that any future license agreements would impose various diligence, milestone payment, royalty, insurance and other obligations on us. We also entered into the 2024 Loan Agreement with the 2024 Lenders. The 2024 Term Loans is secured by a first-priority lien on substantially all of the assets of Verona Pharma, Inc. and the Company, including intellectual property. We also entered into the RIPSA with the Purchasers. The RIPSA is secured by a second-priority lien on certain of our intellectual property. For further description of the 2024 Term Loans and RIPSA, see Note 5 – Debt to the Consolidated Financial Statements included elsewhere in this Annual Report 10-K. Any uncured, material breach under any of these agreements could result in our loss of rights to practice the patent rights and other intellectual property under these agreements, and could compromise our development and commercialization efforts for our products. Moreover, our future licensors may own or control intellectual property that has not been licensed to us and, as a result, we may be subject to claims, regardless of their merit, that we are infringing or otherwise violating the licensor’s rights.</w:t>
      </w:r>
    </w:p>
    <w:p>
      <w:pPr>
        <w:spacing w:after="0" w:line="79"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maintaining the necessary rights to our products or product candidates or obtaining other intellectual property rights important to our business through acquisitions and in-licenses.</w:t>
      </w:r>
    </w:p>
    <w:p>
      <w:pPr>
        <w:spacing w:after="0" w:line="6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currently own and have in-licensed rights to intellectual property, including patents, patent applications and know-how, and our success will likely depend on maintaining these rights. Because our programs may require the use of proprietary rights held by third parties, the growth of our business will likely depend in part on our ability to acquire, in-license, maintain or use these proprietary rights. In addition, our products or product candidates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require specific formulations to work effectively and the rights to these formulations may be held by others. We may be unable to acquire or in-license any compositions, methods of use, processes, or other third-party intellectual property rights that we identify as necessary for our products or product candidates. The licensing and acquisition of third-party intellectual property rights is a competitive area, and a number of more established companies also are pursuing strategies to license or acquire third-party intellectual property rights that we may consider attractive. These established companies may have a competitive advantage over us due to their size, cash resources and greater clinical development and commercialization capabilities.</w:t>
      </w:r>
    </w:p>
    <w:p>
      <w:pPr>
        <w:spacing w:after="0" w:line="6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In addition, companies that perceive us to be a competitor may be unwilling to assign or license rights to us. We may also be unable to license or acquire third-party intellectual property rights on a timely basis, on terms that would allow us to make an appropriate return on our investment, or at all. Even if we are able to obtain a license to intellectual property of interest, we may not be able to secure exclusive rights, in which case others could use the same rights and compete with us. If we are unable to successfully obtain a license to third-party intellectual property rights necessary for a development program on acceptable terms, we may have to abandon that development program.</w:t>
      </w:r>
    </w:p>
    <w:p>
      <w:pPr>
        <w:spacing w:after="0" w:line="7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our trademarks and trade names are not adequately protected, then we may not be able to build name recognition in our markets of interest and our competitive position may be adversely affected.</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have registered trademarks in some territories and made applications to register the trademarks in other territories for potential trade names for our business and products and product candidates. We may not be able to obtain trademark protection for our trade names in territories that we consider of significant importance to us. If we register trademarks, our trademark applications may be rejected during trademark registration proceedings. Although we will be given an opportunity to respond to those rejections, we may be unable to overcome such rejections. In addition, any of our trademarks or trade names, whether registered or unregistered, may be challenged, opposed, infringed, cancelled, circumvented or declared generic or determined to be infringing on other marks. We may not be able to protect our rights to these trademarks and trade names, which we need to build name recognition by potential collaborators or customers in our markets of interest. Over the long-term, if we are unable to establish name recognition based on our trademarks and trade names, then we may not be able to compete effectively and our business may be adversely affected. If other entities use trademarks similar to ours in different jurisdictions, or have senior rights to ours, it could interfere with our use of our current trademarks throughout the world.</w:t>
      </w:r>
    </w:p>
    <w:p>
      <w:pPr>
        <w:spacing w:after="0" w:line="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we do not obtain protection under the Hatch-Waxman Amendments and similar non-U.S. legislation for extending the term of patents covering Ohtuvayre and any of our product candidates, our ability to compete effectively could be impaired.</w:t>
      </w:r>
    </w:p>
    <w:p>
      <w:pPr>
        <w:spacing w:after="0" w:line="6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Patents have a limited lifespan. In the U.S., if all maintenance fees are timely paid, the natural expiration of a patent is generally 20 years from its earliest U.S. non-provisional filing date. The issued patents covering the composition of matter for Ohtuvayre expired in 2020. Our other issued patents covering Ohtuvayre will expire in 2031 and 2035, subject to any patent extensions that may be available for such patents. If patents are issued on our pending US patent applications relating to Ohtuvayre, the resulting US patents are projected to expire on dates ranging from 2043 to 2045. Various extensions may be available, but the life of a patent, and the protection it affords, is limited. Even if patents covering Ohtuvayre are obtained, once the patent life has expired for a product, we may be open to competition from competitive medications, including generic medications.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One of our U.S. patents for Ohtuvayre may be eligible for limited patent term extension under the Drug Price Competition and Patent Term Restoration Act of 1984, referred to as the Hatch-Waxman Amendments, and similar legislation in the EU.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Generic drug companies can also challenge the patents of a brand-name drug under the Hatch-Waxman Act. When a generic drug manufacturer files an Abbreviated New Drug Application (ANDA) or a New Drug Application (under 21 U.S.C. § 355(b)(2)) with the FDA to seek approval for a generic version of a brand-name drug that is already 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72"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the market, they must make certain certifications regarding the patents listed for such drug in the FDA’s publication entitled Approved Drug Products with Therapeutic Equivalence Evaluations (Orange Book). The Orange Book lists patents that innovator drug companies assert cover their drug products or use of those products and a Paragraph IV certification is a legal challenge to the validity or enforceability, or infringement, of the patent(s) listed in the Orange Book. If the generic applicant makes a Paragraph IV certification, they must also notify the patent holder and the NDA (New Drug Application) holder that they have filed an ANDA or NDA with a Paragraph IV certification, providing detailed reasons why the patent is not valid or not infringed. The filing of a Paragraph IV certification can trigger a statutory stay of approval of the ANDA or NDA for 30 months while the parties engage in patent litigation, unless the litigation is resolved in favor of the generic applicant sooner or the court orders otherwise. This process can be a critical aspect of the generic drug approval pathway and may impact the timing of a generic drug’s entry into the market. Currently, there are three patents listed in the Orange Book for our product Ohtuvayre. Additional pending patent applications related to Ohtuvayre may result in granted patents that are then eligible for Orange Book listing. Ohtuvayre (and the patents listed in the Orange Book for Ohtuvayre) may be cited by potential competitors as a reference listed drug in support of approval of an ANDA for a generic version of Ohtuvayre. Our ability to assert or defend patents covering Ohtuvayre through this process will be adversely affected if we fail to seek or maintain listing of eligible patents in the Orange Book, or fail to otherwise maintain patents for which we have already obtained Orange Book listing.</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enjoy only limited geographical protection with respect to certain patents and may face difficulties in certain jurisdictions, which may diminish the value of our intellectual property rights in those jurisdictions.</w:t>
      </w:r>
    </w:p>
    <w:p>
      <w:pPr>
        <w:spacing w:after="0" w:line="6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We generally file our first patent application, or priority filing, at the U.K. Intellectual Property Office or the U.S. Patent and Trademark Office. International applications under the Patent Cooperation Treaty, or PCT, are usually filed within 12 months after the priority filing. Based on the PCT filing, national and regional patent applications may be filed in additional jurisdictions where we believe a product candidate may be marketed or manufactured. We have so far not filed for patent protection for our products in all national and regional jurisdictions where such protection may be available. Filing, prosecuting and defending patents in all countries throughout the world would be prohibitively expensive, and our intellectual property rights in some countries outside the U.S. can be less extensive than those in the U.S.. In addition, we may decide to abandon national and regional patent applications before grant. The grant proceeding of each national or regional patent is an independent proceeding which may lead to situations in which applications might in some jurisdictions be refused by the relevant patent offices, while granted by others. For example, unlike other countries, China has a heightened requirement for patentability, and specifically requires a detailed description of medical uses of a claimed drug. Furthermore, generic drug manufacturers or other competitors may challenge the scope, validity or enforceability of our or our licensors’ patents, requiring us or our licensors to engage in complex, lengthy and costly litigation or other proceedings. Generic drug manufacturers may develop, seek approval for and launch generic versions of our products. It is also quite common that depending on the country, the scope of patent protection may vary for the same product candidate or technology.</w:t>
      </w:r>
    </w:p>
    <w:p>
      <w:pPr>
        <w:spacing w:after="0" w:line="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Competitors may use our or our licensors’ or collaborators’ technologies in jurisdictions where we have not obtained patent protection to develop their own products and, further, may export otherwise infringing products to territories where we or our licensors or collaborators have patent protection, but enforcement is not as strong as that in the U.S.. These products may compete with our product candidates, and our and our licensors’ or collaborators’ patents or other intellectual property rights may not be effective or sufficient to prevent them from competing.</w:t>
      </w:r>
    </w:p>
    <w:p>
      <w:pPr>
        <w:spacing w:after="0" w:line="63"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laws of some jurisdictions do not protect intellectual property rights to the same extent as the laws or rules and regulations in the U.S. and the EU, and many companies have encountered significant difficulties in protecting and defending such rights in such jurisdictions. The legal systems of certain countries, particularly certain developing countries, do not favor the enforcement of patents, trade secrets and other intellectual property protection, which could make it difficult for us to stop the infringement of our patents or marketing of competing products in violation of our proprietary rights generally. Proceedings to enforce our patent rights in foreign jurisdictions, whether or not successful,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 Furthermore, while we intend to protect our intellectual property rights in our expected significant markets, we cannot ensure that we will be able to initiate or maintain similar efforts in all jurisdictions in which we may wish to market our product candidates. Accordingly, our efforts to protect our intellectual property rights in such countries may be inadequate, which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have an adverse effect on our ability to successfully commercialize our product candidates in all of our expected significant foreign markets.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Some countries have compulsory licensing laws under which a patent owner may be compelled to grant licenses to third parties. In addition, some countries limit the enforceability of patents against government agencies or government contractors. In these countries, the patent owner may have limited remedies, which could materially diminish the value of such patent. If we or any of our licensors is forced to grant a license to third parties with respect to any patents relevant to our business, our competitive position may be impaired.</w:t>
      </w:r>
    </w:p>
    <w:p>
      <w:pPr>
        <w:spacing w:after="0" w:line="77"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In addition, 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For example, the United States and foreign government actions related to Russia’s conflict in Ukraine may limit or prevent filing, prosecution, and maintenance of patent applications in Russia. Government actions may also prevent maintenance of issued patents in Russia. These actions could result in abandonment or lapse of our patents or patent applications, resulting in partial or complete loss of patent rights in Russia. If such an event were to occur, it could have a material adverse effect on our business.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Accordingly, our competitive position may be impaired, and our business, financial condition, results of operations and prospects may be adversely affected.</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necessarily address all potential threats to our competitive advantage.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8" w:lineRule="exact"/>
        <w:rPr>
          <w:sz w:val="20"/>
          <w:szCs w:val="20"/>
          <w:color w:val="auto"/>
        </w:rPr>
      </w:pPr>
    </w:p>
    <w:p>
      <w:pPr>
        <w:ind w:left="340" w:right="2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products or product candidates but that are not covered by the claims of the patents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third parties may impair our ability to develop or commercialize our products or product candidates;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strategic collaborators might not have been the first to conceive or reduce to practice the inventions covered by the issued patent or pending patent application that we own or have exclusively licensed;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our licensors or any future collaborators might not have been the first to file patent applications covering certain of our inventions;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possible that our pending patent applications will not lead to issued patents;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that we own or have exclusively licensed may not provide us with any competitive advantage, or may be held invalid or unenforceable, as a result of legal challenges by our competitors;</w:t>
      </w:r>
    </w:p>
    <w:p>
      <w:pPr>
        <w:spacing w:after="0" w:line="4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performing manufacturing or testing for us using our product candidates or technologies could use the intellectual property of others without obtaining a proper license; and</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additional technologies that are patentable.</w:t>
      </w:r>
    </w:p>
    <w:p>
      <w:pPr>
        <w:spacing w:after="0" w:line="10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Changes in patent laws or patent jurisprudence could diminish the value of patents in general, thereby impairing our ability to protect our products or any existing or future product candidates.</w:t>
      </w:r>
    </w:p>
    <w:p>
      <w:pPr>
        <w:spacing w:after="0" w:line="6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complexity and legal complexity. Therefore, obtaining and enforcing biopharmaceutical patents is costly, time consuming and inherently uncertain. In addition, the America Invents Act (the “AIA”), which was passed on September 16, 2011, resulted in significant changes to the U.S. patent system.</w:t>
      </w:r>
    </w:p>
    <w:p>
      <w:pPr>
        <w:spacing w:after="0" w:line="4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 important change introduced by the AIA is that, as of March 16, 2013, the U.S.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requires us to be cognizant of the time from invention to filing of a patent application, but circumstances could prevent us from promptly filing patent applications on our inventions.</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Accordingly, a third party may attempt to use the USPTO procedures to invalidate our patent claims that would not have been invalidated if first challenged by the third party as a defendant in a district court action. It is not clear what, if any, impact the AIA will have on the operation of our business. However, the AIA and its implementation could increase the uncertainties and costs surrounding the prosecution of our or our licensors’ or collaboration partners’ patent applications and the enforcement or defense of our or our licensors’ or collaboration partners’ issued patents.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Congress, the federal courts and the USPTO, the laws and regulations governing patents could change in unpredictable ways that could weaken our ability to obtain new patents or to enforce our existing patents and patents that we might obtain in the future. Similarly, the complexity and uncertainty of European patent laws has also increased in recent years. In addition, the European patent system is relatively stringent in the type of amendments that are allowed during prosecution. Complying with these laws and regulations could limit our ability to obtain new patents in the future that may be important for our business.</w:t>
      </w:r>
    </w:p>
    <w:p>
      <w:pPr>
        <w:spacing w:after="0" w:line="23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Finally, a Unitary Patent and Unified Patent Court (“UPC”) system was implemented in Europe on June 1, 2023. This new regime may present uncertainties for our ability to protect and enforce our patent rights against competitors in Europe. Under the UPC, all European patents in countries taking part in the UPC, including those issued prior to ratification of the European Patent Package, by default automatically fall under the jurisdiction of the UPC. The UPC provides our competitors with a new forum to centrally revoke our European patents in UPC countries, and allows for the possibility of a competitor to obtain pan-European injunctions. It will be several years before we will understand the scope of patent rights that will be recognized and the strength of patent remedies that will be provided by the UPC. Under the UPC agreement, we will have the right to opt our patents out of the UPC over the first seven years of the court’s existence, but doing so may preclude us from realizing the benefits of the new unified court.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Confidentiality agreements with employees and others may not adequately prevent disclosure of trade secrets and protect other proprietary information.</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consider proprietary trade secrets and confidential know-how and unpatented know-how to be important to our business. We may rely on trade secrets or confidential know-how to protect our technology, especially where patent protection is believed to be of limited value. However, trade secrets and confidential know-how are difficult to maintain as confidential.</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To protect this type of information against disclosure or appropriation by competitors, our policy is to require our employees, consultants, contractors and advisors to enter into confidentiality agreements with us. We also seek to preserve the integrity and confidentiality of our data, trade secrets and know-how by maintaining physical security of our premises and physical and electronic security of our information technology systems. Monitoring unauthorized uses and disclosures is difficult, and we do not know whether the steps we have taken to protect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proprietary technologies will be effective. We cannot guarantee that our trade secrets and other proprietary and confidential information will not be disclosed or that competitors will not otherwise gain access to our trade secrets. However, current or former employees, consultants, contractors and advisors may unintentionally or willfully disclose our confidential information to competitors, and confidentiality agreements may not provide an adequate remedy in the event of unauthorized disclosure of confidential information. Enforcing a claim that a third party obtained illegally and is using trade secrets and/or confidential know-how is expensive, time consuming and unpredictable. The enforceability of confidentiality agreements may vary from jurisdiction to jurisdiction.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Failure to obtain or maintain trade secrets and confidential know-how trade protection could adversely affect our competitive position. Moreover, our competitors may independently develop substantially equivalent proprietary information and may even apply for patent protection in respect of the same. If successful in obtaining such patent protection, our competitors could limit our use of our trade secrets and/or confidential know-how.</w:t>
      </w:r>
    </w:p>
    <w:p>
      <w:pPr>
        <w:spacing w:after="0" w:line="51"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claims by third parties asserting that our employees or we have misappropriated their intellectual property, or claiming ownership of what we regard as our own intellectual property.</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Such a license may not be available on commercially reasonable terms or at all. Even if we successfully prosecute or defend against such claims, litigation could result in substantial costs and distract management.</w:t>
      </w:r>
    </w:p>
    <w:p>
      <w:pPr>
        <w:spacing w:after="0" w:line="7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or collaboration partners fail to maintain the patents and patent applications covering our products or product candidates, our competitors might be able to enter the market, which would hurt our competitive position and could impair our ability to successfully commercialize Ohtuvayre or any existing or future product candidate.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Information Technology</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Our information technology systems, and those of our manufacturers, suppliers and other third parties that we use to perform services for us or otherwise collaborate with, may fail or suffer security breaches, which could distract our operations and cause delays in our research and development and commercialization activities, and may adversely affect our business, operations and financial performance.</w:t>
      </w:r>
    </w:p>
    <w:p>
      <w:pPr>
        <w:spacing w:after="0" w:line="72"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In the ordinary course of our business, we and our manufacturers, suppliers and third parties that we use to perform services for us or otherwise collaborate with, collect and store sensitive data, including intellectual property, clinical trial data, sales, forecasting, and commercial performance data, proprietary business information and personally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0" w:name="page71"/>
    <w:bookmarkEnd w:id="70"/>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identifiable information (collectively, “Confidential Information”) in our and third-party data centers and on our and third-party networks. The secure processing, maintenance and transmission of Confidential Information is critical to our operations. Our information technology and other internal infrastructure systems, including cloud services, corporate firewalls, servers, leased lines and connection to the Internet, and that of our manufacturers, suppliers and other third parties that we use to perform services for us or otherwise collaborate with, face the risk of systemic failure that could disrupt our operations. A significant disruption in the availability of these information technology and other internal infrastructure systems could cause interruptions in our collaborations and delays in our research and development and commercialization activities.</w:t>
      </w:r>
    </w:p>
    <w:p>
      <w:pPr>
        <w:spacing w:after="0" w:line="80"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Further, our information technology systems and those of our third-party service providers, strategic partners and other contractors or consultants are vulnerable to damage, attack or interruption from computer viruses, malware (e.g. ransomware), misconfigurations, “bugs” or other vulnerabilities, natural disasters, terrorism, war, telecommunication and electrical failures, hacking, cyberattacks, phishing attacks and other social engineering schemes, malicious code, employee theft or misuse, human error, fraud, denial or degradation of service attacks, sophisticated nation-state and nation-state-supported actors or unauthorized access or use by persons inside our organization, or persons with access to systems inside our organization. Attacks upon information technology systems are increasing in their frequency, levels of persistence, sophistication and intensity, and are being conducted by sophisticated and organized groups and individuals with a wide range of motives and expertise. As a result of a continued hybrid working environment,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or disrupt, systems change frequently and often are not recognized until launched against a target, we may be unable to anticipate these techniques or implement adequate preventative measures.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There can also be no assurance that our and our manufacturers’, suppliers’ and other critical third parties’ cybersecurity risk management program and processes, including policies, controls or procedures, will be fully implemented, complied with or effective in protecting our systems, networks and Confidential Information.</w:t>
      </w:r>
    </w:p>
    <w:p>
      <w:pPr>
        <w:spacing w:after="0" w:line="77"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Despite security measures that we and our critical third parties (e.g., collaborators) implement, our information technology and infrastructure may be vulnerable to attacks by hackers or internal bad actors, breaches due to human error, technical vulnerabilities, malfeasance or other disruptions. We and certain of our service providers are from time to time subject to cyberattacks and security incidents. Although to our knowledge we have not experienced any significant security breach to date, any such breach could compromise our information technology systems and the Confidential Information stored there could be accessed, publicly disclosed, lost or stolen. Any such access, disclosure or other loss of information could result in legal claims or proceedings, liability under laws that protect the privacy of personal data, regulatory penalties, disrupt our operations, damage our reputation, and cause a loss of confidence in us and our ability to conduct clinical trials and commercialize our product candidates, which could adversely affect our reputation and delay clinical development and commercialization of our product candidates. Any adverse impact to the availability, integrity or confidentiality of our or third-party systems or Confidential Information can result in legal claims or proceedings (such as class actions), regulatory investigations and enforcement actions, fines and penalties, negative reputational impacts that cause us to lose existing or future customers, and/or significant incident response, system restoration or remediation and future compliance costs. Any losses, costs or liabilities may not be covered by, or may exceed the coverage limits of, any or all applicable insurance policies.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Employee Matters and Managing Growth</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and ability to compete depends on our ability to retain our key personnel and recruit additional qualified personnel.</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success depends upon the contributions of our key management, scientific and technical personnel, many of whom have been instrumental for us and have substantial experience with ensifentrine and related technologies. Our key management individuals include our chief executive officer, David Zaccardelli, our chief financial officer, Mark Hahn, our general counsel, Andrew Fisher, our chief medical officer, Kathleen Rickard, our chief regulatory officer, Caroline Diaz, our chief commercial officer, Christopher Martin, and our chief development officer, Tara Rheault. The loss of key personnel could impact our commercialization efforts and research and development activities. In addition, the competition for qualified personnel in the biopharmaceutical and pharmaceutical field is intense,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future success depends upon our ability to attract, retain and motivate highly skilled scientific, technical and managerial employees. We face competition for personnel from other companies, universities, public and private research institutions and other organizations. If our recruitment and retention efforts are unsuccessful in the future, it may be difficult for us to achieve our commercialization goals for Ohtuvayre and our product candidate development objectives, raise additional capital and implement our business strategy.</w:t>
      </w:r>
    </w:p>
    <w:p>
      <w:pPr>
        <w:spacing w:after="0" w:line="73"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We are continuing to expand our development, regulatory, commercial, sales, marketing, reimbursement and distribution capabilities, and as a result, we may encounter difficulties in managing our growth, which could disrupt our operations.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experienced significant growth in the number of our employees and the scope of our operations, particularly in the areas of commercial operations and sales, marketing, reimbursement and distribution. To manage this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ADSs</w:t>
      </w:r>
    </w:p>
    <w:p>
      <w:pPr>
        <w:spacing w:after="0" w:line="21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Certain of our shareholders, members of our board of directors, and senior management who own our ordinary shares (including ordinary shares represented by ADSs) may be able to exercise significant control over us.</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Depending on the level of attendance at our general meetings of shareholders, these shareholders either alone or voting together as a group may be in a position to determine or significantly influence the outcome of decisions taken at any such general meeting. Any shareholder or group of shareholders controlling more than 50% of the share capital present and voting at our general meetings of shareholders may control any shareholder resolution requiring a simple majority, including the appointment of board members, certain decisions relating to our capital structure, and the approval of certain significant corporate transactions. Among other consequences, this concentration of ownership may have the effect of delaying or preventing a change in control and might therefore negatively affect the market price of our ADSs and ordinary shares.</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ADSs or ordinary shares in the foreseeable future, capital appreciation, if any, will be our ADS holders’ and shareholders’ sole source of gains and they may never receive a return on their investment.</w:t>
      </w:r>
    </w:p>
    <w:p>
      <w:pPr>
        <w:spacing w:after="0" w:line="6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current English law, a company’s accumulated realized profits must exceed its accumulated realized losses (on a non-consolidated basis) before dividends can be paid. Therefore, we must have distributable profits before issuing a dividend. We have not paid dividends in the past on our ordinary shares. We intend to retain earnings, if any, for use in our business and do not anticipate paying any cash dividends in the foreseeable future. As a result, capital appreciation, if any, on our ADSs or ordinary shares will be our ADS holders’ and shareholders’ sole source of gain for the foreseeable future, and they will suffer a loss on their investment if they are unable to sell their ADSs or ordinary shares at or above the price at which they were purchased. Investors seeking cash dividends should not purchase our ADSs or ordinary shares.</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have the same voting rights as the holders of our ordinary shares and may not receive voting materials in time to be able to exercise their right to vote.</w:t>
      </w:r>
    </w:p>
    <w:p>
      <w:pPr>
        <w:spacing w:after="0" w:line="3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Holders of our ADSs are not able to exercise voting rights attaching to the ordinary shares evidenced by our ADSs on an individual basis. Holders of our ADSs have appointed a depositary as their representative to exercise the voting rights attaching to the ordinary shares represented by their ADSs. Holders of our ADSs may not receive voting materials in time to instruct the depositary to vote, and it is possible that they, or persons who hold their ADSs through brokers, dealers or other third parties, will not have the opportunity to exercise a right to vote. Furthermore, the depositary will not be liable for any failure to carry out any instructions to vote, for the manner in which any vote is cast or for the effect of any such vote. As a result, holders of our ADSs may not be able to exercise voting rights and may lack recourse if their ADSs are not voted as requested. In addition, holders of our ADSs will not be able to call a shareholders’ meeting.</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Holders of our ADSs may not receive distributions on our ordinary shares represented by our ADSs or any value for them if it is illegal or impractical to make them available to them.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depositary for our ADSs has agreed to pay to holders of our ADSs the cash dividends or other distributions it or the custodian receives on our ordinary shares or other deposited securities after deducting its fees and expenses. Holders of our ADSs will receive these distributions in proportion to the number of our ordinary shares their ADSs represent. However, in accordance with the limitations set forth in the deposit agreement entered into with the depositary, it may be unlawful or impractical to make a distribution available to holders of our ADSs. We have no obligation to take any other action to permit the distribution of our ADSs, ordinary shares, rights or anything else to holders of our ADSs. This means that holders of our ADSs may not receive the distributions we make on our ordinary shares or any value from them if it is unlawful or impractical to make the distributions available to them. These restrictions may have a material adverse effect on the value of our ADSs.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Holders of our ADSs may be subject to limitations on transfer of their ADSs.</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ADSs are transferable on the books of the depositary. However, the depositary may close its transfer books at any time or from time to time when it deems expedient in connection with the performance of its duties. In addition, the depositary may refuse to deliver, transfer or register transfers of ADSs generally when our books or the books of the depositary are closed, or at any time if we or the depositary deems it advisable to do so because of any requirement of law or of any government or governmental body, or under any provision of the deposit agreement, or for any other reason in accordance with the terms of the deposit agreement. These limitations on transfer may have a material adverse effect on the value of our ADSs.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rights of our shareholders may differ from the rights typically offered to shareholders of a U.S. corporation.</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material respects from the rights of shareholders in typical U.S. corporations. As a result, investors in our ordinary shares or ADSs may not have the same protections or rights as they would if they had invested in a U.S. corporation. This may make our ADSs less attractive to such investors, which could harm the value of our ADSs.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Claims of U.S. civil liabilities may not be enforceable against us.</w:t>
      </w:r>
    </w:p>
    <w:p>
      <w:pPr>
        <w:spacing w:after="0" w:line="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incorporated under English law. Some of our assets are located outside the U.S. and certain members of our board of directors reside outside the U.S.. As a result, it may not be possible for investors to effect service of process within the U.S. upon such persons or to enforce judgments obtained in U.S. courts against them or us, including judgments predicated upon the civil liability provisions of the U.S. federal securities laws.</w:t>
      </w:r>
    </w:p>
    <w:p>
      <w:pPr>
        <w:spacing w:after="0" w:line="5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U.S. and the U.K. do not currently have a treaty providing for recognition and enforcement of judgments (other than arbitration awards) in civil and commercial matters. Consequently, a final judgment for payment given by a court in the U.S., whether or not predicated solely upon U.S. securities laws, would not automatically be recognized or enforceable in the U.K.. In addition, uncertainty exists as to whether U.K. courts would entertain original actions brought in the U.K. against us or our directors or senior management predicated upon the securities laws of the U.S. or any state in the U.S.. Any final and conclusive monetary judgment for a definite sum obtained against us in U.S. courts would be treated by the courts of the U.K. as a cause of action in itself and sued upon as a debt at common law so that no retrial of the issues would be necessary, provided that certain requirements are met. Whether these requirements are met in respect of a judgment based upon the civil liability provisions of the U.S. securities laws, including whether the award of monetary damages under such laws would constitute a penalty, is an issue for the court making such decision. If an English court gives judgment for the sum payable under a U.S. judgment, the English judgment will be enforceable by methods generally available for this purpose. These methods generally permit the English court discretion to prescribe the manner of enforcement.</w:t>
      </w:r>
    </w:p>
    <w:p>
      <w:pPr>
        <w:spacing w:after="0" w:line="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a result, U.S. investors may not be able to enforce against us or our board of directors or certain experts named herein who are residents of the U.K. or countries other than the U.S. any judgments obtained in U.S. courts in civil and commercial matters, including judgments under the U.S. federal securities laws.</w:t>
      </w:r>
    </w:p>
    <w:p>
      <w:pPr>
        <w:spacing w:after="0" w:line="7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over financial reporting, we may not be able to accurately report our financial results or prevent fraud. As a result, shareholders could lose confidence in our financial and other public reporting, which would harm our business and the trading price of our ADSs.</w:t>
      </w:r>
    </w:p>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7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financial reporting that are deemed to be material weaknesses or that may require prospective or retroactive changes to our financial statements or identify other areas for further attention or improvement. As we continue to transition to a commercial company following the FDA’s approval of Ohtuvayre, our internal controls over financial reporting may become more complex, which could increase the probability of deficiencies in our internal controls in the future. Inadequate internal controls could also cause investors to lose confidence in our reported financial information, which could have a negative effect on the trading price of our ADSs.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1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Changes in our tax rates, unavailability of certain tax credits or reliefs or exposure to additional tax liabilities or assessments could affect our profitability, and audits by tax authorities could result in additional tax payments for prior periods.</w:t>
      </w:r>
    </w:p>
    <w:p>
      <w:pPr>
        <w:spacing w:after="0" w:line="3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New income, sales use or other tax laws, statutes, rules, regulations or ordinances could be enacted at any time, or interpreted, changed, modified or applied adversely to us, any of which could adversely affect our business operations and financial performance. We are currently unable to predict whether such changes will occur and, if so, the ultimate impact on our business. To the extent that such changes have a negative impact on us, including as a result of related uncertainty, these changes may materially and adversely impact our business, financial condition, results of operations and cash flows.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carry out research and development activities including, but not limited to, developing ensifentrine for various indications and delivery methods, and as a result we have previously benefitted in the U.K. from the HM Revenue and Customs, or HMRC, small and medium sized enterprises research and development relief, or SME R&amp;D Relief, which provides relief against U.K. Corporation Tax or is surrenderable for a cash credit where a company is loss making and relevant criteria are met.</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Broadly, SME R&amp;D Relief allows qualifying SMEs to deduct a total of 186% of their qualifying expenditure from their yearly profit for U.K. Corporation Tax purposes (the deduction is given by allowing an additional 86% deduction plus the usual 100% deduction). Where there are not sufficient profits for U.K. Corporation Tax purposes to fully utilize the SME R&amp;D Additional Deduction, the excess (“surrenderable losses”) can be carried forward to offset against future taxable profits, or a tax credit currently equal to 10% of such surrenderable loss can be claimed in cash, or the SME R&amp;D Tax Credit (i.e., the excess losses are surrendered in exchange for a cash credit payment).</w:t>
      </w:r>
    </w:p>
    <w:p>
      <w:pPr>
        <w:spacing w:after="0" w:line="8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for accounting periods beginning on or after 1 April 2024, the R&amp;D intensive loss-making SME scheme threshold (broadly, the proportion of qualifying R&amp;D expenditure compared to total expenditure, including connected group companies) will be 30%. Therefore, loss-making SMEs with qualifying R&amp;D expenditure of 30% or more of its total expenditure may claim an enhanced deduction of 86% and a repayable credit of 14.5%.</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Based on criteria established by HMRC a portion of expenditure incurred in relation to our research and development activities including, but not limited to, operating clinical trials, manufacturing, consultant and salary and related costs, is eligible for the SME R&amp;D Additional Deduction. Our consequential surrenderable losses are currently eligible for the SME R&amp;D Tax Credit, in accordance with HMRC criteria.</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financial statements for the years ended December 31, 2024 and December 31, 2023, we recorded SME R&amp;D Tax Credits of $3.7 million and $2.0 million, respectively. We received the credit relating to the year ended December 31, 2022 in June 2024. Based on the HMRC criteria, we expect to receive the credit relating to the years ended December 31, 2023 and 2024 in 2025.</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Changes to the U.K.’s SME R&amp;D Relief regime that take effect for accounting periods beginning on or after April 1, 2024, may adversely affect the financial benefit of the R&amp;D claim. Such changes have introduced a single R&amp;D relief regime which merges the current “RDEC” and SME R&amp;D Relief scheme. The credit rate under the legislation is 20% of qualifying expenditure, with the credit itself subject to U.K. corporation tax. The credit will therefore be reduced by the applicable rate of U.K. corporation tax (the main rate of which is currently 25%), although the notional tax rate that applies to loss-making companies will be set at the lower rate of 19% for the purposes of the new R&amp;D relief regime. Therefore, under current rates of U.K. corporation tax, profitable businesses subject to the main rate of U.K. corporation tax will effectively receive a credit of 15% of qualifying expenditure whilst loss-making businesses will receive a credit of 16.2%.</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classified as a passive foreign investment company, certain adverse U.S. federal income tax consequences could apply to U.S. Holders</w:t>
      </w:r>
      <w:r>
        <w:rPr>
          <w:rFonts w:ascii="Times New Roman" w:cs="Times New Roman" w:eastAsia="Times New Roman" w:hAnsi="Times New Roman"/>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4" w:name="page75"/>
    <w:bookmarkEnd w:id="74"/>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Based on the composition of our income and assets and the value of our assets in the taxable year ended December 31, 2024, we believe that we were not a passive foreign investment company (“PFIC”) for U.S. federal income tax purposes for such taxable year. However, no assurances regarding our PFIC status can be provided for any taxable year. If we are classified as a PFIC for any taxable year during which a U.S. Holder (as defined below) holds our ordinary shares or ADSs, certain adverse U.S. federal income tax consequences could apply to such U.S. Holder, including (i) the treatment of all or a portion of any gain on disposition of our ordinary shares or ADSs as ordinary income, (ii) the application of a deferred interest charge on such gain and the receipt of certain dividends, and (iii) the obligation to comply with certain reporting requirements. We cannot provide any assurances that we will furnish to any U.S. Holder information that may be necessary to comply with the aforementioned reporting and tax payment obligations.</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A non-U.S. corporation will generally be considered a PFIC for any taxable year in which (i) 75% or more of its gross income consists of passive income or (ii) 50% or more of the value of its assets (generally determined on the basis of a quarterly average) consists of assets that produce, or are held for the production of, passive income. For purposes of these tests, passive income includes dividends, interest, gains from the sale or exchange of investment property and certain rents and royalties. In addition, for purposes of the above calculations, a non-U.S. corporation that directly or indirectly owns at least 25% by value of the shares of another corporation is treated as holding and receiving directly its proportionate share of the assets and income of such corporation. The determination of whether we are a PFIC is a fact-intensive determination made on an annual basis applying principles and methodologies that in some circumstances are unclear and subject to varying interpretation. Under the income test, our status as a PFIC depends on the composition of our income which will depend on the transactions we enter into and our corporate structure. The composition of our income and assets is also affected by the spending of the cash we raise in any offering. Each U.S. Holder should consult its tax advisors with respect to the potential adverse U.S. tax consequences to it if we are a PFIC.</w:t>
      </w:r>
    </w:p>
    <w:p>
      <w:pPr>
        <w:spacing w:after="0" w:line="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If we are classified as a PFIC in any year with respect to which a U.S. Holder owns our ordinary shares or ADSs, we will continue to be treated as a PFIC with respect to such U.S. Holder in all succeeding years during which the U.S. Holder owns our ordinary shares or ADSs, regardless of whether we continue to meet the PFIC tests described above, unless the U.S. Holder makes a specified election once we cease to be a PFIC.</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“U.S. Holder” is any beneficial owner of our ordinary shares or ADSs that, for U.S. federal income tax purposes, is or is treated as any of the following: a citizen or individual resident of the U.S.; a corporation, or other entity taxable as a corporation, created or organized in or under the laws of the U.S., any state therein or the District of Columbia; an estate the income of which is subject to U.S. federal income taxation regardless of its source; or a trust that (i) is subject to the supervision of a U.S. court and all substantial decisions of which are subject to the control of one or more “United States persons” (within the meaning of Section 7701(a)(30) of the United States Internal Revenue Code of 1986, as amended (the “Internal Revenue Code”)), or (ii) has a valid election in effect to be treated as a United States person.</w:t>
      </w:r>
    </w:p>
    <w:p>
      <w:pPr>
        <w:spacing w:after="0" w:line="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a U.S. Holder is treated as owning at least 10% of our ordinary shares or ADSs, such holder may be subject to adverse U.S. federal income tax consequences.</w:t>
      </w:r>
    </w:p>
    <w:p>
      <w:pPr>
        <w:spacing w:after="0" w:line="36"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If a U.S. Holder (as defined above) is treated as owning (directly, indirectly or constructively) at least 10% of the value or voting power of our ordinary shares or ADSs, such U.S. Holder would generally be treated as a “United States shareholder” (within the meaning of Section 951(b) of the Internal Revenue Code) with respect to each “controlled foreign corporation” (within the meaning of Section 957(a) of the Internal Revenue Code (a “CFC”)) in our group, if any. Because our group includes one or more U.S. subsidiaries, certain of our non-U.S. subsidiaries could be treated as CFCs, regardless of whether we are treated as a CFC. A United States shareholder of a CFC may be required to report annually and include in its U.S. taxable income its pro rata share of “Subpart F income,” “global intangible low-taxed income” and investments in U.S. property by such CFC, regardless of whether such CFC makes any distributions. An individual that is a United States shareholder with respect to a CFC generally would not be allowed certain tax deductions or foreign tax credits that would be allowed to a United States shareholder that is a U.S. corporation. Failure to comply with these reporting obligations may subject a United States shareholder to significant monetary penalties and may prevent the expiration of the statute of limitations with respect to such shareholder’s U.S. federal income tax return for the year for which reporting was due. We cannot provide any assurances that we will assist investors in determining whether we or any of our non-U.S. subsidiaries are treated as CFCs or whether any such investor is treated as a United States shareholder with respect to any such CFCs. Further, we cannot provide any assurances that we will furnish to any United States shareholder information that may be necessary to comply with the reporting and tax payment obligations described in this risk factor. U.S. Holders should consult their tax advisors regarding the potential application of these rules to their investment in our ordinary shares or ADSs.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5" w:name="page76"/>
    <w:bookmarkEnd w:id="75"/>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ADSs may be volatile and may fluctuate due to factors beyond our control.</w:t>
      </w:r>
    </w:p>
    <w:p>
      <w:pPr>
        <w:spacing w:after="0" w:line="9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trading market for publicly traded emerging biopharmaceutical and drug discovery and development companies has been highly volatile and is likely to remain highly volatile in the future. The market price of our ADSs may fluctuate significantly due to a variety of factors, including:</w:t>
      </w:r>
    </w:p>
    <w:p>
      <w:pPr>
        <w:spacing w:after="0" w:line="54" w:lineRule="exact"/>
        <w:rPr>
          <w:sz w:val="20"/>
          <w:szCs w:val="20"/>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concern relating to the commercial value or safety of ensifentrine, including for our approved product Ohtuvayre;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in our competitors’ businesses;</w:t>
      </w:r>
    </w:p>
    <w:p>
      <w:pPr>
        <w:spacing w:after="0" w:line="10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entering into collaborations and strategic relationships with respect to commercialization of Ohtuvayre or development of ensifentrine in other target indications or formulations, or entry into collaborations and strategic relationships on terms that are not deemed to be favorable to us;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or commercial product introductions by us or competitors;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 regulations;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payment systems;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proprietary rights, including patents and litigation matters;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positive or negative results from, or delays in, clinical trials of ensifentrine;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or other corporate transactions;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operating results;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failure or the failure of our competitors to meet analysts’ projections or guidance that we or our competitors may give to the market;</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regarding the ownership of ADSs, including as related to their inclusion in U.S. market indices;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publication of research reports or comments by securities or industry analysts or commentators;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market conditions in the pharmaceutical industry or in the economy as a whole;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of our key scientific or senior management personnel;</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ADSs by us, our senior management or board members, and significant holders of our ADSs; or</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events and factors, many of which are beyond our control.</w:t>
      </w:r>
    </w:p>
    <w:p>
      <w:pPr>
        <w:spacing w:after="0" w:line="9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ADSs to fluctuate substantially, regardless of our actual operating performance, which may limit or prevent investors from readily selling their ADSs and may otherwise negatively affect the liquidity of our ADSs. In addition, the stock market in general, and biopharmaceutical companies in particular, have experienced extreme price and volume fluctuations that have often been unrelated or disproportionate to the operating performance of these companies. In the past, when the market price of a stock has been volatile, holders of that stock have sometimes instituted securities class action litigation against the issuer. If any of the holders of our ADSs were to bring such a lawsuit against us, we could incur substantial costs defending the lawsuit and the attention of our senior management would be diverted from the operation of our business. Any adverse determination in litigation could also subject us to significant liabilities.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or the possibility of future sales, of a substantial number of our ADSs or ordinary shares could adversely affect the price of our ADSs.</w:t>
      </w:r>
    </w:p>
    <w:p>
      <w:pPr>
        <w:spacing w:after="0" w:line="10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Future sales of a substantial number of our ADSs or ordinary shares, or the perception that such sales will occur, could cause a decline in the market price of our ADSs. Sales in the U.S. of our ADSs and ordinary shares held by our directors, officers and affiliated shareholders are subject to restrictions. If these shareholders sell substantial amounts of ordinary shares or ADSs in the public market, or the market perceives that such sales may occur, the market price of our ADSs and our ability to raise capital through an issue of equity securities in the future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spacing w:after="0" w:line="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Unstable market and economic conditions may have serious adverse consequences on our business and financial condition and the price of our ADSs. The global economy, including credit and financial markets, has recently experienced extreme volatility and disruptions, including severely diminished liquidity and credit availability, rising interest and inflation rates, declines in consumer confidence, declines in economic growth, increases in unemployment rates and uncertainty about economic stability. If the equity and credit markets continue to deteriorate or the U.K. or the U.S. enters a recession, it may make any necessary debt or equity financing more difficult to obtain in a timely manner or on favorable terms, more costly or more dilutive. In addition, there is a risk that one or more of our CROs, suppliers or other third-party providers may not survive an economic downturn or recession. As a result, our business, results of operations and price of our ADSs may be adversely affected.</w:t>
      </w:r>
    </w:p>
    <w:p>
      <w:pPr>
        <w:spacing w:after="0" w:line="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or commentators publish inaccurate or unfavorable research, about our business, the price of our ADSs and ordinary shares and our trading volume could decline.</w:t>
      </w:r>
    </w:p>
    <w:p>
      <w:pPr>
        <w:spacing w:after="0" w:line="6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trading market for our ADSs and ordinary shares depends in part on the research and reports that securities or industry analysts or commentators publish about us, our business or our industry. If one or more of the analysts who cover us downgrade our ADSs or if they or other industry commentators publish inaccurate or unfavorable research or comments about our business, the price of our ADSs and ordinary shares would likely decline. If one or more of these analysts cease coverage of us or fail to publish reports on us regularly, demand for our ADSs could decrease, which might cause the price of our ADSs and ordinary shares and trading volume to decline.</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have incurred and expect to continue to incur increased costs as a result of operating as a public company in the U.S., and our senior management are required to devote substantial time to new compliance initiatives and corporate governance practices.</w:t>
      </w:r>
    </w:p>
    <w:p>
      <w:pPr>
        <w:spacing w:after="0" w:line="5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a U.S. public company, we have incurred and expect to continue to incur significant legal, accounting and other expenses that we did not incur prior to becoming a U.S. public company. The Sarbanes-Oxley Act of 2002, the Dodd-Frank Wall Street Reform and Consumer Protection Act, the listing requirements of Nasdaq and other applicable securities rules and regulations impose various requirements on non-U.S. reporting public companies, including the establishment and maintenance of effective disclosure and financial controls and corporate governance practices. Our senior management and other personnel have devoted and will need to continue to devote a substantial amount of time to these compliance initiatives. Moreover, these rules and regulations will continue to increase our legal and financial compliance costs and will make some activities more time-consuming and costly.</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Pursuant to Section 404 of the Sarbanes-Oxley Act of 2002, or Section 404, we are required to furnish a report by our senior management on our internal control over financial reporting and an attestation report on internal control over financial reporting issued by our independent registered public accounting firm. To maintain compliance with Section 404(b), we have implemented a process of documenting and evaluating our internal control over financial reporting. In this regard, we have dedicated, and will need to continue to dedicate, internal resources, engage outside consultants and pursue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which is both costly and challenging. Despite our efforts, there is a risk that we will not be able to conclude that our internal control over financial reporting is effective as required by Section 404. If we identify one or more material weaknesses, it could result in an adverse reaction in the financial markets due to a loss of confidence in the reliability of our financial statements.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interruptions could adversely affect our operations.</w:t>
      </w:r>
    </w:p>
    <w:p>
      <w:pPr>
        <w:spacing w:after="0" w:line="10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operations are potentially vulnerable to interruption by fire, severe weather conditions, power loss, telecommunications failure, terrorist activity, public health crises and pandemic diseases, and other natural and man- made disasters or events beyond our control. Our facilities are located in regions that experience severe weather from time to time. We have not undertaken a systematic analysis of the potential consequences to our business and financial results from a major tornado, flood, fire, earthquake, power loss, terrorist activity, public health crisis, pandemic diseases or other disasters and do not have a recovery plan for such disasters. In addition, we do not carry sufficient insurance to compensate us for actual losses from interruption of our business that may occur, and any losses or damages incurred by us could harm our business. The occurrence of any of these business disruptions could seriously harm our operations and financial condition and increase our costs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7" w:name="page78"/>
    <w:bookmarkEnd w:id="7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 and Strategy</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developed and implemented a cybersecurity risk management program intended to protect the confidentiality, integrity, and availability of our critical systems and information.</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design and assess our program based on the National Institute of Standards and Technology Cybersecurity Framework (“NIST CSF”).This does not imply that we meet any particular technical standards, specifications, or requirements, only that we use the NIST CSF as a guide to help us identify, assess, and manage cybersecurity risks relevant to our business.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cybersecurity risk management program is integrated into our overall risk management program, and shares common methodologies, reporting channels and governance processes that apply across the risk management program to other legal, compliance, strategic, operational, and financial risk areas.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elements of our cybersecurity risk management program includes:</w:t>
      </w:r>
    </w:p>
    <w:p>
      <w:pPr>
        <w:spacing w:after="0" w:line="104" w:lineRule="exact"/>
        <w:rPr>
          <w:sz w:val="20"/>
          <w:szCs w:val="20"/>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assessments designed to help identify material risks from cybersecurity threats to our critical systems and information;</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information technology team principally responsible for managing (1) our cybersecurity risk assessment processes, (2) our security controls, and (3) our response to cybersecurity incidents;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external advisors and service providers, where appropriate, to assess, test or otherwise assist with aspects of our security processes;</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cybersecurity awareness training of our employees and contractors, including incident response personnel, and senior management;</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cybersecurity incident response plan that includes procedures for responding to cybersecurity incidents and alignment with the broader corporate business continuity plan; and</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third-party risk management process for key service providers based on our assessment of their criticality to our operations and respective risk profile.</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not identified risks from known cybersecurity threats, including as a result of any prior cybersecurity incidents, that have materially affected or are reasonably likely to materially affect us, including our operations, business strategy, results of operations, or financial condition. For more information, see the section titled “Risk Factor— Our business and operations may suffer in the event of information technology system failures, cyberattacks or deficiencies in our cybersecurity.”</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Governance</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Board considers cybersecurity risk as part of its risk oversight function and has delegated to the Audit Committee (the “Committee”) oversight of cybersecurity risks, including oversight of management’s implementation of our cybersecurity risk management program.</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Committee receives quarterly reports from management on our cybersecurity risks. In addition, management updates the Committee, where it deems appropriate, regarding cybersecurity incidents it considers to be significant or potentially significant.</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Committee reports to the full Board regarding its activities, including those related to cybersecurity. The full Board also receives briefings from management on our cyber risk management program. Board members receive presentations on cybersecurity topics from our Vice President, Digital and Information Technology, internal security staff or external experts as part of the Board’s continuing education on topics that impact public companies.</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management team, including our Vice President, Digital and Information Technology and Chief Financial Officer, is responsible for assessing and managing our material risks from cybersecurity threats. The team has primary responsibility for our overall cybersecurity risk management program and supervises both our internal cybersecurity personnel and our retained external cybersecurity consultants. Our management team’s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8" w:name="page79"/>
    <w:bookmarkEnd w:id="78"/>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includes decades of managing public pharmaceutical companies, including their related information technology and cybersecurity risk management programs.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team takes steps to stay informed about and monitor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our IT environment.</w:t>
      </w:r>
    </w:p>
    <w:p>
      <w:pPr>
        <w:spacing w:after="0" w:line="18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corporate headquarters is in leased office space at 3 More London Riverside, London, U.K. The leases for these offices expire in the first quarter of 2026. We also have office space at 33 Park of Commerce, Suite 300, Savannah, Georgia, 31405, which expires in the fourth quarter of 2025, and 8529 Six Forks Road, Suite 400, Raleigh, North Carolina, 27615, which expires in the fourth quarter of 2027. We believe that these facilities are adequate to meet our current and near term needs.</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arising in the ordinary course of our business. We are not currently subject to any material legal proceedings.</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w:t>
      </w:r>
    </w:p>
    <w:p>
      <w:pPr>
        <w:spacing w:after="0" w:line="20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Market for Registrant’s Common Equity, Related Stockholder Matters and Issuer Purchases of Equity Securities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Information and Holders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October 30, 2020, our ordinary shares were traded on the AIM Market of the London Stock Exchange under the symbol “VRP”. We canceled the admission of the ordinary shares to trading on AIM on October 30, 2020 and our ordinary shares are now not publicly traded. Our American Depositary Shares (“ADSs”) have been publicly traded on the Nasdaq Global Market under the symbol “VRNA” since April 27, 2017.</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ADS represents eight ordinary shares of Verona Pharma plc.</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February 24, 2025, we had 411 registered holders of ordinary voting shares. 99.9% of our voting ordinary shares are held in ADS form. The 0.1% balance of our ordinary voting shares are held as unlisted voting ordinary shares. We also have 48,088,896 unlisted non-voting ordinary shares.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dividends on our common stock. We anticipate that we will retain all of our future earnings, if any, for use in the operation and expansion of our business and do not anticipate paying cash dividends in the foreseeable future.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Sales of Unregistered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Performance Graph</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graph set forth below compares the cumulative total shareholder return on our ordinary shares between January 1, 2020 and December 31, 2024, with the cumulative total return of (a) the Nasdaq Biotechnology Index and (b) the Nasdaq Composite Index, over the same period. This graph assumes the investment of $100 on December 31, 2019 in each of our ordinary shares, the Nasdaq Biotechnology Index and the Nasdaq Composite Index and assumes the reinvestment of dividends, if any. The comparisons reflected in the graph and table are not intended to forecast the future performance of our stock and may not be indicative of our future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4697730" cy="30772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97730" cy="3077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80" w:name="page81"/>
    <w:bookmarkEnd w:id="80"/>
    <w:p>
      <w:pPr>
        <w:spacing w:after="0" w:line="200" w:lineRule="exact"/>
        <w:rPr>
          <w:sz w:val="20"/>
          <w:szCs w:val="20"/>
          <w:color w:val="auto"/>
        </w:rPr>
      </w:pPr>
    </w:p>
    <w:p>
      <w:pPr>
        <w:spacing w:after="0" w:line="32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1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0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the Consolidated Financial Statements and the related notes to those statements included later in this Annual Report on Form 10-K (“Annual Report”). In addition to historical financial information, the following discussion contains forward-looking statements that reflect our plans, estimates, beliefs and expectations that involve risks and uncertainties. Our actual results and the timing of events could differ materially from those discussed in these forward-looking statements. Important factors that could cause or contribute to these differences include those discussed below and elsewhere in this Annual Report on Form 10-K, particularly in Part I, Item 1A. “Risk Factors” and the section entitled “Cautionary Note Regarding Forward-Looking Statements.”</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i w:val="1"/>
          <w:iCs w:val="1"/>
          <w:color w:val="auto"/>
        </w:rPr>
        <w:t>In this Item 7, we discuss the results of operations for the years ended December 31, 2024 and 2023 and comparisons of the year ended December 31, 2024 to the year ended December 31, 2023. Discussion and analysis of our 2022 fiscal year specifically, as well as the year-over-year comparison of our 2023 financial performance to 2022, are located in Part II, Item 7 - Management’s Discussion and Analysis of Financial Condition and Results of Operations in our Annual Report on Form 10-K for the fiscal year ended December 31, 2023, filed with the SEC on February 29,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a biopharmaceutical company focused on developing and commercializing innovative therapeutics for the treatment of respiratory diseases with significant unmet medical needs.</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U.S. Food and Drug Administration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4 (“PDE3” and “PDE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5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U.S. approval of Ohtuvayre was based on extensive data including the results from our successful Phase 3 ENHANCE program, which have been published in the American Journal of Respiratory and Critical Care Medicine (“AJRCCM”). Ohtuvayre met the primary endpoint in both the ENHANCE-1 and ENHANCE-2 trials demonstrating statistically significant and clinically meaningful improvements in measures of lung function. In addition, other endpoint data demonstrated that Ohtuvayre substantially reduced the rate and risk of COPD exacerbations in ENHANCE-1 and ENHANCE-2. Ohtuvayre was well tolerated in both trials.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recently presented additional analyses of data from the ENHANCE trials at international scientific conferences:</w:t>
      </w:r>
    </w:p>
    <w:p>
      <w:pPr>
        <w:spacing w:after="0" w:line="90" w:lineRule="exact"/>
        <w:rPr>
          <w:sz w:val="20"/>
          <w:szCs w:val="20"/>
          <w:color w:val="auto"/>
        </w:rPr>
      </w:pPr>
    </w:p>
    <w:p>
      <w:pPr>
        <w:jc w:val="both"/>
        <w:ind w:left="340" w:hanging="332"/>
        <w:spacing w:after="0" w:line="250" w:lineRule="auto"/>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2024, we gave four oral presentations and presented two posters on analyses from the ENHANCE studies including subgroup data supporting improvements in lung function, symptoms and quality of life, as well as reductions in the rate of exacerbations. The analyses were published in the CHEST Annual Meeting on-line supplement.</w:t>
      </w:r>
    </w:p>
    <w:p>
      <w:pPr>
        <w:spacing w:after="0" w:line="55" w:lineRule="exact"/>
        <w:rPr>
          <w:rFonts w:ascii="Times New Roman" w:cs="Times New Roman" w:eastAsia="Times New Roman" w:hAnsi="Times New Roman"/>
          <w:sz w:val="18"/>
          <w:szCs w:val="18"/>
          <w:color w:val="auto"/>
        </w:rPr>
      </w:pPr>
    </w:p>
    <w:p>
      <w:pPr>
        <w:jc w:val="both"/>
        <w:ind w:left="340" w:hanging="332"/>
        <w:spacing w:after="0"/>
        <w:tabs>
          <w:tab w:leader="none" w:pos="33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2024, we gave an oral presentation and presented three posters on additional analyses from the ENHANCE studies at the European Respiratory Society International Congress 2024. The analyses summarized the efficacy and safety of Ohtuvayre in subgroups of patients and a pooled analysis of patient reported outcomes demonstrated its effect on reducing cough and sputum. The abstracts were published in the publication, European Respiratory Journal.</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are commercializing Ohtuvayre for the maintenance treatment of COPD in the U.S. Ohtuvayre is not considered a drug device combination because patients use a readily available standard jet nebulizer to take the treatment. Outside the U.S., we intend to license Ohtuvayre to companies with expertise and experience in developing and commercializing products in those regions. To that end, we have entered into a strategic collaboration with Nuance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1" w:name="page82"/>
    <w:bookmarkEnd w:id="81"/>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Pharma Limited, a Shanghai-based specialty pharmaceutical company (“Nuance Pharma”), to develop and commercialize ensifentrine in Greater China. In February 2025, Nuance announced that Ohtuvayre was approved in Macau, the first approval outside of the U.S., for the maintenance treatment of COPD in adult patients. In addition, in September 2024, Nuance completed enrollment in its own pivotal Phase 3 trial evaluating ensifentrine for the maintenance treatment of COPD in China and results are expected in 2025.</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Phase 2 clinical trials, ensifentrine has demonstrated positive results in patients with COPD, asthma and cystic fibrosis (“CF”). Two additional formulations of ensifentrine have been evaluated in Phase 2 trials for the treatment of COPD: dry powder inhaler (“DPI”) and pressurized metered-dose inhaler (“pMDI”).</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in the third quarter of 2024, we initiated two Phase 2 clinical trials:</w:t>
      </w:r>
    </w:p>
    <w:p>
      <w:pPr>
        <w:spacing w:after="0" w:line="90" w:lineRule="exact"/>
        <w:rPr>
          <w:sz w:val="20"/>
          <w:szCs w:val="20"/>
          <w:color w:val="auto"/>
        </w:rPr>
      </w:pPr>
    </w:p>
    <w:p>
      <w:pPr>
        <w:ind w:left="340" w:hanging="332"/>
        <w:spacing w:after="0" w:line="266" w:lineRule="auto"/>
        <w:tabs>
          <w:tab w:leader="none" w:pos="335"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dose-ranging trial with a glycopyrrolate, a Long-Acting Muscarinic Antagonist (“LAMA”), supporting a fixed-dose combination program with ensifentrine for the maintenance treatment of COPD via delivery in a nebulizer, and</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trial assessing the efficacy and safety of nebulized ensifentrine in patients with non-cystic fibrosis bronchiectasis (“bronchiectasis”).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incurred recurring losses and negative cash flows from operations since inception, and have an accumulated deficit of $562.4 million as of December 31, 2024. We expect to incur additional losses and negative cash flows from operations until our product candidates potentially gain regulatory approval and our approved products reach commercial profitability, if at all.</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significant expenses in connection with our ongoing activities, if and as we:</w:t>
      </w:r>
    </w:p>
    <w:p>
      <w:pPr>
        <w:spacing w:after="0" w:line="104" w:lineRule="exact"/>
        <w:rPr>
          <w:sz w:val="20"/>
          <w:szCs w:val="20"/>
          <w:color w:val="auto"/>
        </w:rPr>
      </w:pPr>
    </w:p>
    <w:p>
      <w:pPr>
        <w:jc w:val="both"/>
        <w:ind w:left="340" w:right="20" w:hanging="332"/>
        <w:spacing w:after="0" w:line="242"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a sales, marketing and distribution infrastructure, continue to increase production to commercial scale with our manufacturing and other Chemistry, Manufacturing and Controls activities to commercialize Ohtuvayre as well as any additional products for which we may obtain regulatory approval;</w:t>
      </w:r>
    </w:p>
    <w:p>
      <w:pPr>
        <w:spacing w:after="0" w:line="75"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the clinical development of a fixed-dose combination of ensifentrine and a LAMA as well as our DPI and pMDI formulations of ensifentrine and research and development of other formulations of ensifentrine;</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further clinical trials for ensifentrine for the treatment of bronchiectasis, acute COPD, CF or any other indication;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progress pre-clinical studies relating to other potential indications of ensifentrine;</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additional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regulatory approvals for any of our product candidates that successfully complete clinical trials;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 to support our continuing operations as a U.S. public company; and</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any delays or encounter any issues from any of the above, including but not limited to failed studies, complex results, safety issues or other regulatory challenges.</w:t>
      </w:r>
    </w:p>
    <w:p>
      <w:pPr>
        <w:spacing w:after="0" w:line="6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On May 9, 2024, we entered into a term loan facility (the “2024 Term Loans”) of up to $400.0 million with Oaktree Fund Administration, LLC, a Delaware limited liability company, as administrative agent, and certain funds managed by each of Oaktree Capital Management, L.P. and OCM Life Sciences Portfolio LP party thereto (collectively, the “2024 Lenders”). At closing, we received net proceeds of $52.8 million and up to four additional advances of an aggregate $345.0 million were available subject to meeting certain commercial milestones and other specified conditions. On June 28, 2024, we received net proceeds of $68.6 million related to the second tranche of the 2024 Term Loans, which was available upon FDA approval for Ohtuvayre, as well as proceeds from the $100 million first tranche of our revenue interest purchase and sale agreement (the “RIPSA”). Refer to Note 5 - Debt to our Consolidated Financial Statements and related notes included elsewhere in this Annual Report for additional information regarding the 2024 Term Loans and the RIPSA.</w:t>
      </w:r>
    </w:p>
    <w:p>
      <w:pPr>
        <w:spacing w:after="0" w:line="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2024, our product sales and funding expected to become available under the 2024 Term Loans and the RIPSA will be sufficient to fund our operating expenses and capital expenditure requirements for at least the next 12 months from the date of issuance of our Consolidated Financial Statements included elsewhere in this Annual Report. The remaining advances under the 2024 Term Loans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and the RIPSA are contingent upon the achievement of commercial milestones and other specified conditions, and in the case of the Tranche E Term Loan under the 2024 Term Loans, at the sole discretion of the 2024 Lenders. No additional advances are available under the 2023 Term Loan following our termination and repayment in full of the 2023 Term Loan on May 9, 2024. See “Liquidity and capital resources” for additional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we acquired Rhinopharma and assumed contingent liabilities owed to Ligand UK Development Limited (“Ligand”) (formerly Vernalis Development Limited). We refer to the assignment and license agreement as the Ligand Agreement.</w:t>
      </w:r>
    </w:p>
    <w:p>
      <w:pPr>
        <w:spacing w:after="0" w:line="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Ligand assigned to us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agreed to pay a milestone payment of £5.0 million on obtaining the first approval of any regulatory authority for the commercialization of a Ligand Licensed Product (the ”First Approval Milestone”),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each contingency is resolved, the contingent consideration payment (or payable) in connection with the Ligand Agreement will be recorded as an expense.</w:t>
      </w:r>
    </w:p>
    <w:p>
      <w:pPr>
        <w:spacing w:after="0" w:line="54"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March 2022, we entered into an Amendment Agreement (the “Amendment”) with Ligand whereby the Ligand Agreement was amended to clarify certain ambiguous terms in the Ligand Agreement. Pursuant to the Amendment:</w:t>
      </w:r>
    </w:p>
    <w:p>
      <w:pPr>
        <w:spacing w:after="0" w:line="68" w:lineRule="exact"/>
        <w:rPr>
          <w:sz w:val="20"/>
          <w:szCs w:val="20"/>
          <w:color w:val="auto"/>
        </w:rPr>
      </w:pPr>
    </w:p>
    <w:p>
      <w:pPr>
        <w:ind w:left="340" w:hanging="332"/>
        <w:spacing w:after="0" w:line="250" w:lineRule="auto"/>
        <w:tabs>
          <w:tab w:leader="none" w:pos="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pay to Ligand (i) $2.0 million within five business days of the date of the Amendment and (ii) $15.0 million upon the first commercial sale of ensifentrine by us or a sub-licensee (the “First Sale Milestone”).</w:t>
      </w:r>
    </w:p>
    <w:p>
      <w:pPr>
        <w:spacing w:after="0" w:line="68"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26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68"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1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Approval Milestone and the First Sale Milestone may be paid in cash or, at our discretion, by issuing shares in the Company of equivalent value to Ligand; and</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26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5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We accounted for the $2.0 million payment at execution of the Amendment as selling, general and administrative expense in the Consolidated Statements of Operations and Comprehensive Loss as the payment is related to a contract modification.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FDA approval of Ohtuvayre on June 26, 2024, the Company has recognized the following:</w:t>
      </w:r>
    </w:p>
    <w:p>
      <w:pPr>
        <w:spacing w:after="0" w:line="104" w:lineRule="exact"/>
        <w:rPr>
          <w:sz w:val="20"/>
          <w:szCs w:val="20"/>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in research and development costs related to the First Approval Milestone; and</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selling, general and administrative expense related to the First Sale Milestone.</w:t>
      </w:r>
    </w:p>
    <w:p>
      <w:pPr>
        <w:spacing w:after="0" w:line="10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low single digit royalties based on the net sales of all Ligand Licensed Products and expenses all costs related to royalty amounts as a cost of sales in the Consolidated Statements of Operations and Comprehensive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entered into a collaboration and license agreement (the “Nuance Agreement”) with Nuance Pharma effective June 9, 2021 (the “Nuance Effective Date”) under which we granted Nuance Pharma the exclusive rights to develop and commercialize ensifentrine in Greater China (China, Taiwan, Hong Kong and Macau). In return, we received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7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unconditional right to consideration aggregating $40.0 million consisting of $25.0 million in cash and an equity interest valued at $15.0 million as of the Effective Date in Nuance Biotech, the parent company of Nuance Pharma. We are eligible to receive future milestone payments of up to $179.0 million, triggered upon achievement of certain clinical, regulatory, and commercial milestones as well as tiered double-digit royalties on net sales in Greater China. We will recognize these milestones when it is probable that a significant revenue reversal would not occur.</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of December 31, 2024, the $15.0 million equity interest was recorded as Equity interest on the Consolidated Balance Sheets, included elsewhere in this Annual Report. The Equity interest is recorded at cost as we have elected to use the measurement alternative for equity investments without readily determinable fair values. We will evaluate this investment for indicators of impairment quarterly. We evaluate this investment for indicators of impairment quarterly. We did not identify events or changes in circumstances that may have a significant effect on the fair value of the investment during the year ended December 31, 2024.</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Nuance Pharma will be responsible for all costs related to clinical development and commercialization of ensifentrine in Greater China. In August 2022, Nuance Pharma, received clearance from China’s Center for Drug Evaluation to begin Phase 1 and Phase 3 studies with ensifentrine for COPD in mainland China. Nuance Pharma initiated a Phase 1 trial with ensifentrine in healthy volunteers in March 2023. In April 2023, Nuance Pharma dosed the first subject in its pivotal Phase 3 clinical trial evaluating ensifentrine for the maintenance treatment of COPD in mainland China and enrollment was completed in September 2024. A joint steering committee has been established between us and Nuance Pharma to oversee and coordinate the overall conduct of such clinical development and commercialization. We intend to use the joint steering committee to help ensure the clinical development of ensifentrine in Greater China aligns with our overall global development and commercialization strategy.</w:t>
      </w:r>
    </w:p>
    <w:p>
      <w:pPr>
        <w:spacing w:after="0" w:line="8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us, either globally or in territory covering at least the United States or Europe, for the development and/or commercialization of ensifentrine or (ii) we undergo a change of control, we will have an exclusive option right to buy back the license granted to Nuance Pharma and all related assets. The price is agreed to be equal to the aggregate of (i) all prior amounts paid by Nuance Pharma to us in cash under the agreement and (ii) all development and regulatory costs incurred and paid by Nuance Pharma in connection with the development and commercialization of the ensifentrine under the Nuance Agreement multiplied by a single-digit factor range dependent upon achievement of certain milestones, subject to a specified maximum amount.</w:t>
      </w:r>
    </w:p>
    <w:p>
      <w:pPr>
        <w:spacing w:after="0" w:line="7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reviewed the buy-back option and determined that because it is conditional on a third party we do not have the practical ability to exercise it and, accordingly, the contract is accounted for under ASC 606.</w:t>
      </w:r>
    </w:p>
    <w:p>
      <w:pPr>
        <w:spacing w:after="0" w:line="4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On April 13, 2022, we entered into an Agreement for the Manufacture and Clinical Supply of ensifentrine (“Nuance Clinical Supply Agreement”) with Nuance Pharma. We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We have determined we are acting as principal in relation to the manufacture and supply under the Agreement. In its capacity as principal, we will recognize the associated revenue on a gross basis. In the year ended December 31, 2022, we recognized $0.5 million in relation to the clinical supply of ensifentrine to Nuance Pharma.</w:t>
      </w:r>
    </w:p>
    <w:p>
      <w:pPr>
        <w:spacing w:after="0" w:line="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additional information regarding the Nuance Agreement, see Note 6 - Significant Agreements to our Consolidated Financial Statements and related notes included elsewhere in this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Consolidated Financial Statements, which have been prepared in accordance with generally accepted accounting principles in the United States of America (“U.S. GAAP”). The preparation of these financial statements requires us to make estimates, judgments and assumptions that affect the reported amounts of assets and liabilities, disclosure of contingent liabilities as of the dates of the balance sheets and the reported amounts of expenses during the reporting periods. In accordance with U.S. GAAP, we evaluate our estimates and judgments on an ongoing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While our significant accounting policies are described in more detail in the notes to our Consolidated Financial Statements included elsewhere in this Annual Report, we believe that the following accounting policies are most critical to the judgments and estimates used in the preparation of our Consolidated Financial Statements and related notes included elsewhere in this Annual Report.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108"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We generate revenue from the sale of Ohtuvayre. Revenue is recognized when we transfer control of Ohtuvayre to the specialty pharmacies, our customers, as our contracts have a single performance obligation which is the delivery of Ohtuvayre. These product sales are subject to various gross-to-net adjustments, which are deducted from our product sales to determine net product sales. For a description of our related accounting policies, see Note 2 - Basis of Presentation and Summary of Significant Accounting Policies to our Consolidated Financial Statements included elsewhere in this Annual Report.</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Gross-to-net adjustments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Product sales are recorded at the estimated net sales price, which includes estimates of variable consideration for which reserves are established. Components of variable consideration include rebates and chargebacks, product returns and other allowances that are offered within contracts with our customer, payors, and other indirect customers relating to the sale of our product. These reserves are based on the amounts earned, or to be claimed on the related sales, and are classified as reductions of accounts receivable (if the amount is payable to the customer) or a current liability (if the amount is payable to a party other than a customer). These estimates take into consideration a range of possible outcomes which are probability-weighted in accordance with the expected value method in Topic 606 for relevant factors such as current contractual and statutory requirements, specific known market events and trends as well as industry data and other third party information. Overall, these reserves reflect our best estimates of the amount of consideration to which we are entitled based on the terms of the respective underlying contracts.</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Estimates associated with our gross-to-net adjustments are particularly susceptible to adjustment given the extensive time lag that may occur between our recording of an accrual and its ultimate invoicing by the government or commercial entity, which can occur up to several years after the sale of our product. Because of the time lag for these rebates and chargebacks, in any particular quarter, our adjustments may incorporate revisions of accruals related to prior periods.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interest purchase and sale agreement and related interest expense</w:t>
      </w:r>
    </w:p>
    <w:p>
      <w:pPr>
        <w:spacing w:after="0" w:line="9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Proceeds from the RIPSA are recorded as liabilities (specifically, revenue interest purchase and sale agreement on the Consolidated Balance Sheets) and are amortized using the effective interest method over the estimated period the RIPSA will be repaid with the imputed interest recorded as interest expense. The repayment of the RIPSA is based on royalties from global net sales of Ohtuvayre as well as certain proceeds from licensees outside the US, subject to the capped amount. This requires us to estimate the total amount and timing of future royalty payments which is based on estimates of future global net sales, including assumptions related to the treatable patient population, rate of adoption, among others, and involves significant judgment given the limited global net sales data experienced to date. We reassess the amount and timing of these payments each reporting period and account for any changes through an adjustment to the effective interest rate on a prospective basis. A significant increase or decrease in forecasted global net sales or certain proceeds from licensees outside the US could materially impact the RIPSA balance and interest expense.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9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Research and development (“R&amp;D”) costs are charged to the Consolidated Statements of Operations and Comprehensive Loss, as incurred. We are required to estimate our expenses resulting from our obligation under contracts with vendors and consultants and clinical site agreements in connection with our R&amp;D efforts. The financial terms of these contracts are subject to negotiations which vary contract to contract and may result in payment flows that do not match the periods over which materials or services are provided under such contracts. Our objective is to reflect the appropriate clinical trial expenses in our financial statements by matching those expenses with the period in which services and efforts are expended. We account for these expenses according to the progress of the trials and other development activities measured by patient progression and the timing of various aspects of the trial. We also determine prepaid and accrual estimates through discussions with applicable personnel and outside service providers as to the progress of clinical trials, or other services completed. During the course of a clinical trial, we may adjust our rate of clinical trial expense recognition if actual results differ from its estimates. We make estimates of our prepaid and accrued expenses as of each balance sheet date in our financial statements based on facts and circumstances known at that time. Although we do not expect our estimates to be materially different from amounts actually incurred, our understanding of the status and timing of services performed relative to the actual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status and timing of services performed may vary and may result in us reporting amounts that are too high or too low for any particular period. Our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anticipate that our expenses will increase substantially if and as we:</w:t>
      </w:r>
    </w:p>
    <w:p>
      <w:pPr>
        <w:spacing w:after="0" w:line="90" w:lineRule="exact"/>
        <w:rPr>
          <w:sz w:val="20"/>
          <w:szCs w:val="20"/>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trials of ensifentrine for the treatment of bronchiectasis, CF, asthma or other indications;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other future clinical trials of ensifentrine in other formulations, including in combination with other active ingredients including fixed-dose combinations, for the treatment of COPD or other indications;</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and conduct clinical pharmacology studies with any formulation;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to discover and develop or in-license additional respiratory product candidates;</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pre-clinical studies to support ensifentrine and potentially other future product candidates;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the manufacturing processes and produce clinical and commercial supplies of the ensifentrine active pharmaceutical ingredient and formulated drug products derived from it;</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additional regulatory approvals of ensifentrine;</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potentially expand commercial infrastructure to support the commercialization of Ohtuvayre, including sales, marketing, operations, reimbursement, distribution and manufacturing capabilities to commercialize Ohtuvayre;</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9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maintain or obtain freedom to operate for our in-licensed technologies and products;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clinical, scientific, operational, financial and management information systems and personnel, including personnel to support our product development and commercialization efforts;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operations to support commercialization and research activities in the U.S. and elsewhere.</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date, we have generated revenue from the sale of Ohtuvayre and from the receipt of up-front proceeds and clinical supply of ensifentrine under the Nuance Agreement.</w:t>
      </w:r>
    </w:p>
    <w:p>
      <w:pPr>
        <w:spacing w:after="0" w:line="68"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expect that revenue we generate will fluctuate from quarter to quarter. If we or our strategic partners fail to complete the development of ensifentrine in a timely manner or obtain regulatory approval for them, or if we fail to develop our own sales force or find one or more strategic partners for the commercialization of approved products, our ability to generate future revenue, and our financial condition and results of operations would be materially adversely affected.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sales, net</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 the FDA approval of Ohtuvayre and our commercial launch in the third quarter of 2024, we began to recognize product sales. We record product sales net of estimated distribution fees, government rebates and chargebacks, commercial chargebacks, product returns, co-pay assistance costs and other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began to recognize cost of sales after the commercial launch of Ohtuvayre in the third quarter of 2024. Cost of sales includes the cost of producing inventory related to Ohtuvayre including manufacturing, freight and overhead as well as sales-based royalties due to Ligand.</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9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Research and development costs consist of salary and personnel related costs and third party costs for our research and development activities for ensifentrine. Personnel related costs include a share-based compensation charge relating to our share-based compensation. The largest component of third party costs is for clinical trials, as well as manufacturing for clinical supplies and associated development, and pre-clinical studies. Prior to obtaining regulatory approval for Ohtuvayre, we expensed costs relating to production of pre-launch inventory as research and development expense in our Consolidated Statements of Operations and Comprehensive Loss in the period incurred. All other research and development costs are expensed as incurred.</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expect our research and development costs to increase in future years related to our additional trials for a fixed-dose combination formulation for COPD patients and nebulized ensifentrine in patients with bronchiectasis.</w:t>
      </w:r>
    </w:p>
    <w:p>
      <w:pPr>
        <w:spacing w:after="0" w:line="68" w:lineRule="exact"/>
        <w:rPr>
          <w:sz w:val="20"/>
          <w:szCs w:val="20"/>
          <w:color w:val="auto"/>
        </w:rPr>
      </w:pPr>
    </w:p>
    <w:p>
      <w:pPr>
        <w:ind w:right="520"/>
        <w:spacing w:after="0" w:line="352" w:lineRule="auto"/>
        <w:rPr>
          <w:sz w:val="20"/>
          <w:szCs w:val="20"/>
          <w:color w:val="auto"/>
        </w:rPr>
      </w:pPr>
      <w:r>
        <w:rPr>
          <w:rFonts w:ascii="Times New Roman" w:cs="Times New Roman" w:eastAsia="Times New Roman" w:hAnsi="Times New Roman"/>
          <w:sz w:val="18"/>
          <w:szCs w:val="18"/>
          <w:color w:val="auto"/>
        </w:rPr>
        <w:t xml:space="preserve">Due to the nature of research and development, the expected costs are inherently uncertain and may vary significantly from our current expectations. </w:t>
      </w:r>
      <w:r>
        <w:rPr>
          <w:rFonts w:ascii="Times New Roman" w:cs="Times New Roman" w:eastAsia="Times New Roman" w:hAnsi="Times New Roman"/>
          <w:sz w:val="18"/>
          <w:szCs w:val="18"/>
          <w:i w:val="1"/>
          <w:iCs w:val="1"/>
          <w:color w:val="auto"/>
        </w:rPr>
        <w:t>Selling, general and administrative costs</w:t>
      </w:r>
    </w:p>
    <w:p>
      <w:pPr>
        <w:jc w:val="both"/>
        <w:spacing w:after="0" w:line="250" w:lineRule="auto"/>
        <w:rPr>
          <w:sz w:val="20"/>
          <w:szCs w:val="20"/>
          <w:color w:val="auto"/>
        </w:rPr>
      </w:pPr>
      <w:r>
        <w:rPr>
          <w:rFonts w:ascii="Times New Roman" w:cs="Times New Roman" w:eastAsia="Times New Roman" w:hAnsi="Times New Roman"/>
          <w:sz w:val="18"/>
          <w:szCs w:val="18"/>
          <w:color w:val="auto"/>
        </w:rPr>
        <w:t>Selling, general and administrative costs consist of salary and personnel related costs, including share-based compensation, expenses relating to the launch of Ohtuvayre and other commercial activities, expenses relating to operating as a public company, including professional fees, insurance and commercial related costs, as well as other operating expenses.</w:t>
      </w:r>
    </w:p>
    <w:p>
      <w:pPr>
        <w:spacing w:after="0" w:line="5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expect commercial costs to continue to increase due to the commercial launch of Ohtuvayre including costs related to our sales force, marketing and other commercial related costs. As we continue to develop our knowledge of the market and refine our commercial operations, expected costs may vary significantly from our current expectations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income/(expense)</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Other income/(expense) are driven by interest income and expense, foreign exchange movements on cash and cash equivalents and taxes receivable, and the U.K. research and development tax credits (the “R&amp;D tax credit”).</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participate in the U.K. Small and Medium Enterprises research and development tax relief program. The tax credits are calculated as a percentage of qualifying research and development expenditure and are payable in cash by the U.K. government to us on the basis that the company is loss making. Credits recorded related to the 2023 and 2024 financial years are expected to be received in 2025.</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Taxation</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effective tax rate varies from the statutory U.K. tax rate in each period presented primarily due to the recording of a valuation allowance for our deferred tax assets. We assess the available positive and negative evidence to estimate whether sufficient future taxable income will be generated to permit use of the existing deferred tax assets. A significant piece of objective negative evidence evaluated was the cumulative consolidated loss incurred over the three-year period ended December 31, 2024. Such objective evidence limits the ability to consider other subjective evidence, such as our projections for future growth. We have determined that the reversal of future taxable temporary differences corresponding to our deferred tax liabilities will not provide a sufficient source of income for realization of our deferred tax assets.</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income taxes presented in our Consolidated Statements of Operations and Comprehensive Loss represents the current tax impact from our operating activities in the United States, which generates taxable income. The increase in the U.S. current tax expense in 2024 compared to prior periods was due to the taxability of the funds received as part of the RIPSA agreement (see Note 5 - Debt to our Consolidated Financial Statements included elsewhere in the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have $261.1 million loss carryforwards in the United Kingdom. These losses may be carried forward indefinitely to be offset against future taxable profits, subject to various utilization criteria and restrictions. The amount that can be offset each year is limited to £5.0 million plus an incremental 50% of U.K. taxable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years ended December 31, 2024 and 2023</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our statements of operations for the years ended December 31, 2024 and 2023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00"/>
        </w:trPr>
        <w:tc>
          <w:tcPr>
            <w:tcW w:w="6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23"/>
        </w:trPr>
        <w:tc>
          <w:tcPr>
            <w:tcW w:w="68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42,261</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3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42,279</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27,358</w:t>
            </w:r>
          </w:p>
        </w:tc>
      </w:tr>
      <w:tr>
        <w:trPr>
          <w:trHeight w:val="230"/>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99,397</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129,337</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(87,058)</w:t>
            </w:r>
          </w:p>
        </w:tc>
      </w:tr>
      <w:tr>
        <w:trPr>
          <w:trHeight w:val="22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30"/>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2,496</w:t>
            </w:r>
          </w:p>
        </w:tc>
      </w:tr>
      <w:tr>
        <w:trPr>
          <w:trHeight w:val="229"/>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(21,485)</w:t>
            </w:r>
          </w:p>
        </w:tc>
      </w:tr>
      <w:tr>
        <w:trPr>
          <w:trHeight w:val="229"/>
        </w:trPr>
        <w:tc>
          <w:tcPr>
            <w:tcW w:w="6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w:t>
            </w: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(22,176)</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(109,234)</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(173,418)</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(119,049)</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Ohtuvayre received FDA approval on June 26, 2024 and the product was commercially available on August 6, 2024. Product sales, net for Ohtuvayre was $42.3 million for the year ended December 31, 2024.</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sales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Cost of sales was $2.6 million for the year ended December 31, 2024 which includes Ohtuvayre manufacturing costs incurred after FDA approval, inventory overhead costs and sales-based royalties due to Ligand. Prior to obtaining initial regulatory approval for Ohtuvayre, we expensed costs relating to production of pre-launch inventory as R&amp;D expense in the period incurred.</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200"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Research and development costs were $44.6 million for the year ended December 31, 2024, compared to $17.2 million for the year ended December 31, 2023, an increase of $27.4 million. This increase was primarily due to an increase of $17.5 million in clinical trial and other development costs as we initiated two Phase 2 studies in the third quarter of 2024 related to the combination of ensifentrine and glycopyrrolate for the treatment of COPD and nebulized ensifentrine for the treatment of patients with bronchiectasis, the payment of the $6.3 million First Approval Milestone, $3.1 million increase in share-based compensation, $2.0 million increase for people-related costs and $1.1 million related to pre-launch manufacturing costs. The increase in clinical trial and other development costs from the prior year also includes the impact in 2023 of a reversal of $1.5 million of costs which were expensed in the year ended December 31, 2022 related to the resolution of the matter with a Phase 3 ENHANCE program supplier. This was partially offset by a decrease of $1.3 million in consultant and professional fee costs which were higher in 2023 due to service costs associated with our New Drug Application and the related approval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0" w:name="page91"/>
    <w:bookmarkEnd w:id="90"/>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costs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Selling, general and administrative costs were $149.8 million for the year ended December 31, 2024 compared to $50.4 million for the year ended December 31, 2023, an increase of $99.4 million. This increase was driven primarily by an increase of $29.7 million in marketing and other commercial related activities, including travel, primarily related to the launch of Ohtuvayre, an increase of $26.8 million in people-related costs as we built out our commercial organization largely in the second quarter of 2024, a charge of $15.0 million for the First Sale Milestone and an increase of $7.3 million in professional and consulting fees, information technology costs and other support costs. Additionally, share-based compensation increased by $18.8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(expense)/income</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Other (expense)/income for the year ended December 31, 2024 was expense of $8.5 million compared to income of $13.7 million for the year ended December 31, 2023, a change of $22.2 million. This change was primarily due to an increase in interest expense of $21.5 million related to our higher average debt balance and the noncash interest expense recognized on the RIPSA as well as the recognition of a $3.7 million loss on the extinguishment of our 2023 Term Loan. This change was partially offset by an increase in our research and development tax credit of $2.5 million relating to higher qualifying clinical trial and other development costs in 2024 and a $2.5 million increase in interest income due to our higher average cash balance.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years ended December 31, 2024 and 2023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2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beginning of the year</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271,772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227,827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43,945</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(71,981)</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w:t>
            </w:r>
          </w:p>
        </w:tc>
      </w:tr>
      <w:tr>
        <w:trPr>
          <w:trHeight w:val="229"/>
        </w:trPr>
        <w:tc>
          <w:tcPr>
            <w:tcW w:w="68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250,779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157,910</w:t>
            </w:r>
          </w:p>
        </w:tc>
      </w:tr>
      <w:tr>
        <w:trPr>
          <w:trHeight w:val="230"/>
        </w:trPr>
        <w:tc>
          <w:tcPr>
            <w:tcW w:w="68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year</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399,757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271,772</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127,985</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Net cash used in operating activities was $122.2 million in the year ended December 31, 2024 compared to $50.2 million during the year ended December 31, 2023, a increase of $72.0 million. The increase in cash used in operating activities was primarily due to the increase of costs incurred for the commercial launch of Ohtuvayre and the related increase in people-related costs for the field sales team and commercial and corporate support functions as well as spend related to the two Phase 2 studies which were initiated in the third quarter of 2024. Additionally, we made milestone payments of $21.3 million to Ligand. This was partially offset by $17.6 million received from customers related to product sales of Ohtuvayre as well as $8.7 million related to the 2022 R&amp;D tax credit received from HMRC.</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increase in cash provided by financing activities was primarily due to net proceeds received of $163.3 million in the year ended December 31, 2024 from the 2024 Term Loans and the RIPSA partially offset by the repayment of the 2023 Term Loans and debt issuance costs. Additionally, we received $97.5 million in proceeds from “at the market” equity offering program (the “ATM Program”). This was partially offset by the payment of withholding taxes from share-based awards of $15.5 million.</w:t>
      </w:r>
    </w:p>
    <w:p>
      <w:pPr>
        <w:spacing w:after="0" w:line="77"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In the year ended December 31, 2023, we received $56.9 million related to ATM Program sales as well as $10.0 million of proceeds from our prior term loan with Oxford Finance Luxembourg S.À 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To date, we have financed our operations primarily through the issuances of our equity securities, from borrowings under our term loan facilities and RIPSA, from product sales and from upfront payments received under the Nuance Agreement. See “Significant Agreements” for additional information.</w:t>
      </w:r>
    </w:p>
    <w:p>
      <w:pPr>
        <w:spacing w:after="0" w:line="6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have incurred recurring losses since inception, including net losses of $173.4 million for the year ended December 31, 2024. In addition, as of December 31, 2024, we had an accumulated deficit of $562.4 million. We expect to incur additional losses and negative cash flows from operations until we reach profitability, if at all, and we may continue to incur significant operating losses for the foreseeable future as we have increased our headcount significantly in 2024 and have increased spending to support our commercial launch of Ohtuvayre. Additionally, we have expanded our research and development efforts, and may continue to advance our clinical development of ensifentrine in other formulations or for other indications, bring on additional assets and development programs, and seek to obtain regulatory approval for and commercialize any related product candidates.</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no ongoing material financial commitments, such as lines of credit or guarantees, that are expected to affect our liquidity over the next five years, other than leases, our 2024 Term Loans and RIPSA.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2024 Financing and Capital Transactions</w:t>
      </w:r>
    </w:p>
    <w:p>
      <w:pPr>
        <w:spacing w:after="0" w:line="106" w:lineRule="exact"/>
        <w:rPr>
          <w:sz w:val="20"/>
          <w:szCs w:val="20"/>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the 2024 Term Loans and RIPSA and drew an aggregate of $225 million;</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Repaid the 2023 Term Loans of $50 million in full;</w:t>
      </w:r>
    </w:p>
    <w:p>
      <w:pPr>
        <w:spacing w:after="0" w:line="90"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Sold 20,329,832 ordinary shares (equivalent to 2,541,229 ADSs) under the ATM Program, at an average price of approximately $4.92 per share (equivalent to $39.35 per ADS), raising aggregate net proceeds of approximately $97.5 million after deducting issuance costs. As of December 31, 2024, there remained $100.0 million of ordinary shares, in the form of ADSs, available for sale under the ATM Program.</w:t>
      </w:r>
    </w:p>
    <w:p>
      <w:pPr>
        <w:spacing w:after="0" w:line="5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2024 Term Loan requires, among others, that we maintain certain financial covenants, and we were in compliance with all of these covenants as of December 31, 2024.</w:t>
      </w:r>
    </w:p>
    <w:p>
      <w:pPr>
        <w:spacing w:after="0" w:line="14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Refer to Note 5 - Debt to our Consolidated Financial Statements and related notes included elsewhere in this Annual Report for additional information regarding the 2024 Term Loans and RIPSA and Note 1 - Organization and Description of Business Operations to our Consolidated Financial Statements for additional information regarding the ATM program.</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Funding requirements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We believe that our cash and cash equivalents as of December 31, 2024, our product sales and funding expected to become available under the 2024 Term Loan and RIPSA, will be sufficient to fund our operating expenses and capital expenditure requirements for at least the next 12 months from the date of issuance of our Consolidated Financial Statements included elsewhere in this Annual Report. Future advances under the 2024 Term Loans and the RIPSA are contingent upon achievement of certain commercial milestones and other specified conditions. We have based this estimate on assumptions that may prove to be incorrect, and we could use our available capital resources sooner than we currently expect. In addition, our operating plan may change as a result of many factors unknown to us. These factors, among others, may necessitate that we seek additional capital sooner than currently planned. In addition, we may seek additional capital due to favorable market conditions or strategic considerations, even if we believe we have sufficient funds for our current or future operating plans. We maintain the majority of our cash and cash equivalents in accounts with major U.S. and multi-national financial institutions, and our deposits at these institutions may exceed insured limits.</w:t>
      </w:r>
    </w:p>
    <w:p>
      <w:pPr>
        <w:spacing w:after="0" w:line="8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may require additional capital for the continued commercial launch of Ohtuvayre or to continue our research and develop additional indications or additional formulations of or with ensifentrine. In addition, we may seek to initiate or conduct preclinical or clinical studies with ensifentrine in additional indications or to discover or in-license and develop additional product candidates. We may need to seek additional funding through public or private financings, debt financings, collaboration or licensing agreements and other arrangements. However, there is no guarantee that we will be successful in securing additional capital on acceptable terms, or at all.</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revenues, we expect to finance our cash needs through a combination of securities offerings, debt financings, license and collaboration agreements and research grants. If we raise capital through equity securities offerings, the ownership interest of our ADS holders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spacing w:after="0" w:line="72"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shareholders will be diluted, and the terms of these securities may include liquidation or other preferences that adversely affect these holders’ rights as holders of our ADSs. Debt financing, if available, could result in fixed payment obligations, and we may be required to agree to certain restrictive covenants, such as limitations on our ability to incur additional debt, to acquire, sell or license intellectual property rights, to make capital expenditures, to declare dividends, or other operating restrictions. If we raise additional funds through collaboration or licensing agreements, we may have to relinquish valuable rights to our technologies, future revenue streams or product candidates or grant licenses on terms that may not be favorable to us. In addition, we could also be required to seek funds through arrangements with collaborators or others at an earlier stage than otherwise would be desirable. If we raise funds through research grants, we may be subject to certain requirements, which may limit our ability to use the funds or require us to share information from our research and development. Raising additional capital through any of these or other means could adversely affect our business and the holdings or rights of our ADS holders and shareholders, and may cause the market price of our ADSs to decline.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for ensifentrine or any future product candidates will depend on many factors, including:</w:t>
      </w:r>
    </w:p>
    <w:p>
      <w:pPr>
        <w:spacing w:after="0" w:line="104" w:lineRule="exact"/>
        <w:rPr>
          <w:sz w:val="20"/>
          <w:szCs w:val="20"/>
          <w:color w:val="auto"/>
        </w:rPr>
      </w:pPr>
    </w:p>
    <w:p>
      <w:pPr>
        <w:ind w:left="340" w:hanging="332"/>
        <w:spacing w:after="0" w:line="250"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studies required to support the commercial positioning of Ohtuvayre for the maintenance treatment of COPD in adult patients and any future product candidates;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potential new product candidates we decide to in-license and develop;</w:t>
      </w:r>
    </w:p>
    <w:p>
      <w:pPr>
        <w:spacing w:after="0" w:line="103"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progress and results of any clinical trials evaluating ensifentrine for the treatment of bronchiectasis, CF, asthma or other targeted indications, or for other formulations of ensifentrine, including fixed-dose combination products;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clinical and commercial supplies of the ensifentrine active ingredient and derived formulated drug products and for other formulations of ensifentrine in development;</w:t>
      </w:r>
    </w:p>
    <w:p>
      <w:pPr>
        <w:spacing w:after="0" w:line="40"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pre-clinical development, laboratory testing and clinical trials for ensifentrine in other target indications and of the development of DPI and pMDI formulations of ensifentrine, or fixed-dose combination formulations of ensifentrine for the maintenance treatment of COPD and potentially bronchiectasis, CF, asthma and other respiratory diseases;</w:t>
      </w:r>
    </w:p>
    <w:p>
      <w:pPr>
        <w:spacing w:after="0" w:line="75"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growing our organization to the size needed to allow for the research, development and commercialization of ensifentrine or any future product candidates;</w:t>
      </w:r>
    </w:p>
    <w:p>
      <w:pPr>
        <w:spacing w:after="0" w:line="4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outcomes of current and future commercialization activities, including manufacturing, marketing, sales and distribution, for Ohtuvayre;</w:t>
      </w:r>
    </w:p>
    <w:p>
      <w:pPr>
        <w:spacing w:after="0" w:line="54" w:lineRule="exact"/>
        <w:rPr>
          <w:rFonts w:ascii="Times New Roman" w:cs="Times New Roman" w:eastAsia="Times New Roman" w:hAnsi="Times New Roman"/>
          <w:sz w:val="18"/>
          <w:szCs w:val="18"/>
          <w:color w:val="auto"/>
        </w:rPr>
      </w:pPr>
    </w:p>
    <w:p>
      <w:pPr>
        <w:ind w:left="340" w:right="20" w:hanging="332"/>
        <w:spacing w:after="0" w:line="250"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timing of preparing, filing and prosecuting patent applications, maintaining and enforcing our intellectual property rights and defending any intellectual property-related claims, including any claims by third parties that we are infringing upon their intellectual property rights;</w:t>
      </w:r>
    </w:p>
    <w:p>
      <w:pPr>
        <w:spacing w:after="0" w:line="68"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sales price and availability of adequate third-party coverage and reimbursement for Ohtuvayre;</w:t>
      </w:r>
    </w:p>
    <w:p>
      <w:pPr>
        <w:spacing w:after="0" w:line="10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90"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and technologies, including entering into licensing or collaboration arrangements for our products;</w:t>
      </w:r>
    </w:p>
    <w:p>
      <w:pPr>
        <w:spacing w:after="0" w:line="54"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licensing or milestone fees we might have to pay during future development of ensifentrine or any future product candidates;</w:t>
      </w:r>
    </w:p>
    <w:p>
      <w:pPr>
        <w:spacing w:after="0" w:line="90"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selling and marketing activities undertaken in connection with the commercialization of Ohtuvayre, potential commercialization of ensifentrine in other indications or any future product candidates, if approved, and costs involved in the creation of an effective sales and marketing organization;</w:t>
      </w:r>
    </w:p>
    <w:p>
      <w:pPr>
        <w:spacing w:after="0" w:line="54" w:lineRule="exact"/>
        <w:rPr>
          <w:rFonts w:ascii="Times New Roman" w:cs="Times New Roman" w:eastAsia="Times New Roman" w:hAnsi="Times New Roman"/>
          <w:sz w:val="18"/>
          <w:szCs w:val="18"/>
          <w:color w:val="auto"/>
        </w:rPr>
      </w:pPr>
    </w:p>
    <w:p>
      <w:pPr>
        <w:ind w:left="340" w:hanging="332"/>
        <w:spacing w:after="0" w:line="250"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revenue we may derive either directly or in the form of royalty payments from future sales of Ohtuvayre or any future product candidates, including ensifentrine in other indications;</w:t>
      </w:r>
    </w:p>
    <w:p>
      <w:pPr>
        <w:spacing w:after="0" w:line="68"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develop a sales, marketing and distribution infrastructure and scale up external manufacturing capabilities to commercialize Ohtuvayre and any product candidates for which we may obtain regulatory approval; and</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operate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a discussion of pending and recently adopted accounting pronouncements, see Note 2 - Basis of Presentation and Summary of Significant Accounting Policie</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xml:space="preserve"> to our Consolidated Financial Statements included elsewhere in this Annual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are exposed to market risk related to changes in interest rates. As of December 31, 2024 and December 31, 2023, we had cash and cash equivalents of $399.8 million and $271.8 million, respectively, consisting primarily of money market funds. Our cash equivalents are subject to interest rate risk and the rate of return would be negatively impacted by a decrease in interest rates. Due to the short-term nature of our cash equivalents, a sudden change in interest rates would not be expected to have a material effect on our business, financial condition or results of operations. There has been no material change to our interest rate sensitivity during the year ended December 31, 2024.</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Risk</w:t>
      </w:r>
    </w:p>
    <w:p>
      <w:pPr>
        <w:spacing w:after="0" w:line="9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 is exposed to foreign exchange risk as a result of transactions in currencies other than its functional currency, the U.S. dollar. The Company’s expenses in the year ended December 31, 2024 were incurred primarily in U.S. dollars, but also included euros and pound sterling. At December 31, 2024, approximately 4% of cash and cash equivalents and 7% of accounts payable were denominated in foreign currencies. In addition, the R&amp;D tax credit receivable is in pound sterling. Due to the relative magnitude of our foreign currency holdings, a change of 1% in foreign exchange rates would not have a material effect on our business, financial condition or results of operations.</w:t>
      </w:r>
    </w:p>
    <w:p>
      <w:pPr>
        <w:spacing w:after="0" w:line="18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8.</w:t>
        <w:tab/>
        <w:t>Financial Statements and Supplementary Data</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financial statements required to be filed pursuant to this Item 8 are appended to this Annual Report. An index of those financial statements is found in Item 15 of Part IV of this Annual Report.</w:t>
      </w:r>
    </w:p>
    <w:p>
      <w:pPr>
        <w:spacing w:after="0" w:line="14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1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9 was previously reported in the Company’s Current Report on Form 8-K that was filed with the Securities and Exchange Commission on December 18, 2023.</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Effectiveness of Controls and Procedures</w:t>
      </w:r>
    </w:p>
    <w:p>
      <w:pPr>
        <w:spacing w:after="0" w:line="92" w:lineRule="exact"/>
        <w:rPr>
          <w:sz w:val="20"/>
          <w:szCs w:val="20"/>
          <w:color w:val="auto"/>
        </w:rPr>
      </w:pPr>
    </w:p>
    <w:p>
      <w:pPr>
        <w:jc w:val="both"/>
        <w:ind w:right="20"/>
        <w:spacing w:after="0"/>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Rules 13a- 15(e) and 15d- 15(e) under the Exchange Act), as of the end of the period covered by this Annual Report. Based on such evaluation, our principal executive officer and principal financial officer have concluded that, as of December 31, 2024, our disclosure controls and procedures were effective at the reasonable assurance level.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Annual Report on Internal Control Over Financial Reporting</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management, including our principal executive officer and principal financial officer, is responsible for establishing and maintaining adequate internal control over our financial reporting, as such term is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management conducted an assessment of the effectiveness of our internal control over financial reporting as of December 31, 2024 based on the criteria established in “Internal Control – Integrated Framework (2013)” issued by the Committee of Sponsoring Organizations of the Treadway Commission.</w:t>
      </w:r>
    </w:p>
    <w:p>
      <w:pPr>
        <w:spacing w:after="0" w:line="76" w:lineRule="exact"/>
        <w:rPr>
          <w:sz w:val="20"/>
          <w:szCs w:val="20"/>
          <w:color w:val="auto"/>
        </w:rPr>
      </w:pPr>
    </w:p>
    <w:p>
      <w:pPr>
        <w:ind w:right="860"/>
        <w:spacing w:after="0" w:line="352" w:lineRule="auto"/>
        <w:rPr>
          <w:sz w:val="20"/>
          <w:szCs w:val="20"/>
          <w:color w:val="auto"/>
        </w:rPr>
      </w:pPr>
      <w:r>
        <w:rPr>
          <w:rFonts w:ascii="Times New Roman" w:cs="Times New Roman" w:eastAsia="Times New Roman" w:hAnsi="Times New Roman"/>
          <w:sz w:val="18"/>
          <w:szCs w:val="18"/>
          <w:color w:val="auto"/>
        </w:rPr>
        <w:t xml:space="preserve">Based on this assessment, our management concluded that, as of December 31, 2024, our internal control over financial reporting was effective. </w:t>
      </w:r>
      <w:r>
        <w:rPr>
          <w:rFonts w:ascii="Times New Roman" w:cs="Times New Roman" w:eastAsia="Times New Roman" w:hAnsi="Times New Roman"/>
          <w:sz w:val="18"/>
          <w:szCs w:val="18"/>
          <w:i w:val="1"/>
          <w:iCs w:val="1"/>
          <w:color w:val="auto"/>
        </w:rPr>
        <w:t>Attestation Report of the Registered Public Accounting Firm</w:t>
      </w:r>
    </w:p>
    <w:p>
      <w:pPr>
        <w:jc w:val="both"/>
        <w:spacing w:after="0" w:line="266" w:lineRule="auto"/>
        <w:rPr>
          <w:sz w:val="20"/>
          <w:szCs w:val="20"/>
          <w:color w:val="auto"/>
        </w:rPr>
      </w:pPr>
      <w:r>
        <w:rPr>
          <w:rFonts w:ascii="Times New Roman" w:cs="Times New Roman" w:eastAsia="Times New Roman" w:hAnsi="Times New Roman"/>
          <w:sz w:val="18"/>
          <w:szCs w:val="18"/>
          <w:color w:val="auto"/>
        </w:rPr>
        <w:t>Our independent registered public accounting firm, Ernst &amp; Young LLP, has audited the effectiveness of the Company’s internal control over financial reporting as of December 31, 2024, as stated in their report that appears on page F-2 of this Annual Report.</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management’s evaluation pursuant to Rules 13a-15(d) or 15d-15(d) of the Exchange Act that occurred during the quarter ended December 31, 2024 that materially affected, or are reasonably likely to materially affect, our internal control over financial reporting.</w:t>
      </w:r>
    </w:p>
    <w:p>
      <w:pPr>
        <w:spacing w:after="0" w:line="159"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9B.</w:t>
        <w:tab/>
        <w:t>Other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Plans</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From time to time, our officers (as defined in Rule 16a-1(f)) and directors may enter into Rule 10b5-1 trading plans or non-Rule 10b5-1 trading arrangements (as each such term is defined in Item 408 of Regulation S-K). During the three months ended December 31, 2024, our officers and directors took the following actions with respect to 10b5-1 trading plans: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2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Aggregate Number of ADS</w:t>
            </w:r>
          </w:p>
        </w:tc>
        <w:tc>
          <w:tcPr>
            <w:tcW w:w="0" w:type="dxa"/>
            <w:vAlign w:val="bottom"/>
          </w:tcPr>
          <w:p>
            <w:pPr>
              <w:spacing w:after="0"/>
              <w:rPr>
                <w:sz w:val="1"/>
                <w:szCs w:val="1"/>
                <w:color w:val="auto"/>
              </w:rPr>
            </w:pPr>
          </w:p>
        </w:tc>
      </w:tr>
      <w:tr>
        <w:trPr>
          <w:trHeight w:val="176"/>
        </w:trPr>
        <w:tc>
          <w:tcPr>
            <w:tcW w:w="2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to be Sold Pursuant to</w:t>
            </w:r>
          </w:p>
        </w:tc>
        <w:tc>
          <w:tcPr>
            <w:tcW w:w="0" w:type="dxa"/>
            <w:vAlign w:val="bottom"/>
          </w:tcPr>
          <w:p>
            <w:pPr>
              <w:spacing w:after="0"/>
              <w:rPr>
                <w:sz w:val="1"/>
                <w:szCs w:val="1"/>
                <w:color w:val="auto"/>
              </w:rPr>
            </w:pPr>
          </w:p>
        </w:tc>
      </w:tr>
      <w:tr>
        <w:trPr>
          <w:trHeight w:val="243"/>
        </w:trPr>
        <w:tc>
          <w:tcPr>
            <w:tcW w:w="22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Name and Title</w:t>
            </w:r>
          </w:p>
        </w:tc>
        <w:tc>
          <w:tcPr>
            <w:tcW w:w="224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Action</w:t>
            </w:r>
          </w:p>
        </w:tc>
        <w:tc>
          <w:tcPr>
            <w:tcW w:w="2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Date</w:t>
            </w:r>
          </w:p>
        </w:tc>
        <w:tc>
          <w:tcPr>
            <w:tcW w:w="22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End Date</w:t>
            </w: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Trading Arrangement</w:t>
            </w:r>
          </w:p>
        </w:tc>
        <w:tc>
          <w:tcPr>
            <w:tcW w:w="0" w:type="dxa"/>
            <w:vAlign w:val="bottom"/>
          </w:tcPr>
          <w:p>
            <w:pPr>
              <w:spacing w:after="0"/>
              <w:rPr>
                <w:sz w:val="1"/>
                <w:szCs w:val="1"/>
                <w:color w:val="auto"/>
              </w:rPr>
            </w:pPr>
          </w:p>
        </w:tc>
      </w:tr>
      <w:tr>
        <w:trPr>
          <w:trHeight w:val="108"/>
        </w:trPr>
        <w:tc>
          <w:tcPr>
            <w:tcW w:w="214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6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180" w:type="dxa"/>
            <w:vAlign w:val="bottom"/>
            <w:tcBorders>
              <w:bottom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72"/>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Vikas Sinha, Non-Executive</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Adopt</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November 6, 2024</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Kathleen Rickard, Chief</w:t>
            </w: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Adopt</w:t>
            </w:r>
          </w:p>
        </w:tc>
        <w:tc>
          <w:tcPr>
            <w:tcW w:w="2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December 11, 2024</w:t>
            </w:r>
          </w:p>
        </w:tc>
        <w:tc>
          <w:tcPr>
            <w:tcW w:w="2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December 31, 2025</w:t>
            </w:r>
          </w:p>
        </w:tc>
        <w:tc>
          <w:tcPr>
            <w:tcW w:w="2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106,627</w:t>
            </w:r>
          </w:p>
        </w:tc>
        <w:tc>
          <w:tcPr>
            <w:tcW w:w="0" w:type="dxa"/>
            <w:vAlign w:val="bottom"/>
          </w:tcPr>
          <w:p>
            <w:pPr>
              <w:spacing w:after="0"/>
              <w:rPr>
                <w:sz w:val="1"/>
                <w:szCs w:val="1"/>
                <w:color w:val="auto"/>
              </w:rPr>
            </w:pPr>
          </w:p>
        </w:tc>
      </w:tr>
      <w:tr>
        <w:trPr>
          <w:trHeight w:val="149"/>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Medical Officer</w:t>
            </w:r>
          </w:p>
        </w:tc>
        <w:tc>
          <w:tcPr>
            <w:tcW w:w="2240" w:type="dxa"/>
            <w:vAlign w:val="bottom"/>
            <w:gridSpan w:val="2"/>
            <w:vMerge w:val="continue"/>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2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40" w:type="dxa"/>
            <w:vAlign w:val="bottom"/>
            <w:gridSpan w:val="2"/>
            <w:vMerge w:val="continue"/>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378"/>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Zaccardelli, President</w:t>
            </w:r>
          </w:p>
        </w:tc>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Terminate</w:t>
            </w:r>
          </w:p>
        </w:tc>
        <w:tc>
          <w:tcPr>
            <w:tcW w:w="2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December 23, 2024</w:t>
            </w:r>
          </w:p>
        </w:tc>
        <w:tc>
          <w:tcPr>
            <w:tcW w:w="2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234"/>
        </w:trPr>
        <w:tc>
          <w:tcPr>
            <w:tcW w:w="2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and Chief Executive Officer</w:t>
            </w:r>
          </w:p>
        </w:tc>
        <w:tc>
          <w:tcPr>
            <w:tcW w:w="2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Hahn, Chief Financial</w:t>
            </w:r>
          </w:p>
        </w:tc>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Terminate</w:t>
            </w:r>
          </w:p>
        </w:tc>
        <w:tc>
          <w:tcPr>
            <w:tcW w:w="226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December 23, 2024</w:t>
            </w:r>
          </w:p>
        </w:tc>
        <w:tc>
          <w:tcPr>
            <w:tcW w:w="22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2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0" w:type="dxa"/>
            <w:vAlign w:val="bottom"/>
          </w:tcPr>
          <w:p>
            <w:pPr>
              <w:spacing w:after="0"/>
              <w:rPr>
                <w:sz w:val="1"/>
                <w:szCs w:val="1"/>
                <w:color w:val="auto"/>
              </w:rPr>
            </w:pPr>
          </w:p>
        </w:tc>
      </w:tr>
      <w:tr>
        <w:trPr>
          <w:trHeight w:val="149"/>
        </w:trPr>
        <w:tc>
          <w:tcPr>
            <w:tcW w:w="22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Officer</w:t>
            </w:r>
          </w:p>
        </w:tc>
        <w:tc>
          <w:tcPr>
            <w:tcW w:w="2240" w:type="dxa"/>
            <w:vAlign w:val="bottom"/>
            <w:gridSpan w:val="2"/>
            <w:vMerge w:val="continue"/>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2260" w:type="dxa"/>
            <w:vAlign w:val="bottom"/>
            <w:gridSpan w:val="2"/>
            <w:vMerge w:val="continue"/>
            <w:shd w:val="clear" w:color="auto" w:fill="CCEEFF"/>
          </w:tcPr>
          <w:p>
            <w:pPr>
              <w:spacing w:after="0"/>
              <w:rPr>
                <w:sz w:val="12"/>
                <w:szCs w:val="12"/>
                <w:color w:val="auto"/>
              </w:rPr>
            </w:pPr>
          </w:p>
        </w:tc>
        <w:tc>
          <w:tcPr>
            <w:tcW w:w="21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86"/>
        </w:trPr>
        <w:tc>
          <w:tcPr>
            <w:tcW w:w="2240" w:type="dxa"/>
            <w:vAlign w:val="bottom"/>
            <w:gridSpan w:val="2"/>
            <w:vMerge w:val="continue"/>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2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7"/>
          <w:szCs w:val="17"/>
          <w:b w:val="1"/>
          <w:bCs w:val="1"/>
          <w:color w:val="auto"/>
        </w:rPr>
        <w:t>Disclosure Regarding Foreign Jurisdictions that Prevent Inspections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ind w:left="5180"/>
        <w:spacing w:after="0"/>
        <w:rPr>
          <w:sz w:val="20"/>
          <w:szCs w:val="20"/>
          <w:color w:val="auto"/>
        </w:rPr>
      </w:pPr>
      <w:r>
        <w:rPr>
          <w:rFonts w:ascii="Times New Roman" w:cs="Times New Roman" w:eastAsia="Times New Roman" w:hAnsi="Times New Roman"/>
          <w:sz w:val="22"/>
          <w:szCs w:val="22"/>
          <w:b w:val="1"/>
          <w:bCs w:val="1"/>
          <w:color w:val="auto"/>
        </w:rPr>
        <w:t>PART III</w:t>
      </w:r>
    </w:p>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10.</w:t>
        <w:tab/>
        <w:t>Directors, Executive Officers and Corporate Governance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Our board of directors has adopted a written Code of Business Conduct and Ethics applicable to all officers, directors and employees, including our principal executive officer, principal financial officer, principal accounting officer or controller, or persons performing similar functions. We have posted a current copy of our Code of Business Conduct and Ethics on our website at www.veronapharma.com in the “Investors” section under “Corporate Governance.” We intend to satisfy the disclosure requirement under Item 5.05 of Form 8-K regarding amendments to, or waivers from, a provision of our Code of Business Conduct and Ethics, as well as Nasdaq’s requirement to disclose waivers with respect to directors and executive officers, by posting such information on our website at the address and location specified above. The information contained on our website is not incorporated by reference into this Annual Report.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Compliance Policy</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our board of directors has adopted an Insider Trading Compliance Policy, which applies to all of our directors, officers, employees and other covered persons, governing the purchase, sale, and other dispositions of our securities. We believe our Insider Trading Compliance Policy and procedures are reasonably designed to promote compliance with insider trading laws, rules and regulations, and listing standards applicable to us. A copy of our Insider Trading Compliance Policy is filed as Exhibit 19.1 to this Annual Report.</w:t>
      </w:r>
    </w:p>
    <w:p>
      <w:pPr>
        <w:spacing w:after="0" w:line="6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remaining information required by this item will be included in our definitive proxy statement for the 2025 Annual General Meeting of Shareholders and is incorporated herein by reference to such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General Meeting of Shareholders and is incorporated herein by reference to such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General Meeting of Shareholders and is incorporated herein by reference to such proxy statement.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General Meeting of Shareholders and is incorporated herein by reference to such proxy statement.</w:t>
      </w:r>
    </w:p>
    <w:p>
      <w:pPr>
        <w:spacing w:after="0" w:line="158"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color w:val="auto"/>
        </w:rPr>
        <w:t>Principal Accountant Fees and Services</w:t>
      </w:r>
    </w:p>
    <w:p>
      <w:pPr>
        <w:spacing w:after="0" w:line="20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will be included in our definitive proxy statement for the 2025 Annual General Meeting of Shareholders and is incorporated herein by reference to such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96" w:name="page97"/>
    <w:bookmarkEnd w:id="96"/>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 IV</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w:t>
      </w:r>
      <w:r>
        <w:rPr>
          <w:rFonts w:ascii="Times New Roman" w:cs="Times New Roman" w:eastAsia="Times New Roman" w:hAnsi="Times New Roman"/>
          <w:sz w:val="18"/>
          <w:szCs w:val="18"/>
          <w:color w:val="auto"/>
        </w:rPr>
        <w: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(a)(1) Financial Statements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financial statements and the Report of Independent Registered Accounting Firm are filed as part of this Annual Report: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 w:type="dxa"/>
            <w:vAlign w:val="bottom"/>
            <w:shd w:val="clear" w:color="auto" w:fill="CCEEFF"/>
          </w:tcPr>
          <w:p>
            <w:pPr>
              <w:spacing w:after="0"/>
              <w:rPr>
                <w:sz w:val="24"/>
                <w:szCs w:val="24"/>
                <w:color w:val="auto"/>
              </w:rPr>
            </w:pPr>
          </w:p>
        </w:tc>
        <w:tc>
          <w:tcPr>
            <w:tcW w:w="9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876)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129"/>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128"/>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60" w:type="dxa"/>
            <w:vAlign w:val="bottom"/>
            <w:tcBorders>
              <w:top w:val="single" w:sz="8" w:color="0000FF"/>
            </w:tcBorders>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2024, 2023 and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40" w:type="dxa"/>
            <w:vAlign w:val="bottom"/>
            <w:tcBorders>
              <w:top w:val="single" w:sz="8" w:color="0000FF"/>
            </w:tcBorders>
            <w:shd w:val="clear" w:color="auto" w:fill="CCEEFF"/>
          </w:tcPr>
          <w:p>
            <w:pPr>
              <w:spacing w:after="0"/>
              <w:rPr>
                <w:sz w:val="11"/>
                <w:szCs w:val="11"/>
                <w:color w:val="auto"/>
              </w:rPr>
            </w:pPr>
          </w:p>
        </w:tc>
        <w:tc>
          <w:tcPr>
            <w:tcW w:w="1660" w:type="dxa"/>
            <w:vAlign w:val="bottom"/>
            <w:tcBorders>
              <w:top w:val="single" w:sz="8" w:color="0000FF"/>
            </w:tcBorders>
            <w:shd w:val="clear" w:color="auto" w:fill="CCEEFF"/>
          </w:tcPr>
          <w:p>
            <w:pPr>
              <w:spacing w:after="0"/>
              <w:rPr>
                <w:sz w:val="11"/>
                <w:szCs w:val="11"/>
                <w:color w:val="auto"/>
              </w:rPr>
            </w:pPr>
          </w:p>
        </w:tc>
        <w:tc>
          <w:tcPr>
            <w:tcW w:w="152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129"/>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1660" w:type="dxa"/>
            <w:vAlign w:val="bottom"/>
            <w:tcBorders>
              <w:top w:val="single" w:sz="8" w:color="0000FF"/>
            </w:tcBorders>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6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(a)(2) Financial Statement Schedules.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financial statement schedules have been omitted because they are not applicable, not required or the information required is shown in the financial statements or the notes thereto.</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(a)(3) Exhibits.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Annual Report.</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4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4120" w:type="dxa"/>
            <w:vAlign w:val="bottom"/>
            <w:tcBorders>
              <w:bottom w:val="single" w:sz="8" w:color="auto"/>
            </w:tcBorders>
            <w:gridSpan w:val="3"/>
          </w:tcPr>
          <w:p>
            <w:pPr>
              <w:ind w:left="760"/>
              <w:spacing w:after="0"/>
              <w:rPr>
                <w:sz w:val="20"/>
                <w:szCs w:val="20"/>
                <w:color w:val="auto"/>
              </w:rPr>
            </w:pPr>
            <w:r>
              <w:rPr>
                <w:rFonts w:ascii="Times New Roman" w:cs="Times New Roman" w:eastAsia="Times New Roman" w:hAnsi="Times New Roman"/>
                <w:sz w:val="18"/>
                <w:szCs w:val="18"/>
                <w:color w:val="auto"/>
                <w:w w:val="99"/>
              </w:rPr>
              <w:t>Incorporated by Reference to Filings Indicated</w:t>
            </w:r>
          </w:p>
        </w:tc>
        <w:tc>
          <w:tcPr>
            <w:tcW w:w="7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2"/>
        </w:trPr>
        <w:tc>
          <w:tcPr>
            <w:tcW w:w="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Exhibit</w:t>
            </w:r>
          </w:p>
        </w:tc>
        <w:tc>
          <w:tcPr>
            <w:tcW w:w="33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Filed /</w:t>
            </w:r>
          </w:p>
        </w:tc>
        <w:tc>
          <w:tcPr>
            <w:tcW w:w="0" w:type="dxa"/>
            <w:vAlign w:val="bottom"/>
          </w:tcPr>
          <w:p>
            <w:pPr>
              <w:spacing w:after="0"/>
              <w:rPr>
                <w:sz w:val="1"/>
                <w:szCs w:val="1"/>
                <w:color w:val="auto"/>
              </w:rPr>
            </w:pPr>
          </w:p>
        </w:tc>
      </w:tr>
      <w:tr>
        <w:trPr>
          <w:trHeight w:val="175"/>
        </w:trPr>
        <w:tc>
          <w:tcPr>
            <w:tcW w:w="84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w w:val="97"/>
              </w:rPr>
              <w:t>Furnished</w:t>
            </w:r>
          </w:p>
        </w:tc>
        <w:tc>
          <w:tcPr>
            <w:tcW w:w="0" w:type="dxa"/>
            <w:vAlign w:val="bottom"/>
          </w:tcPr>
          <w:p>
            <w:pPr>
              <w:spacing w:after="0"/>
              <w:rPr>
                <w:sz w:val="1"/>
                <w:szCs w:val="1"/>
                <w:color w:val="auto"/>
              </w:rPr>
            </w:pPr>
          </w:p>
        </w:tc>
      </w:tr>
      <w:tr>
        <w:trPr>
          <w:trHeight w:val="243"/>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Number</w:t>
            </w:r>
          </w:p>
        </w:tc>
        <w:tc>
          <w:tcPr>
            <w:tcW w:w="3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Exhibit Description</w:t>
            </w:r>
          </w:p>
        </w:tc>
        <w:tc>
          <w:tcPr>
            <w:tcW w:w="2080" w:type="dxa"/>
            <w:vAlign w:val="bottom"/>
          </w:tcPr>
          <w:p>
            <w:pPr>
              <w:ind w:left="1680"/>
              <w:spacing w:after="0"/>
              <w:rPr>
                <w:sz w:val="20"/>
                <w:szCs w:val="20"/>
                <w:color w:val="auto"/>
              </w:rPr>
            </w:pPr>
            <w:r>
              <w:rPr>
                <w:rFonts w:ascii="Times New Roman" w:cs="Times New Roman" w:eastAsia="Times New Roman" w:hAnsi="Times New Roman"/>
                <w:sz w:val="18"/>
                <w:szCs w:val="18"/>
                <w:color w:val="auto"/>
                <w:w w:val="97"/>
              </w:rPr>
              <w:t>Form</w:t>
            </w:r>
          </w:p>
        </w:tc>
        <w:tc>
          <w:tcPr>
            <w:tcW w:w="14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File No.</w:t>
            </w:r>
          </w:p>
        </w:tc>
        <w:tc>
          <w:tcPr>
            <w:tcW w:w="1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Exhibit No.</w:t>
            </w:r>
          </w:p>
        </w:tc>
        <w:tc>
          <w:tcPr>
            <w:tcW w:w="1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Filing date</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Herewith</w:t>
            </w:r>
          </w:p>
        </w:tc>
        <w:tc>
          <w:tcPr>
            <w:tcW w:w="0" w:type="dxa"/>
            <w:vAlign w:val="bottom"/>
          </w:tcPr>
          <w:p>
            <w:pPr>
              <w:spacing w:after="0"/>
              <w:rPr>
                <w:sz w:val="1"/>
                <w:szCs w:val="1"/>
                <w:color w:val="auto"/>
              </w:rPr>
            </w:pPr>
          </w:p>
        </w:tc>
      </w:tr>
    </w:tbl>
    <w:p>
      <w:pPr>
        <w:spacing w:after="0" w:line="46" w:lineRule="exact"/>
        <w:rPr>
          <w:sz w:val="20"/>
          <w:szCs w:val="20"/>
          <w:color w:val="auto"/>
        </w:rPr>
      </w:pPr>
    </w:p>
    <w:p>
      <w:pPr>
        <w:sectPr>
          <w:pgSz w:w="11900" w:h="17012" w:orient="portrait"/>
          <w:cols w:equalWidth="0" w:num="1">
            <w:col w:w="11240"/>
          </w:cols>
          <w:pgMar w:left="320" w:top="1418" w:right="339" w:bottom="0" w:gutter="0" w:footer="0" w:header="0"/>
        </w:sectPr>
      </w:pP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4.1</w:t>
      </w: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4.2</w:t>
      </w:r>
    </w:p>
    <w:p>
      <w:pPr>
        <w:spacing w:after="0" w:line="2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10.2.2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10.3.1</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10.3.2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10 3 3</w:t>
      </w:r>
    </w:p>
    <w:p>
      <w:pPr>
        <w:spacing w:after="0" w:line="20" w:lineRule="exact"/>
        <w:rPr>
          <w:sz w:val="20"/>
          <w:szCs w:val="20"/>
          <w:color w:val="auto"/>
        </w:rPr>
      </w:pPr>
      <w:r>
        <w:rPr>
          <w:sz w:val="20"/>
          <w:szCs w:val="20"/>
          <w:color w:val="auto"/>
        </w:rPr>
        <w:br w:type="column"/>
      </w:r>
    </w:p>
    <w:p>
      <w:pPr>
        <w:ind w:right="180"/>
        <w:spacing w:after="0" w:line="236" w:lineRule="auto"/>
        <w:rPr>
          <w:rFonts w:ascii="Times New Roman" w:cs="Times New Roman" w:eastAsia="Times New Roman" w:hAnsi="Times New Roman"/>
          <w:sz w:val="17"/>
          <w:szCs w:val="17"/>
          <w:u w:val="single" w:color="auto"/>
          <w:color w:val="0000FF"/>
        </w:rPr>
      </w:pPr>
      <w:hyperlink r:id="rId107">
        <w:r>
          <w:rPr>
            <w:rFonts w:ascii="Times New Roman" w:cs="Times New Roman" w:eastAsia="Times New Roman" w:hAnsi="Times New Roman"/>
            <w:sz w:val="17"/>
            <w:szCs w:val="17"/>
            <w:u w:val="single" w:color="auto"/>
            <w:color w:val="0000FF"/>
          </w:rPr>
          <w:t>Open Market Sale Agreement</w:t>
        </w:r>
        <w:r>
          <w:rPr>
            <w:rFonts w:ascii="Times New Roman" w:cs="Times New Roman" w:eastAsia="Times New Roman" w:hAnsi="Times New Roman"/>
            <w:sz w:val="22"/>
            <w:szCs w:val="22"/>
            <w:u w:val="single" w:color="auto"/>
            <w:color w:val="0000FF"/>
            <w:vertAlign w:val="superscript"/>
          </w:rPr>
          <w:t>SM</w:t>
        </w:r>
        <w:r>
          <w:rPr>
            <w:rFonts w:ascii="Times New Roman" w:cs="Times New Roman" w:eastAsia="Times New Roman" w:hAnsi="Times New Roman"/>
            <w:sz w:val="17"/>
            <w:szCs w:val="17"/>
            <w:u w:val="single" w:color="auto"/>
            <w:color w:val="0000FF"/>
          </w:rPr>
          <w:t>, dated as of March 19,</w:t>
        </w:r>
      </w:hyperlink>
      <w:r>
        <w:rPr>
          <w:rFonts w:ascii="Times New Roman" w:cs="Times New Roman" w:eastAsia="Times New Roman" w:hAnsi="Times New Roman"/>
          <w:sz w:val="17"/>
          <w:szCs w:val="17"/>
          <w:u w:val="single" w:color="auto"/>
          <w:color w:val="0000FF"/>
        </w:rPr>
        <w:t xml:space="preserve"> </w:t>
      </w:r>
      <w:hyperlink r:id="rId107">
        <w:r>
          <w:rPr>
            <w:rFonts w:ascii="Times New Roman" w:cs="Times New Roman" w:eastAsia="Times New Roman" w:hAnsi="Times New Roman"/>
            <w:sz w:val="17"/>
            <w:szCs w:val="17"/>
            <w:u w:val="single" w:color="auto"/>
            <w:color w:val="0000FF"/>
          </w:rPr>
          <w:t>2021, between Verona Pharma plc and Jefferies LLC, and</w:t>
        </w:r>
      </w:hyperlink>
    </w:p>
    <w:p>
      <w:pPr>
        <w:spacing w:after="0" w:line="1"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7">
        <w:r>
          <w:rPr>
            <w:rFonts w:ascii="Times New Roman" w:cs="Times New Roman" w:eastAsia="Times New Roman" w:hAnsi="Times New Roman"/>
            <w:sz w:val="18"/>
            <w:szCs w:val="18"/>
            <w:u w:val="single" w:color="auto"/>
            <w:color w:val="0000FF"/>
          </w:rPr>
          <w:t>as amended</w:t>
        </w:r>
      </w:hyperlink>
    </w:p>
    <w:p>
      <w:pPr>
        <w:spacing w:after="0" w:line="219" w:lineRule="exact"/>
        <w:rPr>
          <w:sz w:val="20"/>
          <w:szCs w:val="20"/>
          <w:color w:val="auto"/>
        </w:rPr>
      </w:pPr>
    </w:p>
    <w:p>
      <w:pPr>
        <w:ind w:right="360"/>
        <w:spacing w:after="0" w:line="237" w:lineRule="auto"/>
        <w:rPr>
          <w:rFonts w:ascii="Times New Roman" w:cs="Times New Roman" w:eastAsia="Times New Roman" w:hAnsi="Times New Roman"/>
          <w:sz w:val="18"/>
          <w:szCs w:val="18"/>
          <w:u w:val="single" w:color="auto"/>
          <w:color w:val="0000FF"/>
        </w:rPr>
      </w:pPr>
      <w:hyperlink r:id="rId108">
        <w:r>
          <w:rPr>
            <w:rFonts w:ascii="Times New Roman" w:cs="Times New Roman" w:eastAsia="Times New Roman" w:hAnsi="Times New Roman"/>
            <w:sz w:val="18"/>
            <w:szCs w:val="18"/>
            <w:u w:val="single" w:color="auto"/>
            <w:color w:val="0000FF"/>
          </w:rPr>
          <w:t>Articles of Association, as amended and as currently in</w:t>
        </w:r>
      </w:hyperlink>
      <w:r>
        <w:rPr>
          <w:rFonts w:ascii="Times New Roman" w:cs="Times New Roman" w:eastAsia="Times New Roman" w:hAnsi="Times New Roman"/>
          <w:sz w:val="18"/>
          <w:szCs w:val="18"/>
          <w:u w:val="single" w:color="auto"/>
          <w:color w:val="0000FF"/>
        </w:rPr>
        <w:t xml:space="preserve"> </w:t>
      </w:r>
      <w:hyperlink r:id="rId108">
        <w:r>
          <w:rPr>
            <w:rFonts w:ascii="Times New Roman" w:cs="Times New Roman" w:eastAsia="Times New Roman" w:hAnsi="Times New Roman"/>
            <w:sz w:val="18"/>
            <w:szCs w:val="18"/>
            <w:u w:val="single" w:color="auto"/>
            <w:color w:val="0000FF"/>
          </w:rPr>
          <w:t>effect</w:t>
        </w:r>
      </w:hyperlink>
    </w:p>
    <w:p>
      <w:pPr>
        <w:spacing w:after="0" w:line="226"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Deposit Agreement</w:t>
        </w:r>
      </w:hyperlink>
    </w:p>
    <w:p>
      <w:pPr>
        <w:spacing w:after="0" w:line="239" w:lineRule="exact"/>
        <w:rPr>
          <w:sz w:val="20"/>
          <w:szCs w:val="20"/>
          <w:color w:val="auto"/>
        </w:rPr>
      </w:pPr>
    </w:p>
    <w:p>
      <w:pPr>
        <w:ind w:right="80"/>
        <w:spacing w:after="0" w:line="237" w:lineRule="auto"/>
        <w:rPr>
          <w:rFonts w:ascii="Times New Roman" w:cs="Times New Roman" w:eastAsia="Times New Roman" w:hAnsi="Times New Roman"/>
          <w:sz w:val="18"/>
          <w:szCs w:val="18"/>
          <w:u w:val="single" w:color="auto"/>
          <w:color w:val="0000FF"/>
        </w:rPr>
      </w:pPr>
      <w:hyperlink r:id="rId109">
        <w:r>
          <w:rPr>
            <w:rFonts w:ascii="Times New Roman" w:cs="Times New Roman" w:eastAsia="Times New Roman" w:hAnsi="Times New Roman"/>
            <w:sz w:val="18"/>
            <w:szCs w:val="18"/>
            <w:u w:val="single" w:color="auto"/>
            <w:color w:val="0000FF"/>
          </w:rPr>
          <w:t>Form of American Depositary Receipt (included in Exhibit</w:t>
        </w:r>
      </w:hyperlink>
      <w:r>
        <w:rPr>
          <w:rFonts w:ascii="Times New Roman" w:cs="Times New Roman" w:eastAsia="Times New Roman" w:hAnsi="Times New Roman"/>
          <w:sz w:val="18"/>
          <w:szCs w:val="18"/>
          <w:u w:val="single" w:color="auto"/>
          <w:color w:val="0000FF"/>
        </w:rPr>
        <w:t xml:space="preserve"> </w:t>
      </w:r>
      <w:hyperlink r:id="rId109">
        <w:r>
          <w:rPr>
            <w:rFonts w:ascii="Times New Roman" w:cs="Times New Roman" w:eastAsia="Times New Roman" w:hAnsi="Times New Roman"/>
            <w:sz w:val="18"/>
            <w:szCs w:val="18"/>
            <w:u w:val="single" w:color="auto"/>
            <w:color w:val="0000FF"/>
          </w:rPr>
          <w:t>4.1)</w:t>
        </w:r>
      </w:hyperlink>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Description of Securities</w:t>
      </w:r>
    </w:p>
    <w:p>
      <w:pPr>
        <w:spacing w:after="0" w:line="239" w:lineRule="exact"/>
        <w:rPr>
          <w:sz w:val="20"/>
          <w:szCs w:val="20"/>
          <w:color w:val="auto"/>
        </w:rPr>
      </w:pPr>
    </w:p>
    <w:p>
      <w:pPr>
        <w:ind w:right="20"/>
        <w:spacing w:after="0" w:line="222" w:lineRule="auto"/>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Registration Rights Agreement, dated July 16, 2020, by and</w:t>
        </w:r>
      </w:hyperlink>
      <w:r>
        <w:rPr>
          <w:rFonts w:ascii="Times New Roman" w:cs="Times New Roman" w:eastAsia="Times New Roman" w:hAnsi="Times New Roman"/>
          <w:sz w:val="18"/>
          <w:szCs w:val="18"/>
          <w:u w:val="single" w:color="auto"/>
          <w:color w:val="0000FF"/>
        </w:rPr>
        <w:t xml:space="preserve"> </w:t>
      </w:r>
      <w:hyperlink r:id="rId110">
        <w:r>
          <w:rPr>
            <w:rFonts w:ascii="Times New Roman" w:cs="Times New Roman" w:eastAsia="Times New Roman" w:hAnsi="Times New Roman"/>
            <w:sz w:val="18"/>
            <w:szCs w:val="18"/>
            <w:u w:val="single" w:color="auto"/>
            <w:color w:val="0000FF"/>
          </w:rPr>
          <w:t>among Verona Pharma plc and the investors set forth</w:t>
        </w:r>
      </w:hyperlink>
    </w:p>
    <w:p>
      <w:pPr>
        <w:spacing w:after="0" w:line="2" w:lineRule="exact"/>
        <w:rPr>
          <w:sz w:val="20"/>
          <w:szCs w:val="20"/>
          <w:color w:val="auto"/>
        </w:rPr>
      </w:pPr>
    </w:p>
    <w:p>
      <w:pPr>
        <w:spacing w:after="0"/>
        <w:rPr>
          <w:rFonts w:ascii="Times New Roman" w:cs="Times New Roman" w:eastAsia="Times New Roman" w:hAnsi="Times New Roman"/>
          <w:sz w:val="18"/>
          <w:szCs w:val="18"/>
          <w:u w:val="single" w:color="auto"/>
          <w:color w:val="0000FF"/>
        </w:rPr>
      </w:pPr>
      <w:hyperlink r:id="rId110">
        <w:r>
          <w:rPr>
            <w:rFonts w:ascii="Times New Roman" w:cs="Times New Roman" w:eastAsia="Times New Roman" w:hAnsi="Times New Roman"/>
            <w:sz w:val="18"/>
            <w:szCs w:val="18"/>
            <w:u w:val="single" w:color="auto"/>
            <w:color w:val="0000FF"/>
          </w:rPr>
          <w:t>therein</w:t>
        </w:r>
      </w:hyperlink>
    </w:p>
    <w:p>
      <w:pPr>
        <w:spacing w:after="0" w:line="219" w:lineRule="exact"/>
        <w:rPr>
          <w:sz w:val="20"/>
          <w:szCs w:val="20"/>
          <w:color w:val="auto"/>
        </w:rPr>
      </w:pPr>
    </w:p>
    <w:p>
      <w:pPr>
        <w:ind w:right="140"/>
        <w:spacing w:after="0" w:line="236" w:lineRule="auto"/>
        <w:rPr>
          <w:rFonts w:ascii="Times New Roman" w:cs="Times New Roman" w:eastAsia="Times New Roman" w:hAnsi="Times New Roman"/>
          <w:sz w:val="17"/>
          <w:szCs w:val="17"/>
          <w:u w:val="single" w:color="auto"/>
          <w:color w:val="0000FF"/>
        </w:rPr>
      </w:pPr>
      <w:hyperlink r:id="rId111">
        <w:r>
          <w:rPr>
            <w:rFonts w:ascii="Times New Roman" w:cs="Times New Roman" w:eastAsia="Times New Roman" w:hAnsi="Times New Roman"/>
            <w:sz w:val="17"/>
            <w:szCs w:val="17"/>
            <w:u w:val="single" w:color="auto"/>
            <w:color w:val="0000FF"/>
          </w:rPr>
          <w:t>Intellectual Property Assignment and Licence Agreement</w:t>
        </w:r>
      </w:hyperlink>
      <w:r>
        <w:rPr>
          <w:rFonts w:ascii="Times New Roman" w:cs="Times New Roman" w:eastAsia="Times New Roman" w:hAnsi="Times New Roman"/>
          <w:sz w:val="17"/>
          <w:szCs w:val="17"/>
          <w:u w:val="single" w:color="auto"/>
          <w:color w:val="0000FF"/>
        </w:rPr>
        <w:t xml:space="preserve"> </w:t>
      </w:r>
      <w:hyperlink r:id="rId111">
        <w:r>
          <w:rPr>
            <w:rFonts w:ascii="Times New Roman" w:cs="Times New Roman" w:eastAsia="Times New Roman" w:hAnsi="Times New Roman"/>
            <w:sz w:val="17"/>
            <w:szCs w:val="17"/>
            <w:u w:val="single" w:color="auto"/>
            <w:color w:val="0000FF"/>
          </w:rPr>
          <w:t>between Vernalis Development Limited and Rhinopharma</w:t>
        </w:r>
      </w:hyperlink>
    </w:p>
    <w:p>
      <w:pPr>
        <w:ind w:right="540"/>
        <w:spacing w:after="0" w:line="226" w:lineRule="auto"/>
        <w:rPr>
          <w:rFonts w:ascii="Times New Roman" w:cs="Times New Roman" w:eastAsia="Times New Roman" w:hAnsi="Times New Roman"/>
          <w:sz w:val="18"/>
          <w:szCs w:val="18"/>
          <w:u w:val="single" w:color="auto"/>
          <w:color w:val="0000FF"/>
        </w:rPr>
      </w:pPr>
      <w:hyperlink r:id="rId111">
        <w:r>
          <w:rPr>
            <w:rFonts w:ascii="Times New Roman" w:cs="Times New Roman" w:eastAsia="Times New Roman" w:hAnsi="Times New Roman"/>
            <w:sz w:val="18"/>
            <w:szCs w:val="18"/>
            <w:u w:val="single" w:color="auto"/>
            <w:color w:val="0000FF"/>
          </w:rPr>
          <w:t>Limited, as predecessor to Verona Pharma plc, dated</w:t>
        </w:r>
      </w:hyperlink>
      <w:r>
        <w:rPr>
          <w:rFonts w:ascii="Times New Roman" w:cs="Times New Roman" w:eastAsia="Times New Roman" w:hAnsi="Times New Roman"/>
          <w:sz w:val="18"/>
          <w:szCs w:val="18"/>
          <w:u w:val="single" w:color="auto"/>
          <w:color w:val="0000FF"/>
        </w:rPr>
        <w:t xml:space="preserve"> </w:t>
      </w:r>
      <w:hyperlink r:id="rId111">
        <w:r>
          <w:rPr>
            <w:rFonts w:ascii="Times New Roman" w:cs="Times New Roman" w:eastAsia="Times New Roman" w:hAnsi="Times New Roman"/>
            <w:sz w:val="18"/>
            <w:szCs w:val="18"/>
            <w:u w:val="single" w:color="auto"/>
            <w:color w:val="0000FF"/>
          </w:rPr>
          <w:t>February 7, 2005</w:t>
        </w:r>
      </w:hyperlink>
    </w:p>
    <w:p>
      <w:pPr>
        <w:spacing w:after="0" w:line="211" w:lineRule="exact"/>
        <w:rPr>
          <w:sz w:val="20"/>
          <w:szCs w:val="20"/>
          <w:color w:val="auto"/>
        </w:rPr>
      </w:pPr>
    </w:p>
    <w:p>
      <w:pPr>
        <w:spacing w:after="0" w:line="236" w:lineRule="auto"/>
        <w:rPr>
          <w:rFonts w:ascii="Times New Roman" w:cs="Times New Roman" w:eastAsia="Times New Roman" w:hAnsi="Times New Roman"/>
          <w:sz w:val="17"/>
          <w:szCs w:val="17"/>
          <w:u w:val="single" w:color="auto"/>
          <w:color w:val="0000FF"/>
        </w:rPr>
      </w:pPr>
      <w:hyperlink r:id="rId112">
        <w:r>
          <w:rPr>
            <w:rFonts w:ascii="Times New Roman" w:cs="Times New Roman" w:eastAsia="Times New Roman" w:hAnsi="Times New Roman"/>
            <w:sz w:val="17"/>
            <w:szCs w:val="17"/>
            <w:u w:val="single" w:color="auto"/>
            <w:color w:val="0000FF"/>
          </w:rPr>
          <w:t>Amendment Agreement by and between Verona Pharma plc</w:t>
        </w:r>
      </w:hyperlink>
      <w:r>
        <w:rPr>
          <w:rFonts w:ascii="Times New Roman" w:cs="Times New Roman" w:eastAsia="Times New Roman" w:hAnsi="Times New Roman"/>
          <w:sz w:val="17"/>
          <w:szCs w:val="17"/>
          <w:u w:val="single" w:color="auto"/>
          <w:color w:val="0000FF"/>
        </w:rPr>
        <w:t xml:space="preserve"> </w:t>
      </w:r>
      <w:hyperlink r:id="rId112">
        <w:r>
          <w:rPr>
            <w:rFonts w:ascii="Times New Roman" w:cs="Times New Roman" w:eastAsia="Times New Roman" w:hAnsi="Times New Roman"/>
            <w:sz w:val="17"/>
            <w:szCs w:val="17"/>
            <w:u w:val="single" w:color="auto"/>
            <w:color w:val="0000FF"/>
          </w:rPr>
          <w:t>and Ligand U.K. Development Limited dated March 23,</w:t>
        </w:r>
      </w:hyperlink>
    </w:p>
    <w:p>
      <w:pPr>
        <w:spacing w:after="0"/>
        <w:rPr>
          <w:rFonts w:ascii="Times New Roman" w:cs="Times New Roman" w:eastAsia="Times New Roman" w:hAnsi="Times New Roman"/>
          <w:sz w:val="18"/>
          <w:szCs w:val="18"/>
          <w:u w:val="single" w:color="auto"/>
          <w:color w:val="0000FF"/>
        </w:rPr>
      </w:pPr>
      <w:hyperlink r:id="rId112">
        <w:r>
          <w:rPr>
            <w:rFonts w:ascii="Times New Roman" w:cs="Times New Roman" w:eastAsia="Times New Roman" w:hAnsi="Times New Roman"/>
            <w:sz w:val="18"/>
            <w:szCs w:val="18"/>
            <w:u w:val="single" w:color="auto"/>
            <w:color w:val="0000FF"/>
          </w:rPr>
          <w:t>2022</w:t>
        </w:r>
      </w:hyperlink>
    </w:p>
    <w:p>
      <w:pPr>
        <w:spacing w:after="0" w:line="219"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000FF"/>
        </w:rPr>
      </w:pPr>
      <w:hyperlink r:id="rId113">
        <w:r>
          <w:rPr>
            <w:rFonts w:ascii="Times New Roman" w:cs="Times New Roman" w:eastAsia="Times New Roman" w:hAnsi="Times New Roman"/>
            <w:sz w:val="17"/>
            <w:szCs w:val="17"/>
            <w:u w:val="single" w:color="auto"/>
            <w:color w:val="0000FF"/>
          </w:rPr>
          <w:t>Renewal Agreement to Lease by and between the Verona</w:t>
        </w:r>
      </w:hyperlink>
      <w:r>
        <w:rPr>
          <w:rFonts w:ascii="Times New Roman" w:cs="Times New Roman" w:eastAsia="Times New Roman" w:hAnsi="Times New Roman"/>
          <w:sz w:val="17"/>
          <w:szCs w:val="17"/>
          <w:u w:val="single" w:color="auto"/>
          <w:color w:val="0000FF"/>
        </w:rPr>
        <w:t xml:space="preserve"> </w:t>
      </w:r>
      <w:hyperlink r:id="rId113">
        <w:r>
          <w:rPr>
            <w:rFonts w:ascii="Times New Roman" w:cs="Times New Roman" w:eastAsia="Times New Roman" w:hAnsi="Times New Roman"/>
            <w:sz w:val="17"/>
            <w:szCs w:val="17"/>
            <w:u w:val="single" w:color="auto"/>
            <w:color w:val="0000FF"/>
          </w:rPr>
          <w:t>Pharma plc and Regus Management (U.K.) Limited dated</w:t>
        </w:r>
      </w:hyperlink>
    </w:p>
    <w:p>
      <w:pPr>
        <w:spacing w:after="0"/>
        <w:rPr>
          <w:rFonts w:ascii="Times New Roman" w:cs="Times New Roman" w:eastAsia="Times New Roman" w:hAnsi="Times New Roman"/>
          <w:sz w:val="18"/>
          <w:szCs w:val="18"/>
          <w:u w:val="single" w:color="auto"/>
          <w:color w:val="0000FF"/>
        </w:rPr>
      </w:pPr>
      <w:hyperlink r:id="rId113">
        <w:r>
          <w:rPr>
            <w:rFonts w:ascii="Times New Roman" w:cs="Times New Roman" w:eastAsia="Times New Roman" w:hAnsi="Times New Roman"/>
            <w:sz w:val="18"/>
            <w:szCs w:val="18"/>
            <w:u w:val="single" w:color="auto"/>
            <w:color w:val="0000FF"/>
          </w:rPr>
          <w:t>September 16, 2017#1</w:t>
        </w:r>
      </w:hyperlink>
    </w:p>
    <w:p>
      <w:pPr>
        <w:spacing w:after="0" w:line="219"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000FF"/>
        </w:rPr>
      </w:pPr>
      <w:hyperlink r:id="rId114">
        <w:r>
          <w:rPr>
            <w:rFonts w:ascii="Times New Roman" w:cs="Times New Roman" w:eastAsia="Times New Roman" w:hAnsi="Times New Roman"/>
            <w:sz w:val="17"/>
            <w:szCs w:val="17"/>
            <w:u w:val="single" w:color="auto"/>
            <w:color w:val="0000FF"/>
          </w:rPr>
          <w:t>Renewal Agreement to Lease by and between the Verona</w:t>
        </w:r>
      </w:hyperlink>
      <w:r>
        <w:rPr>
          <w:rFonts w:ascii="Times New Roman" w:cs="Times New Roman" w:eastAsia="Times New Roman" w:hAnsi="Times New Roman"/>
          <w:sz w:val="17"/>
          <w:szCs w:val="17"/>
          <w:u w:val="single" w:color="auto"/>
          <w:color w:val="0000FF"/>
        </w:rPr>
        <w:t xml:space="preserve"> </w:t>
      </w:r>
      <w:hyperlink r:id="rId114">
        <w:r>
          <w:rPr>
            <w:rFonts w:ascii="Times New Roman" w:cs="Times New Roman" w:eastAsia="Times New Roman" w:hAnsi="Times New Roman"/>
            <w:sz w:val="17"/>
            <w:szCs w:val="17"/>
            <w:u w:val="single" w:color="auto"/>
            <w:color w:val="0000FF"/>
          </w:rPr>
          <w:t>Pharma plc and Regus Management (U.K.) Limited dated</w:t>
        </w:r>
      </w:hyperlink>
    </w:p>
    <w:p>
      <w:pPr>
        <w:spacing w:after="0"/>
        <w:rPr>
          <w:rFonts w:ascii="Times New Roman" w:cs="Times New Roman" w:eastAsia="Times New Roman" w:hAnsi="Times New Roman"/>
          <w:sz w:val="18"/>
          <w:szCs w:val="18"/>
          <w:u w:val="single" w:color="auto"/>
          <w:color w:val="0000FF"/>
        </w:rPr>
      </w:pPr>
      <w:hyperlink r:id="rId114">
        <w:r>
          <w:rPr>
            <w:rFonts w:ascii="Times New Roman" w:cs="Times New Roman" w:eastAsia="Times New Roman" w:hAnsi="Times New Roman"/>
            <w:sz w:val="18"/>
            <w:szCs w:val="18"/>
            <w:u w:val="single" w:color="auto"/>
            <w:color w:val="0000FF"/>
          </w:rPr>
          <w:t>September 16, 2017#2</w:t>
        </w:r>
      </w:hyperlink>
    </w:p>
    <w:p>
      <w:pPr>
        <w:spacing w:after="0" w:line="219" w:lineRule="exact"/>
        <w:rPr>
          <w:sz w:val="20"/>
          <w:szCs w:val="20"/>
          <w:color w:val="auto"/>
        </w:rPr>
      </w:pPr>
    </w:p>
    <w:p>
      <w:pPr>
        <w:ind w:right="160"/>
        <w:spacing w:after="0" w:line="236" w:lineRule="auto"/>
        <w:rPr>
          <w:rFonts w:ascii="Times New Roman" w:cs="Times New Roman" w:eastAsia="Times New Roman" w:hAnsi="Times New Roman"/>
          <w:sz w:val="17"/>
          <w:szCs w:val="17"/>
          <w:u w:val="single" w:color="auto"/>
          <w:color w:val="0000FF"/>
        </w:rPr>
      </w:pPr>
      <w:hyperlink r:id="rId115">
        <w:r>
          <w:rPr>
            <w:rFonts w:ascii="Times New Roman" w:cs="Times New Roman" w:eastAsia="Times New Roman" w:hAnsi="Times New Roman"/>
            <w:sz w:val="17"/>
            <w:szCs w:val="17"/>
            <w:u w:val="single" w:color="auto"/>
            <w:color w:val="0000FF"/>
          </w:rPr>
          <w:t>Renewal Agreement to Lease by and between the Verona</w:t>
        </w:r>
      </w:hyperlink>
      <w:r>
        <w:rPr>
          <w:rFonts w:ascii="Times New Roman" w:cs="Times New Roman" w:eastAsia="Times New Roman" w:hAnsi="Times New Roman"/>
          <w:sz w:val="17"/>
          <w:szCs w:val="17"/>
          <w:u w:val="single" w:color="auto"/>
          <w:color w:val="0000FF"/>
        </w:rPr>
        <w:t xml:space="preserve"> </w:t>
      </w:r>
      <w:hyperlink r:id="rId115">
        <w:r>
          <w:rPr>
            <w:rFonts w:ascii="Times New Roman" w:cs="Times New Roman" w:eastAsia="Times New Roman" w:hAnsi="Times New Roman"/>
            <w:sz w:val="17"/>
            <w:szCs w:val="17"/>
            <w:u w:val="single" w:color="auto"/>
            <w:color w:val="0000FF"/>
          </w:rPr>
          <w:t>Pharma plc and Regus Management (U.K.) Limited dated</w:t>
        </w:r>
      </w:hyperlink>
    </w:p>
    <w:p>
      <w:pPr>
        <w:spacing w:after="0"/>
        <w:rPr>
          <w:rFonts w:ascii="Times New Roman" w:cs="Times New Roman" w:eastAsia="Times New Roman" w:hAnsi="Times New Roman"/>
          <w:sz w:val="18"/>
          <w:szCs w:val="18"/>
          <w:u w:val="single" w:color="auto"/>
          <w:color w:val="0000FF"/>
        </w:rPr>
      </w:pPr>
      <w:hyperlink r:id="rId115">
        <w:r>
          <w:rPr>
            <w:rFonts w:ascii="Times New Roman" w:cs="Times New Roman" w:eastAsia="Times New Roman" w:hAnsi="Times New Roman"/>
            <w:sz w:val="18"/>
            <w:szCs w:val="18"/>
            <w:u w:val="single" w:color="auto"/>
            <w:color w:val="0000FF"/>
          </w:rPr>
          <w:t>September 16, 2017#3</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6"/>
              </w:rPr>
              <w:t>S-3ASR</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333-270339</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3/7/2023</w:t>
            </w:r>
          </w:p>
        </w:tc>
      </w:tr>
      <w:tr>
        <w:trPr>
          <w:trHeight w:val="634"/>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6-K</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12/30/2020</w:t>
            </w:r>
          </w:p>
        </w:tc>
      </w:tr>
      <w:tr>
        <w:trPr>
          <w:trHeight w:val="445"/>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20-F</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2/27/2018</w:t>
            </w:r>
          </w:p>
        </w:tc>
      </w:tr>
      <w:tr>
        <w:trPr>
          <w:trHeight w:val="635"/>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20-F</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2/27/2018</w:t>
            </w:r>
          </w:p>
        </w:tc>
      </w:tr>
      <w:tr>
        <w:trPr>
          <w:trHeight w:val="445"/>
        </w:trPr>
        <w:tc>
          <w:tcPr>
            <w:tcW w:w="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810"/>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6-K</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7/22/2020</w:t>
            </w:r>
          </w:p>
        </w:tc>
      </w:tr>
      <w:tr>
        <w:trPr>
          <w:trHeight w:val="985"/>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F-1</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333-217124</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4/3/2017</w:t>
            </w:r>
          </w:p>
        </w:tc>
      </w:tr>
      <w:tr>
        <w:trPr>
          <w:trHeight w:val="810"/>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8-K</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3/30/2022</w:t>
            </w:r>
          </w:p>
        </w:tc>
      </w:tr>
      <w:tr>
        <w:trPr>
          <w:trHeight w:val="810"/>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20-F</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4.3.3</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2/27/2020</w:t>
            </w:r>
          </w:p>
        </w:tc>
      </w:tr>
      <w:tr>
        <w:trPr>
          <w:trHeight w:val="810"/>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20-F</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001-38067</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4.3.4</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2/27/2020</w:t>
            </w:r>
          </w:p>
        </w:tc>
      </w:tr>
      <w:tr>
        <w:trPr>
          <w:trHeight w:val="810"/>
        </w:trPr>
        <w:tc>
          <w:tcPr>
            <w:tcW w:w="8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20 F</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001 38067</w:t>
            </w:r>
          </w:p>
        </w:tc>
        <w:tc>
          <w:tcPr>
            <w:tcW w:w="10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4 3 5</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2/27/2020</w:t>
            </w:r>
          </w:p>
        </w:tc>
      </w:tr>
    </w:tbl>
    <w:p>
      <w:pPr>
        <w:sectPr>
          <w:pgSz w:w="11900" w:h="17012" w:orient="portrait"/>
          <w:cols w:equalWidth="0" w:num="3">
            <w:col w:w="560" w:space="540"/>
            <w:col w:w="4320" w:space="240"/>
            <w:col w:w="5580"/>
          </w:cols>
          <w:pgMar w:left="320" w:top="1418" w:right="339" w:bottom="0" w:gutter="0" w:footer="0" w:header="0"/>
          <w:type w:val="continuous"/>
        </w:sectPr>
      </w:pPr>
    </w:p>
    <w:bookmarkStart w:id="97" w:name="page98"/>
    <w:bookmarkEnd w:id="97"/>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10.3.4</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10.3.5</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10.3.7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10.5#</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10.7#</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10.8#</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10.9#</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10.12#</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10.13#</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10.14#</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10.15#</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10.17†</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10.18†</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10.20†</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19.1</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23.1</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24"/>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Renewal Agreement to Lease by and between the Verona</w:t>
              </w:r>
            </w:hyperlink>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520" w:type="dxa"/>
            <w:vAlign w:val="bottom"/>
            <w:gridSpan w:val="24"/>
          </w:tcPr>
          <w:p>
            <w:pPr>
              <w:spacing w:after="0" w:line="156"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Pharma Inc. and Regus Management Group LLC dated July</w:t>
              </w:r>
            </w:hyperlink>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top w:val="single" w:sz="8" w:color="0000FF"/>
            </w:tcBorders>
            <w:gridSpan w:val="2"/>
          </w:tcPr>
          <w:p>
            <w:pPr>
              <w:spacing w:after="0" w:line="169" w:lineRule="exact"/>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16, 2019</w:t>
              </w:r>
            </w:hyperlink>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Renewal Agreement to Lease by and between the Verona</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Borders>
              <w:top w:val="single" w:sz="8" w:color="0000FF"/>
              <w:bottom w:val="single" w:sz="8" w:color="0000FF"/>
            </w:tcBorders>
            <w:gridSpan w:val="17"/>
          </w:tcPr>
          <w:p>
            <w:pPr>
              <w:spacing w:after="0" w:line="156" w:lineRule="exact"/>
              <w:rPr>
                <w:rFonts w:ascii="Times New Roman" w:cs="Times New Roman" w:eastAsia="Times New Roman" w:hAnsi="Times New Roman"/>
                <w:sz w:val="18"/>
                <w:szCs w:val="18"/>
                <w:color w:val="0000FF"/>
                <w:w w:val="97"/>
              </w:rPr>
            </w:pPr>
            <w:hyperlink r:id="rId117">
              <w:r>
                <w:rPr>
                  <w:rFonts w:ascii="Times New Roman" w:cs="Times New Roman" w:eastAsia="Times New Roman" w:hAnsi="Times New Roman"/>
                  <w:sz w:val="18"/>
                  <w:szCs w:val="18"/>
                  <w:color w:val="0000FF"/>
                  <w:w w:val="97"/>
                </w:rPr>
                <w:t>Pharma plc and Regus Management (U.K.) Limited dated</w:t>
              </w:r>
            </w:hyperlink>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40" w:type="dxa"/>
            <w:vAlign w:val="bottom"/>
            <w:tcBorders>
              <w:bottom w:val="single" w:sz="8" w:color="0000FF"/>
            </w:tcBorders>
            <w:gridSpan w:val="3"/>
          </w:tcPr>
          <w:p>
            <w:pPr>
              <w:spacing w:after="0" w:line="169" w:lineRule="exact"/>
              <w:rPr>
                <w:rFonts w:ascii="Times New Roman" w:cs="Times New Roman" w:eastAsia="Times New Roman" w:hAnsi="Times New Roman"/>
                <w:sz w:val="18"/>
                <w:szCs w:val="18"/>
                <w:color w:val="0000FF"/>
                <w:w w:val="98"/>
              </w:rPr>
            </w:pPr>
            <w:hyperlink r:id="rId117">
              <w:r>
                <w:rPr>
                  <w:rFonts w:ascii="Times New Roman" w:cs="Times New Roman" w:eastAsia="Times New Roman" w:hAnsi="Times New Roman"/>
                  <w:sz w:val="18"/>
                  <w:szCs w:val="18"/>
                  <w:color w:val="0000FF"/>
                  <w:w w:val="98"/>
                </w:rPr>
                <w:t>November 9, 2021</w:t>
              </w:r>
            </w:hyperlink>
          </w:p>
        </w:tc>
        <w:tc>
          <w:tcPr>
            <w:tcW w:w="2820" w:type="dxa"/>
            <w:vAlign w:val="bottom"/>
            <w:gridSpan w:val="1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29"/>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Renewal Agreement to Lease by and between the Verona</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w w:val="97"/>
              </w:rPr>
            </w:pPr>
            <w:hyperlink r:id="rId118">
              <w:r>
                <w:rPr>
                  <w:rFonts w:ascii="Times New Roman" w:cs="Times New Roman" w:eastAsia="Times New Roman" w:hAnsi="Times New Roman"/>
                  <w:sz w:val="18"/>
                  <w:szCs w:val="18"/>
                  <w:color w:val="0000FF"/>
                  <w:w w:val="97"/>
                </w:rPr>
                <w:t>Pharma plc and Regus Management (U.K.) Limited dated</w:t>
              </w:r>
            </w:hyperlink>
          </w:p>
        </w:tc>
        <w:tc>
          <w:tcPr>
            <w:tcW w:w="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320" w:type="dxa"/>
            <w:vAlign w:val="bottom"/>
            <w:tcBorders>
              <w:top w:val="single" w:sz="8" w:color="0000FF"/>
              <w:bottom w:val="single" w:sz="8" w:color="0000FF"/>
            </w:tcBorders>
            <w:gridSpan w:val="2"/>
          </w:tcPr>
          <w:p>
            <w:pPr>
              <w:spacing w:after="0" w:line="169"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December 7, 2021</w:t>
              </w:r>
            </w:hyperlink>
          </w:p>
        </w:tc>
        <w:tc>
          <w:tcPr>
            <w:tcW w:w="2840" w:type="dxa"/>
            <w:vAlign w:val="bottom"/>
            <w:tcBorders>
              <w:top w:val="single" w:sz="8" w:color="0000FF"/>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gridSpan w:val="2"/>
          </w:tcPr>
          <w:p>
            <w:pPr>
              <w:spacing w:after="0"/>
              <w:rPr>
                <w:sz w:val="14"/>
                <w:szCs w:val="1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28"/>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Agreement to Lease by and between Verona Pharma, Inc.</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90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and Brier Creek Office #4, LLC dated March 6, 2020</w:t>
              </w:r>
            </w:hyperlink>
          </w:p>
        </w:tc>
        <w:tc>
          <w:tcPr>
            <w:tcW w:w="220" w:type="dxa"/>
            <w:vAlign w:val="bottom"/>
            <w:tcBorders>
              <w:top w:val="single" w:sz="8" w:color="0000FF"/>
            </w:tcBorders>
            <w:gridSpan w:val="6"/>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42"/>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Agreement of Sublease, dated August 28, 2023, by and</w:t>
              </w:r>
            </w:hyperlink>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60" w:type="dxa"/>
            <w:vAlign w:val="bottom"/>
            <w:tcBorders>
              <w:top w:val="single" w:sz="8" w:color="0000FF"/>
              <w:bottom w:val="single" w:sz="8" w:color="0000FF"/>
            </w:tcBorders>
            <w:gridSpan w:val="14"/>
          </w:tcPr>
          <w:p>
            <w:pPr>
              <w:spacing w:after="0" w:line="156" w:lineRule="exact"/>
              <w:rPr>
                <w:rFonts w:ascii="Times New Roman" w:cs="Times New Roman" w:eastAsia="Times New Roman" w:hAnsi="Times New Roman"/>
                <w:sz w:val="18"/>
                <w:szCs w:val="18"/>
                <w:color w:val="0000FF"/>
                <w:w w:val="97"/>
              </w:rPr>
            </w:pPr>
            <w:hyperlink r:id="rId120">
              <w:r>
                <w:rPr>
                  <w:rFonts w:ascii="Times New Roman" w:cs="Times New Roman" w:eastAsia="Times New Roman" w:hAnsi="Times New Roman"/>
                  <w:sz w:val="18"/>
                  <w:szCs w:val="18"/>
                  <w:color w:val="0000FF"/>
                  <w:w w:val="97"/>
                </w:rPr>
                <w:t>between Verona Pharma, Inc. and insightsoftware, LLC</w:t>
              </w:r>
            </w:hyperlink>
          </w:p>
        </w:tc>
        <w:tc>
          <w:tcPr>
            <w:tcW w:w="6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42"/>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1">
              <w:r>
                <w:rPr>
                  <w:rFonts w:ascii="Times New Roman" w:cs="Times New Roman" w:eastAsia="Times New Roman" w:hAnsi="Times New Roman"/>
                  <w:sz w:val="18"/>
                  <w:szCs w:val="18"/>
                  <w:color w:val="0000FF"/>
                </w:rPr>
                <w:t>EMI Option Scheme</w:t>
              </w:r>
            </w:hyperlink>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2">
              <w:r>
                <w:rPr>
                  <w:rFonts w:ascii="Times New Roman" w:cs="Times New Roman" w:eastAsia="Times New Roman" w:hAnsi="Times New Roman"/>
                  <w:sz w:val="18"/>
                  <w:szCs w:val="18"/>
                  <w:color w:val="0000FF"/>
                </w:rPr>
                <w:t>Unapproved Share Option Scheme, as amended</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Verona Pharma plc Second Amended and Restated 2017</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100" w:type="dxa"/>
            <w:vAlign w:val="bottom"/>
            <w:tcBorders>
              <w:top w:val="single" w:sz="8" w:color="0000FF"/>
            </w:tcBorders>
            <w:gridSpan w:val="17"/>
          </w:tcPr>
          <w:p>
            <w:pPr>
              <w:spacing w:after="0" w:line="156" w:lineRule="exact"/>
              <w:rPr>
                <w:rFonts w:ascii="Times New Roman" w:cs="Times New Roman" w:eastAsia="Times New Roman" w:hAnsi="Times New Roman"/>
                <w:sz w:val="18"/>
                <w:szCs w:val="18"/>
                <w:color w:val="0000FF"/>
              </w:rPr>
            </w:pPr>
            <w:hyperlink r:id="rId123">
              <w:r>
                <w:rPr>
                  <w:rFonts w:ascii="Times New Roman" w:cs="Times New Roman" w:eastAsia="Times New Roman" w:hAnsi="Times New Roman"/>
                  <w:sz w:val="18"/>
                  <w:szCs w:val="18"/>
                  <w:color w:val="0000FF"/>
                </w:rPr>
                <w:t>Incentive Award Plan</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Employment Agreement, dated January 28, 2020, between</w:t>
              </w:r>
            </w:hyperlink>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20" w:type="dxa"/>
            <w:vAlign w:val="bottom"/>
            <w:tcBorders>
              <w:top w:val="single" w:sz="8" w:color="0000FF"/>
            </w:tcBorders>
            <w:gridSpan w:val="21"/>
          </w:tcPr>
          <w:p>
            <w:pPr>
              <w:spacing w:after="0" w:line="156" w:lineRule="exact"/>
              <w:rPr>
                <w:rFonts w:ascii="Times New Roman" w:cs="Times New Roman" w:eastAsia="Times New Roman" w:hAnsi="Times New Roman"/>
                <w:sz w:val="18"/>
                <w:szCs w:val="18"/>
                <w:color w:val="0000FF"/>
              </w:rPr>
            </w:pPr>
            <w:hyperlink r:id="rId124">
              <w:r>
                <w:rPr>
                  <w:rFonts w:ascii="Times New Roman" w:cs="Times New Roman" w:eastAsia="Times New Roman" w:hAnsi="Times New Roman"/>
                  <w:sz w:val="18"/>
                  <w:szCs w:val="18"/>
                  <w:color w:val="0000FF"/>
                </w:rPr>
                <w:t>Verona Pharma, Inc. and David Zaccardelli, Pharm. D.</w:t>
              </w:r>
            </w:hyperlink>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0" w:type="dxa"/>
            <w:vAlign w:val="bottom"/>
          </w:tcPr>
          <w:p>
            <w:pPr>
              <w:spacing w:after="0"/>
              <w:rPr>
                <w:sz w:val="1"/>
                <w:szCs w:val="1"/>
                <w:color w:val="auto"/>
              </w:rPr>
            </w:pPr>
          </w:p>
        </w:tc>
      </w:tr>
      <w:tr>
        <w:trPr>
          <w:trHeight w:val="142"/>
        </w:trPr>
        <w:tc>
          <w:tcPr>
            <w:tcW w:w="3920" w:type="dxa"/>
            <w:vAlign w:val="bottom"/>
            <w:tcBorders>
              <w:top w:val="single" w:sz="8" w:color="0000FF"/>
            </w:tcBorders>
            <w:gridSpan w:val="13"/>
            <w:vMerge w:val="restart"/>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Employment Agreement, dated December 21, 2019,</w:t>
              </w:r>
            </w:hyperlink>
          </w:p>
        </w:tc>
        <w:tc>
          <w:tcPr>
            <w:tcW w:w="600" w:type="dxa"/>
            <w:vAlign w:val="bottom"/>
            <w:gridSpan w:val="11"/>
            <w:vMerge w:val="restart"/>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3920" w:type="dxa"/>
            <w:vAlign w:val="bottom"/>
            <w:gridSpan w:val="13"/>
            <w:vMerge w:val="continue"/>
          </w:tcPr>
          <w:p>
            <w:pPr>
              <w:spacing w:after="0"/>
              <w:rPr>
                <w:sz w:val="24"/>
                <w:szCs w:val="24"/>
                <w:color w:val="auto"/>
              </w:rPr>
            </w:pPr>
          </w:p>
        </w:tc>
        <w:tc>
          <w:tcPr>
            <w:tcW w:w="600" w:type="dxa"/>
            <w:vAlign w:val="bottom"/>
            <w:gridSpan w:val="11"/>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620" w:type="dxa"/>
            <w:vAlign w:val="bottom"/>
            <w:tcBorders>
              <w:top w:val="single" w:sz="8" w:color="0000FF"/>
              <w:bottom w:val="single" w:sz="8" w:color="0000FF"/>
            </w:tcBorders>
            <w:gridSpan w:val="8"/>
          </w:tcPr>
          <w:p>
            <w:pPr>
              <w:spacing w:after="0" w:line="156" w:lineRule="exact"/>
              <w:rPr>
                <w:rFonts w:ascii="Times New Roman" w:cs="Times New Roman" w:eastAsia="Times New Roman" w:hAnsi="Times New Roman"/>
                <w:sz w:val="18"/>
                <w:szCs w:val="18"/>
                <w:color w:val="0000FF"/>
                <w:w w:val="98"/>
              </w:rPr>
            </w:pPr>
            <w:hyperlink r:id="rId125">
              <w:r>
                <w:rPr>
                  <w:rFonts w:ascii="Times New Roman" w:cs="Times New Roman" w:eastAsia="Times New Roman" w:hAnsi="Times New Roman"/>
                  <w:sz w:val="18"/>
                  <w:szCs w:val="18"/>
                  <w:color w:val="0000FF"/>
                  <w:w w:val="98"/>
                </w:rPr>
                <w:t>between Verona Pharma plc and Kathleen Rickard</w:t>
              </w:r>
            </w:hyperlink>
          </w:p>
        </w:tc>
        <w:tc>
          <w:tcPr>
            <w:tcW w:w="1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20-F</w:t>
            </w:r>
          </w:p>
        </w:tc>
        <w:tc>
          <w:tcPr>
            <w:tcW w:w="0" w:type="dxa"/>
            <w:vAlign w:val="bottom"/>
          </w:tcPr>
          <w:p>
            <w:pPr>
              <w:spacing w:after="0"/>
              <w:rPr>
                <w:sz w:val="1"/>
                <w:szCs w:val="1"/>
                <w:color w:val="auto"/>
              </w:rPr>
            </w:pPr>
          </w:p>
        </w:tc>
      </w:tr>
      <w:tr>
        <w:trPr>
          <w:trHeight w:val="142"/>
        </w:trPr>
        <w:tc>
          <w:tcPr>
            <w:tcW w:w="4520" w:type="dxa"/>
            <w:vAlign w:val="bottom"/>
            <w:gridSpan w:val="24"/>
            <w:vMerge w:val="restart"/>
          </w:tcPr>
          <w:p>
            <w:pPr>
              <w:spacing w:after="0"/>
              <w:rPr>
                <w:sz w:val="20"/>
                <w:szCs w:val="20"/>
                <w:color w:val="auto"/>
              </w:rPr>
            </w:pPr>
            <w:r>
              <w:rPr>
                <w:rFonts w:ascii="Times New Roman" w:cs="Times New Roman" w:eastAsia="Times New Roman" w:hAnsi="Times New Roman"/>
                <w:sz w:val="18"/>
                <w:szCs w:val="18"/>
                <w:color w:val="0000FF"/>
              </w:rPr>
              <w:t>Employment Agreement, dated March 1, 2024, between</w:t>
            </w: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40" w:type="dxa"/>
            <w:vAlign w:val="bottom"/>
            <w:tcBorders>
              <w:top w:val="single" w:sz="8" w:color="0000FF"/>
            </w:tcBorders>
            <w:gridSpan w:val="16"/>
          </w:tcPr>
          <w:p>
            <w:pPr>
              <w:spacing w:after="0" w:line="156" w:lineRule="exact"/>
              <w:rPr>
                <w:sz w:val="20"/>
                <w:szCs w:val="20"/>
                <w:color w:val="auto"/>
              </w:rPr>
            </w:pPr>
            <w:r>
              <w:rPr>
                <w:rFonts w:ascii="Times New Roman" w:cs="Times New Roman" w:eastAsia="Times New Roman" w:hAnsi="Times New Roman"/>
                <w:sz w:val="18"/>
                <w:szCs w:val="18"/>
                <w:color w:val="0000FF"/>
              </w:rPr>
              <w:t>Verona Pharma plc and Andrew Fisher</w:t>
            </w:r>
          </w:p>
        </w:tc>
        <w:tc>
          <w:tcPr>
            <w:tcW w:w="160" w:type="dxa"/>
            <w:vAlign w:val="bottom"/>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640" w:type="dxa"/>
            <w:vAlign w:val="bottom"/>
            <w:gridSpan w:val="5"/>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520" w:type="dxa"/>
            <w:vAlign w:val="bottom"/>
            <w:gridSpan w:val="24"/>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Employment Agreement, dated February 1, 2020, between</w:t>
              </w:r>
            </w:hyperlink>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64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8"/>
              </w:rPr>
            </w:pPr>
            <w:hyperlink r:id="rId126">
              <w:r>
                <w:rPr>
                  <w:rFonts w:ascii="Times New Roman" w:cs="Times New Roman" w:eastAsia="Times New Roman" w:hAnsi="Times New Roman"/>
                  <w:sz w:val="18"/>
                  <w:szCs w:val="18"/>
                  <w:color w:val="0000FF"/>
                  <w:w w:val="98"/>
                </w:rPr>
                <w:t>Verona Pharma, Inc. and Mark Hahn</w:t>
              </w:r>
            </w:hyperlink>
          </w:p>
        </w:tc>
        <w:tc>
          <w:tcPr>
            <w:tcW w:w="1580" w:type="dxa"/>
            <w:vAlign w:val="bottom"/>
            <w:tcBorders>
              <w:top w:val="single" w:sz="8" w:color="0000FF"/>
            </w:tcBorders>
            <w:gridSpan w:val="16"/>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gridSpan w:val="2"/>
          </w:tcPr>
          <w:p>
            <w:pPr>
              <w:spacing w:after="0"/>
              <w:rPr>
                <w:sz w:val="13"/>
                <w:szCs w:val="1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r>
        <w:trPr>
          <w:trHeight w:val="142"/>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27">
              <w:r>
                <w:rPr>
                  <w:rFonts w:ascii="Times New Roman" w:cs="Times New Roman" w:eastAsia="Times New Roman" w:hAnsi="Times New Roman"/>
                  <w:sz w:val="18"/>
                  <w:szCs w:val="18"/>
                  <w:color w:val="0000FF"/>
                </w:rPr>
                <w:t>Form of Indemnification Agreement for board members</w:t>
              </w:r>
            </w:hyperlink>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F-1/A</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0" w:type="dxa"/>
            <w:vAlign w:val="bottom"/>
            <w:gridSpan w:val="20"/>
            <w:vMerge w:val="restart"/>
          </w:tcPr>
          <w:p>
            <w:pPr>
              <w:spacing w:after="0"/>
              <w:rPr>
                <w:rFonts w:ascii="Times New Roman" w:cs="Times New Roman" w:eastAsia="Times New Roman" w:hAnsi="Times New Roman"/>
                <w:sz w:val="18"/>
                <w:szCs w:val="18"/>
                <w:color w:val="0000FF"/>
                <w:w w:val="99"/>
              </w:rPr>
            </w:pPr>
            <w:hyperlink r:id="rId128">
              <w:r>
                <w:rPr>
                  <w:rFonts w:ascii="Times New Roman" w:cs="Times New Roman" w:eastAsia="Times New Roman" w:hAnsi="Times New Roman"/>
                  <w:sz w:val="18"/>
                  <w:szCs w:val="18"/>
                  <w:color w:val="0000FF"/>
                  <w:w w:val="99"/>
                </w:rPr>
                <w:t>Form of Indemnification Agreement for executive officers</w:t>
              </w:r>
            </w:hyperlink>
          </w:p>
        </w:tc>
        <w:tc>
          <w:tcPr>
            <w:tcW w:w="320" w:type="dxa"/>
            <w:vAlign w:val="bottom"/>
            <w:gridSpan w:val="4"/>
            <w:vMerge w:val="restart"/>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4200" w:type="dxa"/>
            <w:vAlign w:val="bottom"/>
            <w:tcBorders>
              <w:bottom w:val="single" w:sz="8" w:color="0000FF"/>
            </w:tcBorders>
            <w:gridSpan w:val="20"/>
            <w:vMerge w:val="continue"/>
          </w:tcPr>
          <w:p>
            <w:pPr>
              <w:spacing w:after="0"/>
              <w:rPr>
                <w:sz w:val="24"/>
                <w:szCs w:val="24"/>
                <w:color w:val="auto"/>
              </w:rPr>
            </w:pPr>
          </w:p>
        </w:tc>
        <w:tc>
          <w:tcPr>
            <w:tcW w:w="320" w:type="dxa"/>
            <w:vAlign w:val="bottom"/>
            <w:gridSpan w:val="4"/>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F-1/A</w:t>
            </w:r>
          </w:p>
        </w:tc>
        <w:tc>
          <w:tcPr>
            <w:tcW w:w="0" w:type="dxa"/>
            <w:vAlign w:val="bottom"/>
          </w:tcPr>
          <w:p>
            <w:pPr>
              <w:spacing w:after="0"/>
              <w:rPr>
                <w:sz w:val="1"/>
                <w:szCs w:val="1"/>
                <w:color w:val="auto"/>
              </w:rPr>
            </w:pPr>
          </w:p>
        </w:tc>
      </w:tr>
      <w:tr>
        <w:trPr>
          <w:trHeight w:val="129"/>
        </w:trPr>
        <w:tc>
          <w:tcPr>
            <w:tcW w:w="3820" w:type="dxa"/>
            <w:vAlign w:val="bottom"/>
            <w:gridSpan w:val="11"/>
            <w:vMerge w:val="restart"/>
          </w:tcPr>
          <w:p>
            <w:pPr>
              <w:spacing w:after="0"/>
              <w:rPr>
                <w:rFonts w:ascii="Times New Roman" w:cs="Times New Roman" w:eastAsia="Times New Roman" w:hAnsi="Times New Roman"/>
                <w:sz w:val="18"/>
                <w:szCs w:val="18"/>
                <w:color w:val="0000FF"/>
                <w:w w:val="99"/>
              </w:rPr>
            </w:pPr>
            <w:hyperlink r:id="rId129">
              <w:r>
                <w:rPr>
                  <w:rFonts w:ascii="Times New Roman" w:cs="Times New Roman" w:eastAsia="Times New Roman" w:hAnsi="Times New Roman"/>
                  <w:sz w:val="18"/>
                  <w:szCs w:val="18"/>
                  <w:color w:val="0000FF"/>
                  <w:w w:val="99"/>
                </w:rPr>
                <w:t>Employee Change in Control Severance Benefit Plan</w:t>
              </w:r>
            </w:hyperlink>
          </w:p>
        </w:tc>
        <w:tc>
          <w:tcPr>
            <w:tcW w:w="700" w:type="dxa"/>
            <w:vAlign w:val="bottom"/>
            <w:gridSpan w:val="13"/>
            <w:vMerge w:val="restart"/>
          </w:tcPr>
          <w:p>
            <w:pPr>
              <w:spacing w:after="0"/>
              <w:rPr>
                <w:sz w:val="11"/>
                <w:szCs w:val="11"/>
                <w:color w:val="auto"/>
              </w:rPr>
            </w:pPr>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3820" w:type="dxa"/>
            <w:vAlign w:val="bottom"/>
            <w:tcBorders>
              <w:bottom w:val="single" w:sz="8" w:color="0000FF"/>
            </w:tcBorders>
            <w:gridSpan w:val="11"/>
            <w:vMerge w:val="continue"/>
          </w:tcPr>
          <w:p>
            <w:pPr>
              <w:spacing w:after="0"/>
              <w:rPr>
                <w:sz w:val="24"/>
                <w:szCs w:val="24"/>
                <w:color w:val="auto"/>
              </w:rPr>
            </w:pPr>
          </w:p>
        </w:tc>
        <w:tc>
          <w:tcPr>
            <w:tcW w:w="700" w:type="dxa"/>
            <w:vAlign w:val="bottom"/>
            <w:gridSpan w:val="13"/>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28"/>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Form of Non-Executive Director letter of appointment</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520" w:type="dxa"/>
            <w:vAlign w:val="bottom"/>
            <w:gridSpan w:val="24"/>
            <w:vMerge w:val="continue"/>
          </w:tcPr>
          <w:p>
            <w:pPr>
              <w:spacing w:after="0"/>
              <w:rPr>
                <w:sz w:val="24"/>
                <w:szCs w:val="2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520" w:type="dxa"/>
            <w:vAlign w:val="bottom"/>
            <w:gridSpan w:val="24"/>
            <w:vMerge w:val="restart"/>
          </w:tcPr>
          <w:p>
            <w:pPr>
              <w:spacing w:after="0"/>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Collaboration and License Agreement, effective as of June</w:t>
              </w:r>
            </w:hyperlink>
          </w:p>
        </w:tc>
        <w:tc>
          <w:tcPr>
            <w:tcW w:w="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4520" w:type="dxa"/>
            <w:vAlign w:val="bottom"/>
            <w:gridSpan w:val="24"/>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0000FF"/>
            </w:tcBorders>
            <w:gridSpan w:val="22"/>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9, 2021, by and between Verona Pharma plc, Nuance</w:t>
              </w:r>
            </w:hyperlink>
          </w:p>
        </w:tc>
        <w:tc>
          <w:tcPr>
            <w:tcW w:w="280" w:type="dxa"/>
            <w:vAlign w:val="bottom"/>
            <w:gridSpan w:val="2"/>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gridSpan w:val="10"/>
            <w:shd w:val="clear" w:color="auto" w:fill="0000FF"/>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c>
          <w:tcPr>
            <w:tcW w:w="480" w:type="dxa"/>
            <w:vAlign w:val="bottom"/>
            <w:gridSpan w:val="8"/>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00" w:type="dxa"/>
            <w:vAlign w:val="bottom"/>
            <w:tcBorders>
              <w:bottom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31">
              <w:r>
                <w:rPr>
                  <w:rFonts w:ascii="Times New Roman" w:cs="Times New Roman" w:eastAsia="Times New Roman" w:hAnsi="Times New Roman"/>
                  <w:sz w:val="18"/>
                  <w:szCs w:val="18"/>
                  <w:color w:val="0000FF"/>
                </w:rPr>
                <w:t>Pharma Limited and Nuance (Shanghai) Pharma Co Ltd</w:t>
              </w:r>
            </w:hyperlink>
          </w:p>
        </w:tc>
        <w:tc>
          <w:tcPr>
            <w:tcW w:w="420" w:type="dxa"/>
            <w:vAlign w:val="bottom"/>
            <w:gridSpan w:val="7"/>
          </w:tcPr>
          <w:p>
            <w:pPr>
              <w:spacing w:after="0"/>
              <w:rPr>
                <w:sz w:val="17"/>
                <w:szCs w:val="17"/>
                <w:color w:val="auto"/>
              </w:rPr>
            </w:pPr>
          </w:p>
        </w:tc>
        <w:tc>
          <w:tcPr>
            <w:tcW w:w="64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bl>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40" w:type="dxa"/>
            <w:vAlign w:val="bottom"/>
            <w:gridSpan w:val="2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Commercial Supply Agreement between The Ritedose</w:t>
              </w:r>
            </w:hyperlink>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340" w:type="dxa"/>
            <w:vAlign w:val="bottom"/>
            <w:gridSpan w:val="21"/>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Corporation and Verona Pharma plc dated December 20,</w:t>
              </w:r>
            </w:hyperlink>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60" w:type="dxa"/>
            <w:vAlign w:val="bottom"/>
            <w:tcBorders>
              <w:top w:val="single" w:sz="8" w:color="0000FF"/>
              <w:bottom w:val="single" w:sz="8" w:color="0000FF"/>
            </w:tcBorders>
          </w:tcPr>
          <w:p>
            <w:pPr>
              <w:spacing w:after="0" w:line="169" w:lineRule="exact"/>
              <w:rPr>
                <w:rFonts w:ascii="Times New Roman" w:cs="Times New Roman" w:eastAsia="Times New Roman" w:hAnsi="Times New Roman"/>
                <w:sz w:val="18"/>
                <w:szCs w:val="18"/>
                <w:color w:val="0000FF"/>
                <w:w w:val="94"/>
              </w:rPr>
            </w:pPr>
            <w:hyperlink r:id="rId132">
              <w:r>
                <w:rPr>
                  <w:rFonts w:ascii="Times New Roman" w:cs="Times New Roman" w:eastAsia="Times New Roman" w:hAnsi="Times New Roman"/>
                  <w:sz w:val="18"/>
                  <w:szCs w:val="18"/>
                  <w:color w:val="0000FF"/>
                  <w:w w:val="94"/>
                </w:rPr>
                <w:t>2023</w:t>
              </w:r>
            </w:hyperlink>
          </w:p>
        </w:tc>
        <w:tc>
          <w:tcPr>
            <w:tcW w:w="40" w:type="dxa"/>
            <w:vAlign w:val="bottom"/>
            <w:tcBorders>
              <w:top w:val="single" w:sz="8" w:color="0000FF"/>
            </w:tcBorders>
          </w:tcPr>
          <w:p>
            <w:pPr>
              <w:spacing w:after="0"/>
              <w:rPr>
                <w:sz w:val="14"/>
                <w:szCs w:val="14"/>
                <w:color w:val="auto"/>
              </w:rPr>
            </w:pPr>
          </w:p>
        </w:tc>
        <w:tc>
          <w:tcPr>
            <w:tcW w:w="1340" w:type="dxa"/>
            <w:vAlign w:val="bottom"/>
            <w:tcBorders>
              <w:top w:val="single" w:sz="8" w:color="0000FF"/>
            </w:tcBorders>
          </w:tcPr>
          <w:p>
            <w:pPr>
              <w:spacing w:after="0"/>
              <w:rPr>
                <w:sz w:val="14"/>
                <w:szCs w:val="14"/>
                <w:color w:val="auto"/>
              </w:rPr>
            </w:pPr>
          </w:p>
        </w:tc>
        <w:tc>
          <w:tcPr>
            <w:tcW w:w="800" w:type="dxa"/>
            <w:vAlign w:val="bottom"/>
            <w:tcBorders>
              <w:top w:val="single" w:sz="8" w:color="0000FF"/>
            </w:tcBorders>
          </w:tcPr>
          <w:p>
            <w:pPr>
              <w:spacing w:after="0"/>
              <w:rPr>
                <w:sz w:val="14"/>
                <w:szCs w:val="14"/>
                <w:color w:val="auto"/>
              </w:rPr>
            </w:pPr>
          </w:p>
        </w:tc>
        <w:tc>
          <w:tcPr>
            <w:tcW w:w="460" w:type="dxa"/>
            <w:vAlign w:val="bottom"/>
            <w:tcBorders>
              <w:top w:val="single" w:sz="8" w:color="0000FF"/>
            </w:tcBorders>
          </w:tcPr>
          <w:p>
            <w:pPr>
              <w:spacing w:after="0"/>
              <w:rPr>
                <w:sz w:val="14"/>
                <w:szCs w:val="14"/>
                <w:color w:val="auto"/>
              </w:rPr>
            </w:pPr>
          </w:p>
        </w:tc>
        <w:tc>
          <w:tcPr>
            <w:tcW w:w="6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129"/>
        </w:trPr>
        <w:tc>
          <w:tcPr>
            <w:tcW w:w="4340" w:type="dxa"/>
            <w:vAlign w:val="bottom"/>
            <w:gridSpan w:val="21"/>
            <w:vMerge w:val="restart"/>
          </w:tcPr>
          <w:p>
            <w:pPr>
              <w:spacing w:after="0"/>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Revenue Interest Purchase and Sale Agreement, dated as of</w:t>
              </w:r>
            </w:hyperlink>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340" w:type="dxa"/>
            <w:vAlign w:val="bottom"/>
            <w:gridSpan w:val="21"/>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280" w:type="dxa"/>
            <w:vAlign w:val="bottom"/>
            <w:tcBorders>
              <w:top w:val="single" w:sz="8" w:color="0000FF"/>
              <w:bottom w:val="single" w:sz="8" w:color="0000FF"/>
            </w:tcBorders>
            <w:gridSpan w:val="18"/>
          </w:tcPr>
          <w:p>
            <w:pPr>
              <w:spacing w:after="0" w:line="15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May 9, 2024, between Verona Pharma, Inc., Verona Pharma</w:t>
              </w:r>
            </w:hyperlink>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300" w:type="dxa"/>
            <w:vAlign w:val="bottom"/>
            <w:gridSpan w:val="19"/>
          </w:tcPr>
          <w:p>
            <w:pPr>
              <w:spacing w:after="0" w:line="169" w:lineRule="exact"/>
              <w:rPr>
                <w:rFonts w:ascii="Times New Roman" w:cs="Times New Roman" w:eastAsia="Times New Roman" w:hAnsi="Times New Roman"/>
                <w:sz w:val="18"/>
                <w:szCs w:val="18"/>
                <w:color w:val="0000FF"/>
              </w:rPr>
            </w:pPr>
            <w:hyperlink r:id="rId133">
              <w:r>
                <w:rPr>
                  <w:rFonts w:ascii="Times New Roman" w:cs="Times New Roman" w:eastAsia="Times New Roman" w:hAnsi="Times New Roman"/>
                  <w:sz w:val="18"/>
                  <w:szCs w:val="18"/>
                  <w:color w:val="0000FF"/>
                </w:rPr>
                <w:t>plc and Oaktree Fund Administration, LLC, as the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2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7"/>
              </w:rPr>
            </w:pPr>
            <w:hyperlink r:id="rId133">
              <w:r>
                <w:rPr>
                  <w:rFonts w:ascii="Times New Roman" w:cs="Times New Roman" w:eastAsia="Times New Roman" w:hAnsi="Times New Roman"/>
                  <w:sz w:val="18"/>
                  <w:szCs w:val="18"/>
                  <w:color w:val="0000FF"/>
                  <w:w w:val="97"/>
                </w:rPr>
                <w:t>administrative agent and the other purchasers party</w:t>
              </w:r>
            </w:hyperlink>
          </w:p>
        </w:tc>
        <w:tc>
          <w:tcPr>
            <w:tcW w:w="80" w:type="dxa"/>
            <w:vAlign w:val="bottom"/>
            <w:tcBorders>
              <w:bottom w:val="single" w:sz="8" w:color="0000FF"/>
            </w:tcBorders>
          </w:tcPr>
          <w:p>
            <w:pPr>
              <w:spacing w:after="0"/>
              <w:rPr>
                <w:sz w:val="13"/>
                <w:szCs w:val="13"/>
                <w:color w:val="auto"/>
              </w:rPr>
            </w:pPr>
          </w:p>
        </w:tc>
        <w:tc>
          <w:tcPr>
            <w:tcW w:w="520" w:type="dxa"/>
            <w:vAlign w:val="bottom"/>
            <w:tcBorders>
              <w:bottom w:val="single" w:sz="8" w:color="0000FF"/>
            </w:tcBorders>
            <w:gridSpan w:val="9"/>
          </w:tcPr>
          <w:p>
            <w:pPr>
              <w:ind w:left="20"/>
              <w:spacing w:after="0" w:line="156" w:lineRule="exact"/>
              <w:rPr>
                <w:rFonts w:ascii="Times New Roman" w:cs="Times New Roman" w:eastAsia="Times New Roman" w:hAnsi="Times New Roman"/>
                <w:sz w:val="18"/>
                <w:szCs w:val="18"/>
                <w:color w:val="0000FF"/>
                <w:w w:val="95"/>
              </w:rPr>
            </w:pPr>
            <w:hyperlink r:id="rId133">
              <w:r>
                <w:rPr>
                  <w:rFonts w:ascii="Times New Roman" w:cs="Times New Roman" w:eastAsia="Times New Roman" w:hAnsi="Times New Roman"/>
                  <w:sz w:val="18"/>
                  <w:szCs w:val="18"/>
                  <w:color w:val="0000FF"/>
                  <w:w w:val="95"/>
                </w:rPr>
                <w:t>thereto</w:t>
              </w:r>
            </w:hyperlink>
          </w:p>
        </w:tc>
        <w:tc>
          <w:tcPr>
            <w:tcW w:w="120" w:type="dxa"/>
            <w:vAlign w:val="bottom"/>
            <w:gridSpan w:val="5"/>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8"/>
        </w:trPr>
        <w:tc>
          <w:tcPr>
            <w:tcW w:w="40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FF"/>
                <w:w w:val="99"/>
              </w:rPr>
              <w:t>First Amendment to Revenue Interest Purchase and Sale</w:t>
            </w:r>
          </w:p>
        </w:tc>
        <w:tc>
          <w:tcPr>
            <w:tcW w:w="280" w:type="dxa"/>
            <w:vAlign w:val="bottom"/>
            <w:gridSpan w:val="9"/>
            <w:vMerge w:val="restart"/>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02"/>
        </w:trPr>
        <w:tc>
          <w:tcPr>
            <w:tcW w:w="4060" w:type="dxa"/>
            <w:vAlign w:val="bottom"/>
            <w:tcBorders>
              <w:bottom w:val="single" w:sz="8" w:color="0000FF"/>
            </w:tcBorders>
            <w:gridSpan w:val="12"/>
            <w:vMerge w:val="continue"/>
          </w:tcPr>
          <w:p>
            <w:pPr>
              <w:spacing w:after="0"/>
              <w:rPr>
                <w:sz w:val="24"/>
                <w:szCs w:val="24"/>
                <w:color w:val="auto"/>
              </w:rPr>
            </w:pPr>
          </w:p>
        </w:tc>
        <w:tc>
          <w:tcPr>
            <w:tcW w:w="280" w:type="dxa"/>
            <w:vAlign w:val="bottom"/>
            <w:gridSpan w:val="9"/>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4340" w:type="dxa"/>
            <w:vAlign w:val="bottom"/>
            <w:gridSpan w:val="21"/>
          </w:tcPr>
          <w:p>
            <w:pPr>
              <w:spacing w:after="0" w:line="156" w:lineRule="exact"/>
              <w:rPr>
                <w:sz w:val="20"/>
                <w:szCs w:val="20"/>
                <w:color w:val="auto"/>
              </w:rPr>
            </w:pPr>
            <w:r>
              <w:rPr>
                <w:rFonts w:ascii="Times New Roman" w:cs="Times New Roman" w:eastAsia="Times New Roman" w:hAnsi="Times New Roman"/>
                <w:sz w:val="18"/>
                <w:szCs w:val="18"/>
                <w:color w:val="0000FF"/>
              </w:rPr>
              <w:t>Agreement, dated as of November 7, 2024 between Verona</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0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8"/>
              </w:rPr>
              <w:t>Pharma, Inc., Verona Pharma plc and Oaktree Fund</w:t>
            </w:r>
          </w:p>
        </w:tc>
        <w:tc>
          <w:tcPr>
            <w:tcW w:w="540" w:type="dxa"/>
            <w:vAlign w:val="bottom"/>
            <w:tcBorders>
              <w:top w:val="single" w:sz="8" w:color="0000FF"/>
            </w:tcBorders>
            <w:gridSpan w:val="10"/>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4340" w:type="dxa"/>
            <w:vAlign w:val="bottom"/>
            <w:gridSpan w:val="21"/>
          </w:tcPr>
          <w:p>
            <w:pPr>
              <w:spacing w:after="0"/>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Credit Agreement and Guaranty, dated as of May 9, 2024,</w:t>
              </w:r>
            </w:hyperlink>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60" w:type="dxa"/>
            <w:vAlign w:val="bottom"/>
            <w:tcBorders>
              <w:top w:val="single" w:sz="8" w:color="0000FF"/>
            </w:tcBorders>
            <w:gridSpan w:val="14"/>
          </w:tcPr>
          <w:p>
            <w:pPr>
              <w:spacing w:after="0" w:line="156" w:lineRule="exact"/>
              <w:rPr>
                <w:rFonts w:ascii="Times New Roman" w:cs="Times New Roman" w:eastAsia="Times New Roman" w:hAnsi="Times New Roman"/>
                <w:sz w:val="18"/>
                <w:szCs w:val="18"/>
                <w:color w:val="0000FF"/>
              </w:rPr>
            </w:pPr>
            <w:hyperlink r:id="rId134">
              <w:r>
                <w:rPr>
                  <w:rFonts w:ascii="Times New Roman" w:cs="Times New Roman" w:eastAsia="Times New Roman" w:hAnsi="Times New Roman"/>
                  <w:sz w:val="18"/>
                  <w:szCs w:val="18"/>
                  <w:color w:val="0000FF"/>
                </w:rPr>
                <w:t>by and among Verona Pharma, Inc., as borrower, Verona</w:t>
              </w:r>
            </w:hyperlink>
          </w:p>
        </w:tc>
        <w:tc>
          <w:tcPr>
            <w:tcW w:w="20" w:type="dxa"/>
            <w:vAlign w:val="bottom"/>
          </w:tcPr>
          <w:p>
            <w:pPr>
              <w:spacing w:after="0"/>
              <w:rPr>
                <w:sz w:val="13"/>
                <w:szCs w:val="13"/>
                <w:color w:val="auto"/>
              </w:rPr>
            </w:pPr>
          </w:p>
        </w:tc>
        <w:tc>
          <w:tcPr>
            <w:tcW w:w="14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Pharma plc, as guarantor, Oaktree Fund Administration,</w:t>
              </w:r>
            </w:hyperlink>
          </w:p>
        </w:tc>
        <w:tc>
          <w:tcPr>
            <w:tcW w:w="120" w:type="dxa"/>
            <w:vAlign w:val="bottom"/>
            <w:gridSpan w:val="3"/>
          </w:tcPr>
          <w:p>
            <w:pPr>
              <w:spacing w:after="0"/>
              <w:rPr>
                <w:sz w:val="14"/>
                <w:szCs w:val="14"/>
                <w:color w:val="auto"/>
              </w:rPr>
            </w:pPr>
          </w:p>
        </w:tc>
        <w:tc>
          <w:tcPr>
            <w:tcW w:w="14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80" w:type="dxa"/>
            <w:vAlign w:val="bottom"/>
            <w:tcBorders>
              <w:bottom w:val="single" w:sz="8" w:color="0000FF"/>
            </w:tcBorders>
            <w:gridSpan w:val="15"/>
          </w:tcPr>
          <w:p>
            <w:pPr>
              <w:spacing w:after="0" w:line="156" w:lineRule="exact"/>
              <w:rPr>
                <w:rFonts w:ascii="Times New Roman" w:cs="Times New Roman" w:eastAsia="Times New Roman" w:hAnsi="Times New Roman"/>
                <w:sz w:val="18"/>
                <w:szCs w:val="18"/>
                <w:color w:val="0000FF"/>
                <w:w w:val="99"/>
              </w:rPr>
            </w:pPr>
            <w:hyperlink r:id="rId134">
              <w:r>
                <w:rPr>
                  <w:rFonts w:ascii="Times New Roman" w:cs="Times New Roman" w:eastAsia="Times New Roman" w:hAnsi="Times New Roman"/>
                  <w:sz w:val="18"/>
                  <w:szCs w:val="18"/>
                  <w:color w:val="0000FF"/>
                  <w:w w:val="99"/>
                </w:rPr>
                <w:t>LLC, as administrative agent and the lenders party thereto</w:t>
              </w:r>
            </w:hyperlink>
          </w:p>
        </w:tc>
        <w:tc>
          <w:tcPr>
            <w:tcW w:w="160" w:type="dxa"/>
            <w:vAlign w:val="bottom"/>
            <w:gridSpan w:val="6"/>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10-Q</w:t>
            </w:r>
          </w:p>
        </w:tc>
        <w:tc>
          <w:tcPr>
            <w:tcW w:w="0" w:type="dxa"/>
            <w:vAlign w:val="bottom"/>
          </w:tcPr>
          <w:p>
            <w:pPr>
              <w:spacing w:after="0"/>
              <w:rPr>
                <w:sz w:val="1"/>
                <w:szCs w:val="1"/>
                <w:color w:val="auto"/>
              </w:rPr>
            </w:pPr>
          </w:p>
        </w:tc>
      </w:tr>
      <w:tr>
        <w:trPr>
          <w:trHeight w:val="128"/>
        </w:trPr>
        <w:tc>
          <w:tcPr>
            <w:tcW w:w="4340" w:type="dxa"/>
            <w:vAlign w:val="bottom"/>
            <w:gridSpan w:val="21"/>
            <w:vMerge w:val="restart"/>
          </w:tcPr>
          <w:p>
            <w:pPr>
              <w:spacing w:after="0"/>
              <w:rPr>
                <w:rFonts w:ascii="Times New Roman" w:cs="Times New Roman" w:eastAsia="Times New Roman" w:hAnsi="Times New Roman"/>
                <w:sz w:val="18"/>
                <w:szCs w:val="18"/>
                <w:color w:val="0000FF"/>
                <w:w w:val="99"/>
              </w:rPr>
            </w:pPr>
            <w:hyperlink r:id="rId135">
              <w:r>
                <w:rPr>
                  <w:rFonts w:ascii="Times New Roman" w:cs="Times New Roman" w:eastAsia="Times New Roman" w:hAnsi="Times New Roman"/>
                  <w:sz w:val="18"/>
                  <w:szCs w:val="18"/>
                  <w:color w:val="0000FF"/>
                  <w:w w:val="99"/>
                </w:rPr>
                <w:t>Letter of PricewaterhouseCoopers LLP, dated December 14,</w:t>
              </w:r>
            </w:hyperlink>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340" w:type="dxa"/>
            <w:vAlign w:val="bottom"/>
            <w:gridSpan w:val="21"/>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0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3"/>
              </w:rPr>
            </w:pPr>
            <w:hyperlink r:id="rId135">
              <w:r>
                <w:rPr>
                  <w:rFonts w:ascii="Times New Roman" w:cs="Times New Roman" w:eastAsia="Times New Roman" w:hAnsi="Times New Roman"/>
                  <w:sz w:val="18"/>
                  <w:szCs w:val="18"/>
                  <w:color w:val="0000FF"/>
                  <w:w w:val="93"/>
                </w:rPr>
                <w:t>2023.</w:t>
              </w:r>
            </w:hyperlink>
          </w:p>
        </w:tc>
        <w:tc>
          <w:tcPr>
            <w:tcW w:w="134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6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8-K</w:t>
            </w:r>
          </w:p>
        </w:tc>
        <w:tc>
          <w:tcPr>
            <w:tcW w:w="0" w:type="dxa"/>
            <w:vAlign w:val="bottom"/>
          </w:tcPr>
          <w:p>
            <w:pPr>
              <w:spacing w:after="0"/>
              <w:rPr>
                <w:sz w:val="1"/>
                <w:szCs w:val="1"/>
                <w:color w:val="auto"/>
              </w:rPr>
            </w:pPr>
          </w:p>
        </w:tc>
      </w:tr>
      <w:tr>
        <w:trPr>
          <w:trHeight w:val="142"/>
        </w:trPr>
        <w:tc>
          <w:tcPr>
            <w:tcW w:w="254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color w:val="0000FF"/>
                <w:w w:val="98"/>
              </w:rPr>
              <w:t>Insider Trading Compliance Policy</w:t>
            </w:r>
          </w:p>
        </w:tc>
        <w:tc>
          <w:tcPr>
            <w:tcW w:w="1800" w:type="dxa"/>
            <w:vAlign w:val="bottom"/>
            <w:gridSpan w:val="17"/>
            <w:vMerge w:val="restart"/>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2540" w:type="dxa"/>
            <w:vAlign w:val="bottom"/>
            <w:tcBorders>
              <w:bottom w:val="single" w:sz="8" w:color="0000FF"/>
            </w:tcBorders>
            <w:gridSpan w:val="4"/>
            <w:vMerge w:val="continue"/>
          </w:tcPr>
          <w:p>
            <w:pPr>
              <w:spacing w:after="0"/>
              <w:rPr>
                <w:sz w:val="24"/>
                <w:szCs w:val="24"/>
                <w:color w:val="auto"/>
              </w:rPr>
            </w:pPr>
          </w:p>
        </w:tc>
        <w:tc>
          <w:tcPr>
            <w:tcW w:w="1800" w:type="dxa"/>
            <w:vAlign w:val="bottom"/>
            <w:gridSpan w:val="17"/>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4340" w:type="dxa"/>
            <w:vAlign w:val="bottom"/>
            <w:gridSpan w:val="21"/>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List of Subsidiaries of Verona Pharma plc</w:t>
              </w:r>
            </w:hyperlink>
          </w:p>
        </w:tc>
        <w:tc>
          <w:tcPr>
            <w:tcW w:w="82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10-K</w:t>
            </w: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3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Consent of Ernst &amp; Young LLP, Independent Registered</w:t>
            </w: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4340" w:type="dxa"/>
            <w:vAlign w:val="bottom"/>
            <w:gridSpan w:val="21"/>
            <w:vMerge w:val="continue"/>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740" w:type="dxa"/>
            <w:vAlign w:val="bottom"/>
            <w:tcBorders>
              <w:top w:val="single" w:sz="8" w:color="0000FF"/>
              <w:bottom w:val="single" w:sz="8" w:color="0000FF"/>
            </w:tcBorders>
            <w:gridSpan w:val="3"/>
          </w:tcPr>
          <w:p>
            <w:pPr>
              <w:spacing w:after="0" w:line="156" w:lineRule="exact"/>
              <w:rPr>
                <w:sz w:val="20"/>
                <w:szCs w:val="20"/>
                <w:color w:val="auto"/>
              </w:rPr>
            </w:pPr>
            <w:r>
              <w:rPr>
                <w:rFonts w:ascii="Times New Roman" w:cs="Times New Roman" w:eastAsia="Times New Roman" w:hAnsi="Times New Roman"/>
                <w:sz w:val="18"/>
                <w:szCs w:val="18"/>
                <w:color w:val="0000FF"/>
                <w:w w:val="98"/>
              </w:rPr>
              <w:t>Public Accounting Firm</w:t>
            </w:r>
          </w:p>
        </w:tc>
        <w:tc>
          <w:tcPr>
            <w:tcW w:w="2300" w:type="dxa"/>
            <w:vAlign w:val="bottom"/>
            <w:tcBorders>
              <w:top w:val="single" w:sz="8" w:color="0000FF"/>
            </w:tcBorders>
            <w:gridSpan w:val="8"/>
          </w:tcPr>
          <w:p>
            <w:pPr>
              <w:spacing w:after="0"/>
              <w:rPr>
                <w:sz w:val="13"/>
                <w:szCs w:val="13"/>
                <w:color w:val="auto"/>
              </w:rPr>
            </w:pPr>
          </w:p>
        </w:tc>
        <w:tc>
          <w:tcPr>
            <w:tcW w:w="300" w:type="dxa"/>
            <w:vAlign w:val="bottom"/>
            <w:gridSpan w:val="10"/>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9"/>
        </w:trPr>
        <w:tc>
          <w:tcPr>
            <w:tcW w:w="43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Consent of PricewaterhouseCoopers LLP, Independent</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94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Registered Public Accounting Firm</w:t>
            </w:r>
          </w:p>
        </w:tc>
        <w:tc>
          <w:tcPr>
            <w:tcW w:w="400" w:type="dxa"/>
            <w:vAlign w:val="bottom"/>
            <w:gridSpan w:val="12"/>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4.3.6</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2/27/2020</w:t>
            </w:r>
          </w:p>
        </w:tc>
      </w:tr>
      <w:tr>
        <w:trPr>
          <w:trHeight w:val="810"/>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10.4.7</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3/7/2022</w:t>
            </w:r>
          </w:p>
        </w:tc>
      </w:tr>
      <w:tr>
        <w:trPr>
          <w:trHeight w:val="810"/>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10.4.8</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3/7/2022</w:t>
            </w:r>
          </w:p>
        </w:tc>
      </w:tr>
      <w:tr>
        <w:trPr>
          <w:trHeight w:val="63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10.4.9</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3/7/2022</w:t>
            </w:r>
          </w:p>
        </w:tc>
      </w:tr>
      <w:tr>
        <w:trPr>
          <w:trHeight w:val="634"/>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9/1/2023</w:t>
            </w:r>
          </w:p>
        </w:tc>
      </w:tr>
      <w:tr>
        <w:trPr>
          <w:trHeight w:val="446"/>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333-217124</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10.4</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4/3/2017</w:t>
            </w:r>
          </w:p>
        </w:tc>
      </w:tr>
      <w:tr>
        <w:trPr>
          <w:trHeight w:val="44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333-217124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10.5</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4/3/2017</w:t>
            </w:r>
          </w:p>
        </w:tc>
      </w:tr>
      <w:tr>
        <w:trPr>
          <w:trHeight w:val="63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5/1/2023</w:t>
            </w:r>
          </w:p>
        </w:tc>
      </w:tr>
      <w:tr>
        <w:trPr>
          <w:trHeight w:val="634"/>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4.7</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2/27/2020</w:t>
            </w:r>
          </w:p>
        </w:tc>
      </w:tr>
      <w:tr>
        <w:trPr>
          <w:trHeight w:val="63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4.8</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3/19/2019</w:t>
            </w:r>
          </w:p>
        </w:tc>
      </w:tr>
      <w:tr>
        <w:trPr>
          <w:trHeight w:val="634"/>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63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333-247928</w:t>
            </w:r>
          </w:p>
        </w:tc>
        <w:tc>
          <w:tcPr>
            <w:tcW w:w="11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10.12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8/17/2020</w:t>
            </w:r>
          </w:p>
        </w:tc>
      </w:tr>
      <w:tr>
        <w:trPr>
          <w:trHeight w:val="44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333-217124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10.11.1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4/18/2017</w:t>
            </w:r>
          </w:p>
        </w:tc>
      </w:tr>
      <w:tr>
        <w:trPr>
          <w:trHeight w:val="44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98"/>
              </w:rPr>
              <w:t>333-217124</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10.11.2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4/18/2017</w:t>
            </w:r>
          </w:p>
        </w:tc>
      </w:tr>
      <w:tr>
        <w:trPr>
          <w:trHeight w:val="44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001-39067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8/11/2021</w:t>
            </w:r>
          </w:p>
        </w:tc>
      </w:tr>
      <w:tr>
        <w:trPr>
          <w:trHeight w:val="44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2/25/2021</w:t>
            </w:r>
          </w:p>
        </w:tc>
      </w:tr>
      <w:tr>
        <w:trPr>
          <w:trHeight w:val="67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8/5/2021</w:t>
            </w:r>
          </w:p>
        </w:tc>
      </w:tr>
      <w:tr>
        <w:trPr>
          <w:trHeight w:val="810"/>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10.23</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2/29/2024</w:t>
            </w:r>
          </w:p>
        </w:tc>
      </w:tr>
      <w:tr>
        <w:trPr>
          <w:trHeight w:val="98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8/8/2024</w:t>
            </w:r>
          </w:p>
        </w:tc>
      </w:tr>
      <w:tr>
        <w:trPr>
          <w:trHeight w:val="702"/>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093"/>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10.2</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5/10/2024</w:t>
            </w:r>
          </w:p>
        </w:tc>
      </w:tr>
      <w:tr>
        <w:trPr>
          <w:trHeight w:val="635"/>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16.1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12/18/2023</w:t>
            </w:r>
          </w:p>
        </w:tc>
      </w:tr>
      <w:tr>
        <w:trPr>
          <w:trHeight w:val="445"/>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6"/>
        </w:trPr>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001-38067</w:t>
            </w:r>
          </w:p>
        </w:tc>
        <w:tc>
          <w:tcPr>
            <w:tcW w:w="11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21.1</w:t>
            </w:r>
          </w:p>
        </w:tc>
        <w:tc>
          <w:tcPr>
            <w:tcW w:w="16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2/29/2024</w:t>
            </w:r>
          </w:p>
        </w:tc>
      </w:tr>
      <w:tr>
        <w:trPr>
          <w:trHeight w:val="634"/>
        </w:trPr>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891" w:orient="portrait"/>
          <w:cols w:equalWidth="0" w:num="3">
            <w:col w:w="500" w:space="580"/>
            <w:col w:w="5160" w:space="400"/>
            <w:col w:w="3980"/>
          </w:cols>
          <w:pgMar w:left="340" w:top="324" w:right="939" w:bottom="0" w:gutter="0" w:footer="0" w:header="0"/>
        </w:sectPr>
      </w:pPr>
    </w:p>
    <w:bookmarkStart w:id="98" w:name="page99"/>
    <w:bookmarkEnd w:id="98"/>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Executive</w:t>
            </w:r>
          </w:p>
        </w:tc>
        <w:tc>
          <w:tcPr>
            <w:tcW w:w="8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31.1</w:t>
            </w:r>
          </w:p>
        </w:tc>
        <w:tc>
          <w:tcPr>
            <w:tcW w:w="42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vMerge w:val="restart"/>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4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Rule 13a-14(a)/15d-14(a) Certification of Chief Financial</w:t>
            </w: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4340" w:type="dxa"/>
            <w:vAlign w:val="bottom"/>
            <w:gridSpan w:val="8"/>
            <w:vMerge w:val="continue"/>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31.2</w:t>
            </w:r>
          </w:p>
        </w:tc>
        <w:tc>
          <w:tcPr>
            <w:tcW w:w="414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Officer</w:t>
            </w:r>
          </w:p>
        </w:tc>
        <w:tc>
          <w:tcPr>
            <w:tcW w:w="20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20" w:type="dxa"/>
            <w:vAlign w:val="bottom"/>
            <w:vMerge w:val="restart"/>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080" w:type="dxa"/>
            <w:vAlign w:val="bottom"/>
            <w:vMerge w:val="continue"/>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080" w:type="dxa"/>
            <w:vAlign w:val="bottom"/>
            <w:vMerge w:val="continue"/>
          </w:tcPr>
          <w:p>
            <w:pPr>
              <w:spacing w:after="0"/>
              <w:rPr>
                <w:sz w:val="12"/>
                <w:szCs w:val="12"/>
                <w:color w:val="auto"/>
              </w:rPr>
            </w:pPr>
          </w:p>
        </w:tc>
        <w:tc>
          <w:tcPr>
            <w:tcW w:w="386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color w:val="0000FF"/>
                <w:w w:val="99"/>
              </w:rPr>
              <w:t>Section 1350 Certification of Chief Executive Officer</w:t>
            </w:r>
          </w:p>
        </w:tc>
        <w:tc>
          <w:tcPr>
            <w:tcW w:w="480" w:type="dxa"/>
            <w:vAlign w:val="bottom"/>
            <w:gridSpan w:val="3"/>
            <w:vMerge w:val="restart"/>
          </w:tcPr>
          <w:p>
            <w:pPr>
              <w:spacing w:after="0"/>
              <w:rPr>
                <w:sz w:val="12"/>
                <w:szCs w:val="12"/>
                <w:color w:val="auto"/>
              </w:rPr>
            </w:pPr>
          </w:p>
        </w:tc>
        <w:tc>
          <w:tcPr>
            <w:tcW w:w="8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02"/>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32.1</w:t>
            </w:r>
          </w:p>
        </w:tc>
        <w:tc>
          <w:tcPr>
            <w:tcW w:w="3860" w:type="dxa"/>
            <w:vAlign w:val="bottom"/>
            <w:tcBorders>
              <w:bottom w:val="single" w:sz="8" w:color="0000FF"/>
            </w:tcBorders>
            <w:gridSpan w:val="5"/>
            <w:vMerge w:val="continue"/>
          </w:tcPr>
          <w:p>
            <w:pPr>
              <w:spacing w:after="0"/>
              <w:rPr>
                <w:sz w:val="24"/>
                <w:szCs w:val="24"/>
                <w:color w:val="auto"/>
              </w:rPr>
            </w:pPr>
          </w:p>
        </w:tc>
        <w:tc>
          <w:tcPr>
            <w:tcW w:w="480" w:type="dxa"/>
            <w:vAlign w:val="bottom"/>
            <w:gridSpan w:val="3"/>
            <w:vMerge w:val="continue"/>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vMerge w:val="restart"/>
          </w:tcPr>
          <w:p>
            <w:pPr>
              <w:jc w:val="center"/>
              <w:ind w:left="13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1080" w:type="dxa"/>
            <w:vAlign w:val="bottom"/>
            <w:vMerge w:val="continue"/>
          </w:tcPr>
          <w:p>
            <w:pPr>
              <w:spacing w:after="0"/>
              <w:rPr>
                <w:sz w:val="11"/>
                <w:szCs w:val="11"/>
                <w:color w:val="auto"/>
              </w:rPr>
            </w:pPr>
          </w:p>
        </w:tc>
        <w:tc>
          <w:tcPr>
            <w:tcW w:w="43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color w:val="0000FF"/>
              </w:rPr>
              <w:t>Section 1350 Certification of Chief Financial Officer</w:t>
            </w:r>
          </w:p>
        </w:tc>
        <w:tc>
          <w:tcPr>
            <w:tcW w:w="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32.2</w:t>
            </w:r>
          </w:p>
        </w:tc>
        <w:tc>
          <w:tcPr>
            <w:tcW w:w="4340" w:type="dxa"/>
            <w:vAlign w:val="bottom"/>
            <w:gridSpan w:val="8"/>
            <w:vMerge w:val="continue"/>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vMerge w:val="restart"/>
          </w:tcPr>
          <w:p>
            <w:pPr>
              <w:jc w:val="center"/>
              <w:ind w:left="135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28"/>
        </w:trPr>
        <w:tc>
          <w:tcPr>
            <w:tcW w:w="1080" w:type="dxa"/>
            <w:vAlign w:val="bottom"/>
            <w:vMerge w:val="continue"/>
          </w:tcPr>
          <w:p>
            <w:pPr>
              <w:spacing w:after="0"/>
              <w:rPr>
                <w:sz w:val="11"/>
                <w:szCs w:val="11"/>
                <w:color w:val="auto"/>
              </w:rPr>
            </w:pPr>
          </w:p>
        </w:tc>
        <w:tc>
          <w:tcPr>
            <w:tcW w:w="3800" w:type="dxa"/>
            <w:vAlign w:val="bottom"/>
            <w:tcBorders>
              <w:top w:val="single" w:sz="8" w:color="0000FF"/>
            </w:tcBorders>
            <w:gridSpan w:val="4"/>
            <w:vMerge w:val="restart"/>
          </w:tcPr>
          <w:p>
            <w:pPr>
              <w:spacing w:after="0"/>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Policy for Recovery of Erroneously Awarded</w:t>
              </w:r>
            </w:hyperlink>
          </w:p>
        </w:tc>
        <w:tc>
          <w:tcPr>
            <w:tcW w:w="540" w:type="dxa"/>
            <w:vAlign w:val="bottom"/>
            <w:gridSpan w:val="4"/>
            <w:vMerge w:val="restart"/>
          </w:tcPr>
          <w:p>
            <w:pPr>
              <w:spacing w:after="0"/>
              <w:rPr>
                <w:sz w:val="11"/>
                <w:szCs w:val="11"/>
                <w:color w:val="auto"/>
              </w:rPr>
            </w:pPr>
          </w:p>
        </w:tc>
        <w:tc>
          <w:tcPr>
            <w:tcW w:w="8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1080" w:type="dxa"/>
            <w:vAlign w:val="bottom"/>
          </w:tcPr>
          <w:p>
            <w:pPr>
              <w:spacing w:after="0"/>
              <w:rPr>
                <w:sz w:val="24"/>
                <w:szCs w:val="24"/>
                <w:color w:val="auto"/>
              </w:rPr>
            </w:pPr>
          </w:p>
        </w:tc>
        <w:tc>
          <w:tcPr>
            <w:tcW w:w="3800" w:type="dxa"/>
            <w:vAlign w:val="bottom"/>
            <w:gridSpan w:val="4"/>
            <w:vMerge w:val="continue"/>
          </w:tcPr>
          <w:p>
            <w:pPr>
              <w:spacing w:after="0"/>
              <w:rPr>
                <w:sz w:val="24"/>
                <w:szCs w:val="24"/>
                <w:color w:val="auto"/>
              </w:rPr>
            </w:pPr>
          </w:p>
        </w:tc>
        <w:tc>
          <w:tcPr>
            <w:tcW w:w="540" w:type="dxa"/>
            <w:vAlign w:val="bottom"/>
            <w:gridSpan w:val="4"/>
            <w:vMerge w:val="continue"/>
          </w:tcPr>
          <w:p>
            <w:pPr>
              <w:spacing w:after="0"/>
              <w:rPr>
                <w:sz w:val="24"/>
                <w:szCs w:val="24"/>
                <w:color w:val="auto"/>
              </w:rPr>
            </w:pPr>
          </w:p>
        </w:tc>
        <w:tc>
          <w:tcPr>
            <w:tcW w:w="8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97#</w:t>
            </w:r>
          </w:p>
        </w:tc>
        <w:tc>
          <w:tcPr>
            <w:tcW w:w="3240" w:type="dxa"/>
            <w:vAlign w:val="bottom"/>
            <w:tcBorders>
              <w:top w:val="single" w:sz="8" w:color="0000FF"/>
            </w:tcBorders>
            <w:gridSpan w:val="3"/>
          </w:tcPr>
          <w:p>
            <w:pPr>
              <w:spacing w:after="0" w:line="156" w:lineRule="exact"/>
              <w:rPr>
                <w:rFonts w:ascii="Times New Roman" w:cs="Times New Roman" w:eastAsia="Times New Roman" w:hAnsi="Times New Roman"/>
                <w:sz w:val="18"/>
                <w:szCs w:val="18"/>
                <w:color w:val="0000FF"/>
              </w:rPr>
            </w:pPr>
            <w:hyperlink r:id="rId132">
              <w:r>
                <w:rPr>
                  <w:rFonts w:ascii="Times New Roman" w:cs="Times New Roman" w:eastAsia="Times New Roman" w:hAnsi="Times New Roman"/>
                  <w:sz w:val="18"/>
                  <w:szCs w:val="18"/>
                  <w:color w:val="0000FF"/>
                </w:rPr>
                <w:t>Compensation</w:t>
              </w:r>
            </w:hyperlink>
          </w:p>
        </w:tc>
        <w:tc>
          <w:tcPr>
            <w:tcW w:w="1100" w:type="dxa"/>
            <w:vAlign w:val="bottom"/>
            <w:gridSpan w:val="5"/>
          </w:tcPr>
          <w:p>
            <w:pPr>
              <w:spacing w:after="0"/>
              <w:rPr>
                <w:sz w:val="13"/>
                <w:szCs w:val="13"/>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10-K</w:t>
            </w:r>
          </w:p>
        </w:tc>
        <w:tc>
          <w:tcPr>
            <w:tcW w:w="178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color w:val="auto"/>
              </w:rPr>
              <w:t>001-38067</w:t>
            </w:r>
          </w:p>
        </w:tc>
        <w:tc>
          <w:tcPr>
            <w:tcW w:w="980" w:type="dxa"/>
            <w:vAlign w:val="bottom"/>
            <w:vMerge w:val="restart"/>
          </w:tcPr>
          <w:p>
            <w:pPr>
              <w:jc w:val="right"/>
              <w:ind w:right="150"/>
              <w:spacing w:after="0"/>
              <w:rPr>
                <w:sz w:val="20"/>
                <w:szCs w:val="20"/>
                <w:color w:val="auto"/>
              </w:rPr>
            </w:pPr>
            <w:r>
              <w:rPr>
                <w:rFonts w:ascii="Times New Roman" w:cs="Times New Roman" w:eastAsia="Times New Roman" w:hAnsi="Times New Roman"/>
                <w:sz w:val="18"/>
                <w:szCs w:val="18"/>
                <w:color w:val="auto"/>
              </w:rPr>
              <w:t>97</w:t>
            </w:r>
          </w:p>
        </w:tc>
        <w:tc>
          <w:tcPr>
            <w:tcW w:w="1620" w:type="dxa"/>
            <w:vAlign w:val="bottom"/>
            <w:vMerge w:val="restart"/>
          </w:tcPr>
          <w:p>
            <w:pPr>
              <w:jc w:val="right"/>
              <w:ind w:right="570"/>
              <w:spacing w:after="0"/>
              <w:rPr>
                <w:sz w:val="20"/>
                <w:szCs w:val="20"/>
                <w:color w:val="auto"/>
              </w:rPr>
            </w:pPr>
            <w:r>
              <w:rPr>
                <w:rFonts w:ascii="Times New Roman" w:cs="Times New Roman" w:eastAsia="Times New Roman" w:hAnsi="Times New Roman"/>
                <w:sz w:val="18"/>
                <w:szCs w:val="18"/>
                <w:color w:val="auto"/>
              </w:rPr>
              <w:t>2/29/2024</w:t>
            </w:r>
          </w:p>
        </w:tc>
        <w:tc>
          <w:tcPr>
            <w:tcW w:w="0" w:type="dxa"/>
            <w:vAlign w:val="bottom"/>
          </w:tcPr>
          <w:p>
            <w:pPr>
              <w:spacing w:after="0"/>
              <w:rPr>
                <w:sz w:val="1"/>
                <w:szCs w:val="1"/>
                <w:color w:val="auto"/>
              </w:rPr>
            </w:pPr>
          </w:p>
        </w:tc>
      </w:tr>
      <w:tr>
        <w:trPr>
          <w:trHeight w:val="137"/>
        </w:trPr>
        <w:tc>
          <w:tcPr>
            <w:tcW w:w="1080" w:type="dxa"/>
            <w:vAlign w:val="bottom"/>
            <w:vMerge w:val="continue"/>
          </w:tcPr>
          <w:p>
            <w:pPr>
              <w:spacing w:after="0"/>
              <w:rPr>
                <w:sz w:val="11"/>
                <w:szCs w:val="11"/>
                <w:color w:val="auto"/>
              </w:rPr>
            </w:pPr>
          </w:p>
        </w:tc>
        <w:tc>
          <w:tcPr>
            <w:tcW w:w="500" w:type="dxa"/>
            <w:vAlign w:val="bottom"/>
            <w:tcBorders>
              <w:top w:val="single" w:sz="8" w:color="0000FF"/>
            </w:tcBorders>
          </w:tcPr>
          <w:p>
            <w:pPr>
              <w:spacing w:after="0"/>
              <w:rPr>
                <w:sz w:val="11"/>
                <w:szCs w:val="11"/>
                <w:color w:val="auto"/>
              </w:rPr>
            </w:pPr>
          </w:p>
        </w:tc>
        <w:tc>
          <w:tcPr>
            <w:tcW w:w="540" w:type="dxa"/>
            <w:vAlign w:val="bottom"/>
            <w:tcBorders>
              <w:top w:val="single" w:sz="8" w:color="0000FF"/>
            </w:tcBorders>
          </w:tcPr>
          <w:p>
            <w:pPr>
              <w:spacing w:after="0"/>
              <w:rPr>
                <w:sz w:val="11"/>
                <w:szCs w:val="11"/>
                <w:color w:val="auto"/>
              </w:rPr>
            </w:pPr>
          </w:p>
        </w:tc>
        <w:tc>
          <w:tcPr>
            <w:tcW w:w="2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17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6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8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3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3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3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3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8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0"/>
        </w:trPr>
        <w:tc>
          <w:tcPr>
            <w:tcW w:w="1080" w:type="dxa"/>
            <w:vAlign w:val="bottom"/>
          </w:tcPr>
          <w:p>
            <w:pPr>
              <w:spacing w:after="0"/>
              <w:rPr>
                <w:sz w:val="15"/>
                <w:szCs w:val="15"/>
                <w:color w:val="auto"/>
              </w:rPr>
            </w:pPr>
          </w:p>
        </w:tc>
        <w:tc>
          <w:tcPr>
            <w:tcW w:w="434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w w:val="99"/>
              </w:rPr>
              <w:t>Cover Page Interactive Data File (formatted in Inline XBRL</w:t>
            </w:r>
          </w:p>
        </w:tc>
        <w:tc>
          <w:tcPr>
            <w:tcW w:w="8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3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and contained in Exhibit 101)</w:t>
            </w:r>
          </w:p>
        </w:tc>
        <w:tc>
          <w:tcPr>
            <w:tcW w:w="86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2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management contract or compensatory plan.</w:t>
      </w:r>
    </w:p>
    <w:p>
      <w:pPr>
        <w:spacing w:after="0" w:line="104" w:lineRule="exact"/>
        <w:rPr>
          <w:sz w:val="20"/>
          <w:szCs w:val="20"/>
          <w:color w:val="auto"/>
        </w:rPr>
      </w:pPr>
    </w:p>
    <w:p>
      <w:pPr>
        <w:jc w:val="both"/>
        <w:ind w:firstLine="8"/>
        <w:spacing w:after="0" w:line="242" w:lineRule="auto"/>
        <w:tabs>
          <w:tab w:leader="none" w:pos="13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this exhibit (indicated by asterisks) have been omitted pursuant to Regulation S-K, Item 601(b)(10). Such omitted information is not material and the registrant customarily and actually treats such information as private or confidential. Additionally, schedules and attachments to this exhibit have been omitted pursuant to Regulation S-K, Items 601(a)(5).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99" w:name="page100"/>
    <w:bookmarkEnd w:id="99"/>
    <w:p>
      <w:pPr>
        <w:spacing w:after="0" w:line="17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color w:val="auto"/>
        </w:rPr>
        <w:t>Form 10-K Summary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100" w:name="page101"/>
    <w:bookmarkEnd w:id="100"/>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9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2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VERONA PHARMA PLC</w:t>
      </w:r>
    </w:p>
    <w:p>
      <w:pPr>
        <w:spacing w:after="0" w:line="320" w:lineRule="exact"/>
        <w:rPr>
          <w:sz w:val="20"/>
          <w:szCs w:val="20"/>
          <w:color w:val="auto"/>
        </w:rPr>
      </w:pPr>
    </w:p>
    <w:p>
      <w:pPr>
        <w:ind w:left="20"/>
        <w:spacing w:after="0"/>
        <w:tabs>
          <w:tab w:leader="none" w:pos="5480" w:val="left"/>
          <w:tab w:leader="none" w:pos="822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Zaccardelli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5225415</wp:posOffset>
            </wp:positionH>
            <wp:positionV relativeFrom="paragraph">
              <wp:posOffset>26035</wp:posOffset>
            </wp:positionV>
            <wp:extent cx="19113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1911350" cy="8255"/>
                    </a:xfrm>
                    <a:prstGeom prst="rect">
                      <a:avLst/>
                    </a:prstGeom>
                    <a:noFill/>
                  </pic:spPr>
                </pic:pic>
              </a:graphicData>
            </a:graphic>
          </wp:anchor>
        </w:drawing>
      </w:r>
    </w:p>
    <w:p>
      <w:pPr>
        <w:spacing w:after="0" w:line="43"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David Zaccardelli, Pharm. D.</w:t>
      </w:r>
    </w:p>
    <w:p>
      <w:pPr>
        <w:spacing w:after="0" w:line="50"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David Zaccardelli</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David Zaccardelli, Pharm. D.</w:t>
      </w: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 Mark W. Hahn</w:t>
      </w:r>
    </w:p>
    <w:p>
      <w:pPr>
        <w:spacing w:after="0" w:line="2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Mark W. Hahn</w:t>
      </w:r>
    </w:p>
    <w:p>
      <w:pPr>
        <w:spacing w:after="0" w:line="200" w:lineRule="exact"/>
        <w:rPr>
          <w:sz w:val="20"/>
          <w:szCs w:val="20"/>
          <w:color w:val="auto"/>
        </w:rPr>
      </w:pPr>
    </w:p>
    <w:p>
      <w:pPr>
        <w:spacing w:after="0" w:line="34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David Ebsworth, Ph.D.</w:t>
      </w: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David Ebsworth, Ph.D.</w:t>
      </w:r>
    </w:p>
    <w:p>
      <w:pPr>
        <w:spacing w:after="0" w:line="200" w:lineRule="exact"/>
        <w:rPr>
          <w:sz w:val="20"/>
          <w:szCs w:val="20"/>
          <w:color w:val="auto"/>
        </w:rPr>
      </w:pP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 Christina Ackermann</w:t>
      </w: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Christina Ackermann</w:t>
      </w:r>
    </w:p>
    <w:p>
      <w:pPr>
        <w:spacing w:after="0" w:line="200" w:lineRule="exact"/>
        <w:rPr>
          <w:sz w:val="20"/>
          <w:szCs w:val="20"/>
          <w:color w:val="auto"/>
        </w:rPr>
      </w:pPr>
    </w:p>
    <w:p>
      <w:pPr>
        <w:spacing w:after="0" w:line="34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/s/ Michael Austwick</w:t>
      </w:r>
    </w:p>
    <w:p>
      <w:pPr>
        <w:spacing w:after="0" w:line="27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Michael Austwick</w:t>
      </w:r>
    </w:p>
    <w:p>
      <w:pPr>
        <w:spacing w:after="0" w:line="200" w:lineRule="exact"/>
        <w:rPr>
          <w:sz w:val="20"/>
          <w:szCs w:val="20"/>
          <w:color w:val="auto"/>
        </w:rPr>
      </w:pPr>
    </w:p>
    <w:p>
      <w:pPr>
        <w:spacing w:after="0" w:line="34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 James Brady</w:t>
      </w:r>
    </w:p>
    <w:p>
      <w:pPr>
        <w:spacing w:after="0" w:line="2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James Brady</w:t>
      </w:r>
    </w:p>
    <w:p>
      <w:pPr>
        <w:spacing w:after="0" w:line="200" w:lineRule="exact"/>
        <w:rPr>
          <w:sz w:val="20"/>
          <w:szCs w:val="20"/>
          <w:color w:val="auto"/>
        </w:rPr>
      </w:pPr>
    </w:p>
    <w:p>
      <w:pPr>
        <w:spacing w:after="0" w:line="34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Ken Cunningham, M.D.</w:t>
      </w:r>
    </w:p>
    <w:p>
      <w:pPr>
        <w:spacing w:after="0" w:line="2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Ken Cunningham, M.D.</w:t>
      </w:r>
    </w:p>
    <w:p>
      <w:pPr>
        <w:spacing w:after="0" w:line="200" w:lineRule="exact"/>
        <w:rPr>
          <w:sz w:val="20"/>
          <w:szCs w:val="20"/>
          <w:color w:val="auto"/>
        </w:rPr>
      </w:pPr>
    </w:p>
    <w:p>
      <w:pPr>
        <w:spacing w:after="0" w:line="3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Lisa Deschamps</w:t>
      </w: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Lisa Deschamps</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Martin Edwards, M.D.</w:t>
      </w: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Martin Edwards, M.D.</w:t>
      </w:r>
    </w:p>
    <w:p>
      <w:pPr>
        <w:spacing w:after="0" w:line="200" w:lineRule="exact"/>
        <w:rPr>
          <w:sz w:val="20"/>
          <w:szCs w:val="20"/>
          <w:color w:val="auto"/>
        </w:rPr>
      </w:pPr>
    </w:p>
    <w:p>
      <w:pPr>
        <w:spacing w:after="0" w:line="34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/s/ Mahendra Shah, Ph.D.</w:t>
      </w:r>
    </w:p>
    <w:p>
      <w:pPr>
        <w:spacing w:after="0" w:line="27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color w:val="auto"/>
        </w:rPr>
        <w:t>Mahendra Shah, Ph.D.</w:t>
      </w:r>
    </w:p>
    <w:p>
      <w:pPr>
        <w:spacing w:after="0" w:line="200" w:lineRule="exact"/>
        <w:rPr>
          <w:sz w:val="20"/>
          <w:szCs w:val="20"/>
          <w:color w:val="auto"/>
        </w:rPr>
      </w:pPr>
    </w:p>
    <w:p>
      <w:pPr>
        <w:spacing w:after="0" w:line="34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 Vikas Sinha</w:t>
      </w:r>
    </w:p>
    <w:p>
      <w:pPr>
        <w:spacing w:after="0" w:line="27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Vikas Sinha</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Anders Ullman, M.D., Ph.D.</w:t>
      </w:r>
    </w:p>
    <w:p>
      <w:pPr>
        <w:spacing w:after="0" w:line="2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Anders Ullman, M.D., Ph.D.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-2356485</wp:posOffset>
            </wp:positionH>
            <wp:positionV relativeFrom="paragraph">
              <wp:posOffset>-307975</wp:posOffset>
            </wp:positionV>
            <wp:extent cx="7089140" cy="936942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089140" cy="93694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Chairperson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February 27, 2025</w:t>
      </w:r>
    </w:p>
    <w:p>
      <w:pPr>
        <w:sectPr>
          <w:pgSz w:w="11900" w:h="16838" w:orient="portrait"/>
          <w:cols w:equalWidth="0" w:num="3">
            <w:col w:w="2400" w:space="720"/>
            <w:col w:w="5000" w:space="720"/>
            <w:col w:w="1320"/>
          </w:cols>
          <w:pgMar w:left="920" w:top="1440" w:right="819" w:bottom="6" w:gutter="0" w:footer="0" w:header="0"/>
        </w:sectPr>
      </w:pPr>
    </w:p>
    <w:bookmarkStart w:id="102" w:name="page103"/>
    <w:bookmarkEnd w:id="102"/>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03" w:name="page104"/>
    <w:bookmarkEnd w:id="103"/>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97"/>
        </w:trPr>
        <w:tc>
          <w:tcPr>
            <w:tcW w:w="20" w:type="dxa"/>
            <w:vAlign w:val="bottom"/>
            <w:shd w:val="clear" w:color="auto" w:fill="CCEEFF"/>
          </w:tcPr>
          <w:p>
            <w:pPr>
              <w:spacing w:after="0"/>
              <w:rPr>
                <w:sz w:val="24"/>
                <w:szCs w:val="24"/>
                <w:color w:val="auto"/>
              </w:rPr>
            </w:pPr>
          </w:p>
        </w:tc>
        <w:tc>
          <w:tcPr>
            <w:tcW w:w="9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42)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F-2</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(PCAOB ID: </w:t>
            </w:r>
            <w:r>
              <w:rPr>
                <w:rFonts w:ascii="Times New Roman" w:cs="Times New Roman" w:eastAsia="Times New Roman" w:hAnsi="Times New Roman"/>
                <w:sz w:val="18"/>
                <w:szCs w:val="18"/>
                <w:color w:val="000000"/>
              </w:rPr>
              <w:t>876)</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w:t>
            </w:r>
          </w:p>
        </w:tc>
      </w:tr>
      <w:tr>
        <w:trPr>
          <w:trHeight w:val="128"/>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7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Balance Sheets as of December 31, 2024 and 2023</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F-7</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Loss for the years ended December 31,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w:t>
            </w:r>
          </w:p>
        </w:tc>
      </w:tr>
      <w:tr>
        <w:trPr>
          <w:trHeight w:val="129"/>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15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Consolidated Statements of Changes in Shareholders’ Equity for the years ended December 31, 2024, 2023 and 2022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F-9</w:t>
            </w:r>
          </w:p>
        </w:tc>
      </w:tr>
      <w:tr>
        <w:trPr>
          <w:trHeight w:val="129"/>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0000FF"/>
            </w:tcBorders>
            <w:shd w:val="clear" w:color="auto" w:fill="CCEEFF"/>
          </w:tcPr>
          <w:p>
            <w:pPr>
              <w:spacing w:after="0"/>
              <w:rPr>
                <w:sz w:val="11"/>
                <w:szCs w:val="11"/>
                <w:color w:val="auto"/>
              </w:rPr>
            </w:pPr>
          </w:p>
        </w:tc>
        <w:tc>
          <w:tcPr>
            <w:tcW w:w="560" w:type="dxa"/>
            <w:vAlign w:val="bottom"/>
            <w:tcBorders>
              <w:top w:val="single" w:sz="8" w:color="0000FF"/>
            </w:tcBorders>
            <w:shd w:val="clear" w:color="auto" w:fill="CCEEFF"/>
          </w:tcPr>
          <w:p>
            <w:pPr>
              <w:spacing w:after="0"/>
              <w:rPr>
                <w:sz w:val="11"/>
                <w:szCs w:val="11"/>
                <w:color w:val="auto"/>
              </w:rPr>
            </w:pPr>
          </w:p>
        </w:tc>
        <w:tc>
          <w:tcPr>
            <w:tcW w:w="1700" w:type="dxa"/>
            <w:vAlign w:val="bottom"/>
            <w:tcBorders>
              <w:top w:val="single" w:sz="8" w:color="0000FF"/>
            </w:tcBorders>
            <w:shd w:val="clear" w:color="auto" w:fill="CCEEFF"/>
          </w:tcPr>
          <w:p>
            <w:pPr>
              <w:spacing w:after="0"/>
              <w:rPr>
                <w:sz w:val="11"/>
                <w:szCs w:val="11"/>
                <w:color w:val="auto"/>
              </w:rPr>
            </w:pPr>
          </w:p>
        </w:tc>
        <w:tc>
          <w:tcPr>
            <w:tcW w:w="1520" w:type="dxa"/>
            <w:vAlign w:val="bottom"/>
            <w:tcBorders>
              <w:top w:val="single" w:sz="8" w:color="0000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r>
        <w:trPr>
          <w:trHeight w:val="297"/>
        </w:trPr>
        <w:tc>
          <w:tcPr>
            <w:tcW w:w="20" w:type="dxa"/>
            <w:vAlign w:val="bottom"/>
          </w:tcPr>
          <w:p>
            <w:pPr>
              <w:spacing w:after="0"/>
              <w:rPr>
                <w:sz w:val="24"/>
                <w:szCs w:val="24"/>
                <w:color w:val="auto"/>
              </w:rPr>
            </w:pPr>
          </w:p>
        </w:tc>
        <w:tc>
          <w:tcPr>
            <w:tcW w:w="980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years ended December 31, 2024, 2023 and 2022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F-10</w:t>
            </w:r>
          </w:p>
        </w:tc>
      </w:tr>
      <w:tr>
        <w:trPr>
          <w:trHeight w:val="128"/>
        </w:trPr>
        <w:tc>
          <w:tcPr>
            <w:tcW w:w="20" w:type="dxa"/>
            <w:vAlign w:val="bottom"/>
          </w:tcPr>
          <w:p>
            <w:pPr>
              <w:spacing w:after="0"/>
              <w:rPr>
                <w:sz w:val="11"/>
                <w:szCs w:val="11"/>
                <w:color w:val="auto"/>
              </w:rPr>
            </w:pPr>
          </w:p>
        </w:tc>
        <w:tc>
          <w:tcPr>
            <w:tcW w:w="3160" w:type="dxa"/>
            <w:vAlign w:val="bottom"/>
            <w:tcBorders>
              <w:top w:val="single" w:sz="8" w:color="0000FF"/>
            </w:tcBorders>
          </w:tcPr>
          <w:p>
            <w:pPr>
              <w:spacing w:after="0"/>
              <w:rPr>
                <w:sz w:val="11"/>
                <w:szCs w:val="11"/>
                <w:color w:val="auto"/>
              </w:rPr>
            </w:pPr>
          </w:p>
        </w:tc>
        <w:tc>
          <w:tcPr>
            <w:tcW w:w="1500" w:type="dxa"/>
            <w:vAlign w:val="bottom"/>
            <w:tcBorders>
              <w:top w:val="single" w:sz="8" w:color="0000FF"/>
            </w:tcBorders>
          </w:tcPr>
          <w:p>
            <w:pPr>
              <w:spacing w:after="0"/>
              <w:rPr>
                <w:sz w:val="11"/>
                <w:szCs w:val="11"/>
                <w:color w:val="auto"/>
              </w:rPr>
            </w:pPr>
          </w:p>
        </w:tc>
        <w:tc>
          <w:tcPr>
            <w:tcW w:w="560" w:type="dxa"/>
            <w:vAlign w:val="bottom"/>
            <w:tcBorders>
              <w:top w:val="single" w:sz="8" w:color="0000FF"/>
            </w:tcBorders>
          </w:tcPr>
          <w:p>
            <w:pPr>
              <w:spacing w:after="0"/>
              <w:rPr>
                <w:sz w:val="11"/>
                <w:szCs w:val="11"/>
                <w:color w:val="auto"/>
              </w:rPr>
            </w:pPr>
          </w:p>
        </w:tc>
        <w:tc>
          <w:tcPr>
            <w:tcW w:w="1700" w:type="dxa"/>
            <w:vAlign w:val="bottom"/>
            <w:tcBorders>
              <w:top w:val="single" w:sz="8" w:color="0000FF"/>
            </w:tcBorders>
          </w:tcPr>
          <w:p>
            <w:pPr>
              <w:spacing w:after="0"/>
              <w:rPr>
                <w:sz w:val="11"/>
                <w:szCs w:val="11"/>
                <w:color w:val="auto"/>
              </w:rPr>
            </w:pPr>
          </w:p>
        </w:tc>
        <w:tc>
          <w:tcPr>
            <w:tcW w:w="1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20" w:type="dxa"/>
            <w:vAlign w:val="bottom"/>
          </w:tcPr>
          <w:p>
            <w:pPr>
              <w:spacing w:after="0"/>
              <w:rPr>
                <w:sz w:val="11"/>
                <w:szCs w:val="11"/>
                <w:color w:val="auto"/>
              </w:rPr>
            </w:pPr>
          </w:p>
        </w:tc>
      </w:tr>
      <w:tr>
        <w:trPr>
          <w:trHeight w:val="297"/>
        </w:trPr>
        <w:tc>
          <w:tcPr>
            <w:tcW w:w="20" w:type="dxa"/>
            <w:vAlign w:val="bottom"/>
            <w:shd w:val="clear" w:color="auto" w:fill="CCEEFF"/>
          </w:tcPr>
          <w:p>
            <w:pPr>
              <w:spacing w:after="0"/>
              <w:rPr>
                <w:sz w:val="24"/>
                <w:szCs w:val="24"/>
                <w:color w:val="auto"/>
              </w:rPr>
            </w:pPr>
          </w:p>
        </w:tc>
        <w:tc>
          <w:tcPr>
            <w:tcW w:w="98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F-11</w:t>
            </w:r>
          </w:p>
        </w:tc>
      </w:tr>
      <w:tr>
        <w:trPr>
          <w:trHeight w:val="128"/>
        </w:trPr>
        <w:tc>
          <w:tcPr>
            <w:tcW w:w="20" w:type="dxa"/>
            <w:vAlign w:val="bottom"/>
            <w:tcBorders>
              <w:top w:val="single" w:sz="8" w:color="CCEEFF"/>
            </w:tcBorders>
            <w:shd w:val="clear" w:color="auto" w:fill="CCEEFF"/>
          </w:tcPr>
          <w:p>
            <w:pPr>
              <w:spacing w:after="0"/>
              <w:rPr>
                <w:sz w:val="11"/>
                <w:szCs w:val="11"/>
                <w:color w:val="auto"/>
              </w:rPr>
            </w:pPr>
          </w:p>
        </w:tc>
        <w:tc>
          <w:tcPr>
            <w:tcW w:w="3160" w:type="dxa"/>
            <w:vAlign w:val="bottom"/>
            <w:tcBorders>
              <w:top w:val="single" w:sz="8" w:color="0000FF"/>
            </w:tcBorders>
            <w:shd w:val="clear" w:color="auto" w:fill="CCEEFF"/>
          </w:tcPr>
          <w:p>
            <w:pPr>
              <w:spacing w:after="0"/>
              <w:rPr>
                <w:sz w:val="11"/>
                <w:szCs w:val="11"/>
                <w:color w:val="auto"/>
              </w:rPr>
            </w:pPr>
          </w:p>
        </w:tc>
        <w:tc>
          <w:tcPr>
            <w:tcW w:w="150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700" w:type="dxa"/>
            <w:vAlign w:val="bottom"/>
            <w:tcBorders>
              <w:top w:val="single" w:sz="8" w:color="CCEEFF"/>
            </w:tcBorders>
            <w:shd w:val="clear" w:color="auto" w:fill="CCEEFF"/>
          </w:tcPr>
          <w:p>
            <w:pPr>
              <w:spacing w:after="0"/>
              <w:rPr>
                <w:sz w:val="11"/>
                <w:szCs w:val="11"/>
                <w:color w:val="auto"/>
              </w:rPr>
            </w:pPr>
          </w:p>
        </w:tc>
        <w:tc>
          <w:tcPr>
            <w:tcW w:w="152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1080" w:type="dxa"/>
            <w:vAlign w:val="bottom"/>
            <w:tcBorders>
              <w:top w:val="single" w:sz="8" w:color="CCEEFF"/>
            </w:tcBorders>
            <w:shd w:val="clear" w:color="auto" w:fill="CCEEFF"/>
          </w:tcPr>
          <w:p>
            <w:pPr>
              <w:spacing w:after="0"/>
              <w:rPr>
                <w:sz w:val="11"/>
                <w:szCs w:val="11"/>
                <w:color w:val="auto"/>
              </w:rPr>
            </w:pPr>
          </w:p>
        </w:tc>
        <w:tc>
          <w:tcPr>
            <w:tcW w:w="1420" w:type="dxa"/>
            <w:vAlign w:val="bottom"/>
            <w:tcBorders>
              <w:top w:val="single" w:sz="8" w:color="CCEEFF"/>
            </w:tcBorders>
            <w:shd w:val="clear" w:color="auto" w:fill="CCEEFF"/>
          </w:tcPr>
          <w:p>
            <w:pPr>
              <w:spacing w:after="0"/>
              <w:rPr>
                <w:sz w:val="11"/>
                <w:szCs w:val="1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4" w:name="page105"/>
    <w:bookmarkEnd w:id="104"/>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360" w:firstLine="3364"/>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Verona Pharma plc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have audited Verona Pharma plc’s internal control over financial reporting as of December 31, 2024, based on criteria established in Internal Control— Integrated Framework issued by the Committee of Sponsoring Organizations of the Treadway Commission (2013 framework) (the COSO criteria). In our opinion, Verona Pharma plc (the Company) maintained, in all material respects, effective internal control over financial reporting as of December 31, 2024, based on the COSO criteria.</w:t>
      </w:r>
    </w:p>
    <w:p>
      <w:pPr>
        <w:spacing w:after="0" w:line="18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consolidated balance sheets of the Company as of December 31, 2024 and the related consolidated statement of operations and comprehensive loss, shareholders’ equity and cash flows for the year ended December 31, 2024, and the related notes and our report dated February 27, 2025 expressed an unqualified opinion thereon.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0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7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ectPr>
          <w:pgSz w:w="11900" w:h="16838" w:orient="portrait"/>
          <w:cols w:equalWidth="0" w:num="1">
            <w:col w:w="11240"/>
          </w:cols>
          <w:pgMar w:left="320" w:top="1440" w:right="339" w:bottom="6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625" w:gutter="0" w:footer="0" w:header="0"/>
          <w:type w:val="continuous"/>
        </w:sectPr>
      </w:pPr>
    </w:p>
    <w:bookmarkStart w:id="106" w:name="page107"/>
    <w:bookmarkEnd w:id="106"/>
    <w:p>
      <w:pPr>
        <w:ind w:left="338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the Board of Directors of Verona Pharma plc</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Verona Pharma plc (the Company) as of December 31, 2024, the related consolidated statement of operations and comprehensive loss, shareholders’ equity and cash flows for the year ended December 31, 2024, and the related notes (collectively referred to as the “consolidated financial statements”). In our opinion, the consolidated financial statements present fairly, in all material respects, the financial position of the Company at December 31, 2024 and the results of its operations and its cash flows for the year ended December 31, 2024, in conformity with U.S. generally accepted accounting principles.</w:t>
      </w:r>
    </w:p>
    <w:p>
      <w:pPr>
        <w:spacing w:after="0" w:line="18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February 27, 2025 expressed an unqualified opinion thereon.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PCAOB.</w:t>
      </w:r>
    </w:p>
    <w:p>
      <w:pPr>
        <w:spacing w:after="0" w:line="8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21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they relate.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Revenue Interest Purchase and Sales Agreement</w:t>
      </w:r>
    </w:p>
    <w:p>
      <w:pPr>
        <w:sectPr>
          <w:pgSz w:w="11900" w:h="16838" w:orient="portrait"/>
          <w:cols w:equalWidth="0" w:num="1">
            <w:col w:w="11220"/>
          </w:cols>
          <w:pgMar w:left="320" w:top="1413" w:right="3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20" w:right="180"/>
        <w:spacing w:after="0" w:line="268" w:lineRule="auto"/>
        <w:rPr>
          <w:sz w:val="20"/>
          <w:szCs w:val="20"/>
          <w:color w:val="auto"/>
        </w:rPr>
      </w:pPr>
      <w:r>
        <w:rPr>
          <w:rFonts w:ascii="Times New Roman" w:cs="Times New Roman" w:eastAsia="Times New Roman" w:hAnsi="Times New Roman"/>
          <w:sz w:val="18"/>
          <w:szCs w:val="18"/>
          <w:i w:val="1"/>
          <w:iCs w:val="1"/>
          <w:color w:val="auto"/>
        </w:rPr>
        <w:t>Description of the Matter</w:t>
      </w:r>
    </w:p>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ind w:right="140"/>
        <w:spacing w:after="0" w:line="245" w:lineRule="auto"/>
        <w:rPr>
          <w:sz w:val="20"/>
          <w:szCs w:val="20"/>
          <w:color w:val="auto"/>
        </w:rPr>
      </w:pPr>
      <w:r>
        <w:rPr>
          <w:rFonts w:ascii="Times New Roman" w:cs="Times New Roman" w:eastAsia="Times New Roman" w:hAnsi="Times New Roman"/>
          <w:sz w:val="18"/>
          <w:szCs w:val="18"/>
          <w:color w:val="auto"/>
        </w:rPr>
        <w:t>As described in Note 5 to the consolidated financial statements, the Company entered into a Revenue Interest Purchase and Sales Agreement (“RIPSA”) with third parties. Under the terms of the RIPSA, the Company received $100 million in exchange for the right to receive royalty payments based on global net sales of the Company’s commercialized drug, Ohtuvayre, and certain proceeds from licensees outside of the US.</w:t>
      </w:r>
    </w:p>
    <w:p>
      <w:pPr>
        <w:spacing w:after="0" w:line="154" w:lineRule="exact"/>
        <w:rPr>
          <w:sz w:val="20"/>
          <w:szCs w:val="20"/>
          <w:color w:val="auto"/>
        </w:rPr>
      </w:pPr>
    </w:p>
    <w:p>
      <w:pPr>
        <w:sectPr>
          <w:pgSz w:w="11900" w:h="16838" w:orient="portrait"/>
          <w:cols w:equalWidth="0" w:num="2">
            <w:col w:w="1500" w:space="720"/>
            <w:col w:w="9000"/>
          </w:cols>
          <w:pgMar w:left="320" w:top="1413" w:right="359" w:bottom="1440" w:gutter="0" w:footer="0" w:header="0"/>
          <w:type w:val="continuous"/>
        </w:sectPr>
      </w:pPr>
    </w:p>
    <w:p>
      <w:pPr>
        <w:ind w:left="2220"/>
        <w:spacing w:after="0" w:line="238" w:lineRule="auto"/>
        <w:rPr>
          <w:sz w:val="20"/>
          <w:szCs w:val="20"/>
          <w:color w:val="auto"/>
        </w:rPr>
      </w:pPr>
      <w:r>
        <w:rPr>
          <w:rFonts w:ascii="Times New Roman" w:cs="Times New Roman" w:eastAsia="Times New Roman" w:hAnsi="Times New Roman"/>
          <w:sz w:val="18"/>
          <w:szCs w:val="18"/>
          <w:color w:val="auto"/>
        </w:rPr>
        <w:t>Proceeds from the RIPSA are recorded as liabilities (specifically revenue interest purchase security agreement on the consolidated balance sheet) and are amortized using the effective interest rate method over the estimated period the RIPSA will be repaid with the imputed interest recorded as interest expense. The carrying amount of the liability was $106.1 million as of December 31, 2024, and imputed interest expense was $12.7 million for the year ending December 31, 2024. At each reporting period, the Company reassesses the amount and timing of the payments, which are based on future global net sales, and accounts for any changes through an adjustment to the effective interest rate on a prospective basis.</w:t>
      </w:r>
    </w:p>
    <w:p>
      <w:pPr>
        <w:spacing w:after="0" w:line="159" w:lineRule="exact"/>
        <w:rPr>
          <w:sz w:val="20"/>
          <w:szCs w:val="20"/>
          <w:color w:val="auto"/>
        </w:rPr>
      </w:pPr>
    </w:p>
    <w:p>
      <w:pPr>
        <w:ind w:left="2220" w:right="40"/>
        <w:spacing w:after="0" w:line="250" w:lineRule="auto"/>
        <w:rPr>
          <w:sz w:val="20"/>
          <w:szCs w:val="20"/>
          <w:color w:val="auto"/>
        </w:rPr>
      </w:pPr>
      <w:r>
        <w:rPr>
          <w:rFonts w:ascii="Times New Roman" w:cs="Times New Roman" w:eastAsia="Times New Roman" w:hAnsi="Times New Roman"/>
          <w:sz w:val="18"/>
          <w:szCs w:val="18"/>
          <w:color w:val="auto"/>
        </w:rPr>
        <w:t>The accounting for the RIPSA was highly judgmental due to the significant estimation required to forecast global net sales. In particular, the forecasted global net sales were sensitive to significant assumptions such as the treatable patient population and rate of adoption and involves significant estimation uncertainty given the limited Ohtuvayre sales data.</w:t>
      </w:r>
    </w:p>
    <w:p>
      <w:pPr>
        <w:sectPr>
          <w:pgSz w:w="11900" w:h="16838" w:orient="portrait"/>
          <w:cols w:equalWidth="0" w:num="1">
            <w:col w:w="11220"/>
          </w:cols>
          <w:pgMar w:left="320" w:top="1413" w:right="359" w:bottom="1440" w:gutter="0" w:footer="0" w:header="0"/>
          <w:type w:val="continuous"/>
        </w:sectPr>
      </w:pPr>
    </w:p>
    <w:p>
      <w:pPr>
        <w:spacing w:after="0" w:line="200" w:lineRule="exact"/>
        <w:rPr>
          <w:sz w:val="20"/>
          <w:szCs w:val="20"/>
          <w:color w:val="auto"/>
        </w:rPr>
      </w:pPr>
    </w:p>
    <w:p>
      <w:pPr>
        <w:spacing w:after="0" w:line="285" w:lineRule="exact"/>
        <w:rPr>
          <w:sz w:val="20"/>
          <w:szCs w:val="20"/>
          <w:color w:val="auto"/>
        </w:rPr>
      </w:pPr>
    </w:p>
    <w:p>
      <w:pPr>
        <w:ind w:left="20"/>
        <w:spacing w:after="0" w:line="298" w:lineRule="auto"/>
        <w:rPr>
          <w:sz w:val="20"/>
          <w:szCs w:val="20"/>
          <w:color w:val="auto"/>
        </w:rPr>
      </w:pPr>
      <w:r>
        <w:rPr>
          <w:rFonts w:ascii="Times New Roman" w:cs="Times New Roman" w:eastAsia="Times New Roman" w:hAnsi="Times New Roman"/>
          <w:sz w:val="17"/>
          <w:szCs w:val="17"/>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ind w:right="220"/>
        <w:spacing w:after="0" w:line="250" w:lineRule="auto"/>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 over the Company’s processes to account for the RIPSA, including controls over management’s review of the forecasted global net sales and proceeds from licensees.</w:t>
      </w:r>
    </w:p>
    <w:p>
      <w:pPr>
        <w:spacing w:after="0" w:line="150" w:lineRule="exact"/>
        <w:rPr>
          <w:sz w:val="20"/>
          <w:szCs w:val="20"/>
          <w:color w:val="auto"/>
        </w:rPr>
      </w:pPr>
    </w:p>
    <w:p>
      <w:pPr>
        <w:sectPr>
          <w:pgSz w:w="11900" w:h="16838" w:orient="portrait"/>
          <w:cols w:equalWidth="0" w:num="2">
            <w:col w:w="1660" w:space="560"/>
            <w:col w:w="9000"/>
          </w:cols>
          <w:pgMar w:left="320" w:top="1413" w:right="359" w:bottom="1440" w:gutter="0" w:footer="0" w:header="0"/>
          <w:type w:val="continuous"/>
        </w:sectPr>
      </w:pPr>
    </w:p>
    <w:p>
      <w:pPr>
        <w:ind w:left="2220" w:right="20"/>
        <w:spacing w:after="0" w:line="239" w:lineRule="auto"/>
        <w:rPr>
          <w:sz w:val="20"/>
          <w:szCs w:val="20"/>
          <w:color w:val="auto"/>
        </w:rPr>
      </w:pPr>
      <w:r>
        <w:rPr>
          <w:rFonts w:ascii="Times New Roman" w:cs="Times New Roman" w:eastAsia="Times New Roman" w:hAnsi="Times New Roman"/>
          <w:sz w:val="18"/>
          <w:szCs w:val="18"/>
          <w:color w:val="auto"/>
        </w:rPr>
        <w:t>To evaluate the accounting for the RIPSA, our audit procedures included, among others, assessing management’s forecasted global net sales and other assumptions included in the model. We compared the significant assumptions noted above with current industry, market and economic trends, assessed the accuracy of management’s historical projections of global net sales and performed sensitivity analyses of the significant assumptions to evaluate changes in the RIPSA liability and related interest expense.</w:t>
      </w:r>
    </w:p>
    <w:p>
      <w:pPr>
        <w:sectPr>
          <w:pgSz w:w="11900" w:h="16838" w:orient="portrait"/>
          <w:cols w:equalWidth="0" w:num="1">
            <w:col w:w="11220"/>
          </w:cols>
          <w:pgMar w:left="320" w:top="1413"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type w:val="continuous"/>
        </w:sectPr>
      </w:pPr>
    </w:p>
    <w:bookmarkStart w:id="108" w:name="page109"/>
    <w:bookmarkEnd w:id="108"/>
    <w:p>
      <w:pPr>
        <w:spacing w:after="0" w:line="190" w:lineRule="exact"/>
        <w:rPr>
          <w:sz w:val="20"/>
          <w:szCs w:val="20"/>
          <w:color w:val="auto"/>
        </w:rPr>
      </w:pPr>
    </w:p>
    <w:p>
      <w:pPr>
        <w:ind w:right="3360" w:firstLine="3364"/>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Shareholders of Verona Pharma plc</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0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We have audited the consolidated balance sheet of Verona Pharma plc and its subsidiaries (the “Company”) as of December 31, 2023, and the related consolidated statements of operations and comprehensive loss, of shareholders’ equity and of cash flows for each of the two years in the period ended December 31, 2023, including the related notes (collectively referred to as the “consolidated financial statements”). In our opinion, the consolidated financial statements present fairly, in all material respects, the financial position of the Company as of December 31, 2023, and the results of its operations and its cash flows for each of the two years in the period ended December 31, 2023 in conformity with accounting principles generally accepted in the United States of America.</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Reading, United Kingdom</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29, 2024</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2015 to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28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2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828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399,757</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271,772</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31,496</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7,573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3,617</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Tax incentive receivable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5,762</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2,735</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3,365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453,572</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289,708</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Furniture and equipment, net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Inventory, long-term</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Equity interest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Right-of-use assets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2,847</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20,670</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18,416</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474,242</w:t>
            </w:r>
          </w:p>
        </w:tc>
        <w:tc>
          <w:tcPr>
            <w:tcW w:w="120" w:type="dxa"/>
            <w:vAlign w:val="bottom"/>
          </w:tcPr>
          <w:p>
            <w:pPr>
              <w:spacing w:after="0"/>
              <w:rPr>
                <w:sz w:val="17"/>
                <w:szCs w:val="17"/>
                <w:color w:val="auto"/>
              </w:rPr>
            </w:pPr>
          </w:p>
        </w:tc>
        <w:tc>
          <w:tcPr>
            <w:tcW w:w="46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308,124</w:t>
            </w:r>
          </w:p>
        </w:tc>
        <w:tc>
          <w:tcPr>
            <w:tcW w:w="0" w:type="dxa"/>
            <w:vAlign w:val="bottom"/>
          </w:tcPr>
          <w:p>
            <w:pPr>
              <w:spacing w:after="0"/>
              <w:rPr>
                <w:sz w:val="1"/>
                <w:szCs w:val="1"/>
                <w:color w:val="auto"/>
              </w:rPr>
            </w:pP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8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80" w:type="dxa"/>
            <w:vAlign w:val="bottom"/>
          </w:tcPr>
          <w:p>
            <w:pPr>
              <w:ind w:left="38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11,266</w:t>
            </w:r>
          </w:p>
        </w:tc>
        <w:tc>
          <w:tcPr>
            <w:tcW w:w="120" w:type="dxa"/>
            <w:vAlign w:val="bottom"/>
          </w:tcPr>
          <w:p>
            <w:pPr>
              <w:spacing w:after="0"/>
              <w:rPr>
                <w:sz w:val="18"/>
                <w:szCs w:val="18"/>
                <w:color w:val="auto"/>
              </w:rPr>
            </w:pPr>
          </w:p>
        </w:tc>
        <w:tc>
          <w:tcPr>
            <w:tcW w:w="4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3,492</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16,757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3,585</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Royalties payable</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 interest purchase and sale agreement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Current operating lease liabilities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payable</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42,681</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8,692</w:t>
            </w:r>
          </w:p>
        </w:tc>
        <w:tc>
          <w:tcPr>
            <w:tcW w:w="0" w:type="dxa"/>
            <w:vAlign w:val="bottom"/>
          </w:tcPr>
          <w:p>
            <w:pPr>
              <w:spacing w:after="0"/>
              <w:rPr>
                <w:sz w:val="1"/>
                <w:szCs w:val="1"/>
                <w:color w:val="auto"/>
              </w:rPr>
            </w:pPr>
          </w:p>
        </w:tc>
      </w:tr>
      <w:tr>
        <w:trPr>
          <w:trHeight w:val="203"/>
        </w:trPr>
        <w:tc>
          <w:tcPr>
            <w:tcW w:w="8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Term loan</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120,341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48,374</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Revenue interest purchase and sale agreement</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105,420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2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Non-current operating lease liabilities</w:t>
            </w: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1,775</w:t>
            </w:r>
          </w:p>
        </w:tc>
        <w:tc>
          <w:tcPr>
            <w:tcW w:w="0" w:type="dxa"/>
            <w:vAlign w:val="bottom"/>
          </w:tcPr>
          <w:p>
            <w:pPr>
              <w:spacing w:after="0"/>
              <w:rPr>
                <w:sz w:val="1"/>
                <w:szCs w:val="1"/>
                <w:color w:val="auto"/>
              </w:rPr>
            </w:pPr>
          </w:p>
        </w:tc>
      </w:tr>
      <w:tr>
        <w:trPr>
          <w:trHeight w:val="212"/>
        </w:trPr>
        <w:tc>
          <w:tcPr>
            <w:tcW w:w="82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227,002</w:t>
            </w:r>
          </w:p>
        </w:tc>
        <w:tc>
          <w:tcPr>
            <w:tcW w:w="1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50,149</w:t>
            </w:r>
          </w:p>
        </w:tc>
        <w:tc>
          <w:tcPr>
            <w:tcW w:w="0" w:type="dxa"/>
            <w:vAlign w:val="bottom"/>
          </w:tcPr>
          <w:p>
            <w:pPr>
              <w:spacing w:after="0"/>
              <w:rPr>
                <w:sz w:val="1"/>
                <w:szCs w:val="1"/>
                <w:color w:val="auto"/>
              </w:rPr>
            </w:pPr>
          </w:p>
        </w:tc>
      </w:tr>
      <w:tr>
        <w:trPr>
          <w:trHeight w:val="207"/>
        </w:trPr>
        <w:tc>
          <w:tcPr>
            <w:tcW w:w="828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269,683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58,841</w:t>
            </w:r>
          </w:p>
        </w:tc>
        <w:tc>
          <w:tcPr>
            <w:tcW w:w="0" w:type="dxa"/>
            <w:vAlign w:val="bottom"/>
          </w:tcPr>
          <w:p>
            <w:pPr>
              <w:spacing w:after="0"/>
              <w:rPr>
                <w:sz w:val="1"/>
                <w:szCs w:val="1"/>
                <w:color w:val="auto"/>
              </w:rPr>
            </w:pPr>
          </w:p>
        </w:tc>
      </w:tr>
      <w:tr>
        <w:trPr>
          <w:trHeight w:val="205"/>
        </w:trPr>
        <w:tc>
          <w:tcPr>
            <w:tcW w:w="8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8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Ordinary £0.05 par value shares: 703,189,462 and 667,659,630 issued, and 677,008,254 and 643,536,094 outstanding, at</w:t>
            </w:r>
          </w:p>
        </w:tc>
        <w:tc>
          <w:tcPr>
            <w:tcW w:w="300" w:type="dxa"/>
            <w:vAlign w:val="bottom"/>
            <w:shd w:val="clear" w:color="auto" w:fill="CCEEFF"/>
          </w:tcPr>
          <w:p>
            <w:pPr>
              <w:spacing w:after="0"/>
              <w:rPr>
                <w:sz w:val="23"/>
                <w:szCs w:val="23"/>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0" w:type="dxa"/>
            <w:vAlign w:val="bottom"/>
          </w:tcPr>
          <w:p>
            <w:pPr>
              <w:spacing w:after="0"/>
              <w:rPr>
                <w:sz w:val="1"/>
                <w:szCs w:val="1"/>
                <w:color w:val="auto"/>
              </w:rPr>
            </w:pPr>
          </w:p>
        </w:tc>
      </w:tr>
      <w:tr>
        <w:trPr>
          <w:trHeight w:val="129"/>
        </w:trPr>
        <w:tc>
          <w:tcPr>
            <w:tcW w:w="82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31, 2024 and 2023, respectively</w:t>
            </w:r>
          </w:p>
        </w:tc>
        <w:tc>
          <w:tcPr>
            <w:tcW w:w="300" w:type="dxa"/>
            <w:vAlign w:val="bottom"/>
            <w:shd w:val="clear" w:color="auto" w:fill="CCEEFF"/>
          </w:tcPr>
          <w:p>
            <w:pPr>
              <w:spacing w:after="0"/>
              <w:rPr>
                <w:sz w:val="11"/>
                <w:szCs w:val="11"/>
                <w:color w:val="auto"/>
              </w:rPr>
            </w:pPr>
          </w:p>
        </w:tc>
        <w:tc>
          <w:tcPr>
            <w:tcW w:w="108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9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8280" w:type="dxa"/>
            <w:vAlign w:val="bottom"/>
            <w:vMerge w:val="continue"/>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82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728,199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601,063</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Ordinary shares held in treasury</w:t>
            </w: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0" w:type="dxa"/>
            <w:vAlign w:val="bottom"/>
          </w:tcPr>
          <w:p>
            <w:pPr>
              <w:spacing w:after="0"/>
              <w:rPr>
                <w:sz w:val="1"/>
                <w:szCs w:val="1"/>
                <w:color w:val="auto"/>
              </w:rPr>
            </w:pPr>
          </w:p>
        </w:tc>
      </w:tr>
      <w:tr>
        <w:trPr>
          <w:trHeight w:val="213"/>
        </w:trPr>
        <w:tc>
          <w:tcPr>
            <w:tcW w:w="82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0" w:type="dxa"/>
            <w:vAlign w:val="bottom"/>
          </w:tcPr>
          <w:p>
            <w:pPr>
              <w:spacing w:after="0"/>
              <w:rPr>
                <w:sz w:val="1"/>
                <w:szCs w:val="1"/>
                <w:color w:val="auto"/>
              </w:rPr>
            </w:pPr>
          </w:p>
        </w:tc>
      </w:tr>
      <w:tr>
        <w:trPr>
          <w:trHeight w:val="219"/>
        </w:trPr>
        <w:tc>
          <w:tcPr>
            <w:tcW w:w="82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Accumulated deficit</w:t>
            </w: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(562,401)</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(388,433)</w:t>
            </w:r>
          </w:p>
        </w:tc>
        <w:tc>
          <w:tcPr>
            <w:tcW w:w="0" w:type="dxa"/>
            <w:vAlign w:val="bottom"/>
          </w:tcPr>
          <w:p>
            <w:pPr>
              <w:spacing w:after="0"/>
              <w:rPr>
                <w:sz w:val="1"/>
                <w:szCs w:val="1"/>
                <w:color w:val="auto"/>
              </w:rPr>
            </w:pPr>
          </w:p>
        </w:tc>
      </w:tr>
      <w:tr>
        <w:trPr>
          <w:trHeight w:val="207"/>
        </w:trPr>
        <w:tc>
          <w:tcPr>
            <w:tcW w:w="82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204,559</w:t>
            </w:r>
          </w:p>
        </w:tc>
        <w:tc>
          <w:tcPr>
            <w:tcW w:w="120" w:type="dxa"/>
            <w:vAlign w:val="bottom"/>
            <w:tcBorders>
              <w:bottom w:val="single" w:sz="8" w:color="CCEEFF"/>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249,283</w:t>
            </w:r>
          </w:p>
        </w:tc>
        <w:tc>
          <w:tcPr>
            <w:tcW w:w="0" w:type="dxa"/>
            <w:vAlign w:val="bottom"/>
          </w:tcPr>
          <w:p>
            <w:pPr>
              <w:spacing w:after="0"/>
              <w:rPr>
                <w:sz w:val="1"/>
                <w:szCs w:val="1"/>
                <w:color w:val="auto"/>
              </w:rPr>
            </w:pPr>
          </w:p>
        </w:tc>
      </w:tr>
      <w:tr>
        <w:trPr>
          <w:trHeight w:val="235"/>
        </w:trPr>
        <w:tc>
          <w:tcPr>
            <w:tcW w:w="82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474,242</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308,124</w:t>
            </w:r>
          </w:p>
        </w:tc>
        <w:tc>
          <w:tcPr>
            <w:tcW w:w="0" w:type="dxa"/>
            <w:vAlign w:val="bottom"/>
          </w:tcPr>
          <w:p>
            <w:pPr>
              <w:spacing w:after="0"/>
              <w:rPr>
                <w:sz w:val="1"/>
                <w:szCs w:val="1"/>
                <w:color w:val="auto"/>
              </w:rPr>
            </w:pPr>
          </w:p>
        </w:tc>
      </w:tr>
      <w:tr>
        <w:trPr>
          <w:trHeight w:val="20"/>
        </w:trPr>
        <w:tc>
          <w:tcPr>
            <w:tcW w:w="82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20"/>
          </w:cols>
          <w:pgMar w:left="320" w:top="11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37"/>
        </w:trPr>
        <w:tc>
          <w:tcPr>
            <w:tcW w:w="69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186"/>
        </w:trPr>
        <w:tc>
          <w:tcPr>
            <w:tcW w:w="6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9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1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Product sales, net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42,261</w:t>
            </w:r>
          </w:p>
        </w:tc>
        <w:tc>
          <w:tcPr>
            <w:tcW w:w="3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revenue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42,279</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0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Cost of sales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49,283</w:t>
            </w:r>
          </w:p>
        </w:tc>
      </w:tr>
      <w:tr>
        <w:trPr>
          <w:trHeight w:val="229"/>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149,750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50,353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196,906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76,208</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(154,627)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(75,750)</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 tax credit</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30"/>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9"/>
        </w:trPr>
        <w:tc>
          <w:tcPr>
            <w:tcW w:w="6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2,821</w:t>
            </w:r>
          </w:p>
        </w:tc>
      </w:tr>
      <w:tr>
        <w:trPr>
          <w:trHeight w:val="229"/>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(23,542)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w:t>
            </w:r>
          </w:p>
        </w:tc>
      </w:tr>
      <w:tr>
        <w:trPr>
          <w:trHeight w:val="230"/>
        </w:trPr>
        <w:tc>
          <w:tcPr>
            <w:tcW w:w="6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(3,817)</w:t>
            </w:r>
          </w:p>
        </w:tc>
      </w:tr>
      <w:tr>
        <w:trPr>
          <w:trHeight w:val="223"/>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(expense)/income, net</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7,302</w:t>
            </w:r>
          </w:p>
        </w:tc>
      </w:tr>
      <w:tr>
        <w:trPr>
          <w:trHeight w:val="223"/>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(68,448)</w:t>
            </w:r>
          </w:p>
        </w:tc>
      </w:tr>
      <w:tr>
        <w:trPr>
          <w:trHeight w:val="338"/>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(10,289)</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108"/>
        </w:trPr>
        <w:tc>
          <w:tcPr>
            <w:tcW w:w="69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40" w:type="dxa"/>
            <w:vAlign w:val="bottom"/>
            <w:tcBorders>
              <w:bottom w:val="single" w:sz="8" w:color="auto"/>
            </w:tcBorders>
            <w:shd w:val="clear" w:color="auto" w:fill="CCEEFF"/>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0" w:type="dxa"/>
            <w:vAlign w:val="bottom"/>
            <w:tcBorders>
              <w:bottom w:val="single" w:sz="8" w:color="auto"/>
            </w:tcBorders>
            <w:shd w:val="clear" w:color="auto" w:fill="CCEEFF"/>
          </w:tcPr>
          <w:p>
            <w:pPr>
              <w:spacing w:after="0"/>
              <w:rPr>
                <w:sz w:val="9"/>
                <w:szCs w:val="9"/>
                <w:color w:val="auto"/>
              </w:rPr>
            </w:pPr>
          </w:p>
        </w:tc>
        <w:tc>
          <w:tcPr>
            <w:tcW w:w="1120" w:type="dxa"/>
            <w:vAlign w:val="bottom"/>
            <w:tcBorders>
              <w:bottom w:val="single" w:sz="8" w:color="auto"/>
            </w:tcBorders>
            <w:shd w:val="clear" w:color="auto" w:fill="CCEEFF"/>
          </w:tcPr>
          <w:p>
            <w:pPr>
              <w:spacing w:after="0"/>
              <w:rPr>
                <w:sz w:val="9"/>
                <w:szCs w:val="9"/>
                <w:color w:val="auto"/>
              </w:rPr>
            </w:pPr>
          </w:p>
        </w:tc>
      </w:tr>
      <w:tr>
        <w:trPr>
          <w:trHeight w:val="196"/>
        </w:trPr>
        <w:tc>
          <w:tcPr>
            <w:tcW w:w="690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(173,418)</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(54,369)</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(68,701)</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49"/>
        </w:trPr>
        <w:tc>
          <w:tcPr>
            <w:tcW w:w="69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Loss per ordinary share — basic and diluted</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6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0"/>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652,310,582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634,142,660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529,071,526</w:t>
            </w:r>
          </w:p>
        </w:tc>
      </w:tr>
      <w:tr>
        <w:trPr>
          <w:trHeight w:val="405"/>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1" w:name="page112"/>
    <w:bookmarkEnd w:id="1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2520" w:type="dxa"/>
        <w:tblCellMar>
          <w:top w:w="0" w:type="dxa"/>
          <w:left w:w="0" w:type="dxa"/>
          <w:bottom w:w="0" w:type="dxa"/>
          <w:right w:w="0" w:type="dxa"/>
        </w:tblCellMar>
      </w:tblPr>
      <w:tr>
        <w:trPr>
          <w:trHeight w:val="190"/>
        </w:trPr>
        <w:tc>
          <w:tcPr>
            <w:tcW w:w="2280" w:type="dxa"/>
            <w:vAlign w:val="bottom"/>
            <w:gridSpan w:val="2"/>
          </w:tcPr>
          <w:p>
            <w:pPr>
              <w:ind w:left="6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5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4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37"/>
        </w:trPr>
        <w:tc>
          <w:tcPr>
            <w:tcW w:w="1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11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63"/>
        </w:trPr>
        <w:tc>
          <w:tcPr>
            <w:tcW w:w="12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13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0"/>
        </w:trPr>
        <w:tc>
          <w:tcPr>
            <w:tcW w:w="124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tcPr>
          <w:p>
            <w:pPr>
              <w:ind w:left="3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held in treasury</w:t>
            </w:r>
          </w:p>
        </w:tc>
        <w:tc>
          <w:tcPr>
            <w:tcW w:w="15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40" w:type="dxa"/>
            <w:vAlign w:val="bottom"/>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23495</wp:posOffset>
            </wp:positionV>
            <wp:extent cx="7080885" cy="1631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p>
      <w:pPr>
        <w:spacing w:after="0" w:line="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Balance at January 1, 2022</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280"/>
        <w:spacing w:after="0" w:line="245" w:lineRule="auto"/>
        <w:rPr>
          <w:sz w:val="20"/>
          <w:szCs w:val="20"/>
          <w:color w:val="auto"/>
        </w:rPr>
      </w:pPr>
      <w:r>
        <w:rPr>
          <w:rFonts w:ascii="Times New Roman" w:cs="Times New Roman" w:eastAsia="Times New Roman" w:hAnsi="Times New Roman"/>
          <w:sz w:val="16"/>
          <w:szCs w:val="16"/>
          <w:color w:val="auto"/>
        </w:rPr>
        <w:t>Issuance of ordinary shares, net of issuance costs</w:t>
      </w:r>
    </w:p>
    <w:p>
      <w:pPr>
        <w:spacing w:after="0" w:line="2" w:lineRule="exact"/>
        <w:rPr>
          <w:sz w:val="20"/>
          <w:szCs w:val="20"/>
          <w:color w:val="auto"/>
        </w:rPr>
      </w:pPr>
    </w:p>
    <w:p>
      <w:pPr>
        <w:ind w:left="280" w:right="260"/>
        <w:spacing w:after="0" w:line="232" w:lineRule="auto"/>
        <w:rPr>
          <w:sz w:val="20"/>
          <w:szCs w:val="20"/>
          <w:color w:val="auto"/>
        </w:rPr>
      </w:pPr>
      <w:r>
        <w:rPr>
          <w:rFonts w:ascii="Times New Roman" w:cs="Times New Roman" w:eastAsia="Times New Roman" w:hAnsi="Times New Roman"/>
          <w:sz w:val="16"/>
          <w:szCs w:val="16"/>
          <w:color w:val="auto"/>
        </w:rPr>
        <w:t>Issuance of common shares under at-the-market sales agreement</w:t>
      </w:r>
    </w:p>
    <w:p>
      <w:pPr>
        <w:spacing w:after="0" w:line="6" w:lineRule="exact"/>
        <w:rPr>
          <w:sz w:val="20"/>
          <w:szCs w:val="20"/>
          <w:color w:val="auto"/>
        </w:rPr>
      </w:pPr>
    </w:p>
    <w:p>
      <w:pPr>
        <w:ind w:left="280" w:right="100"/>
        <w:spacing w:after="0" w:line="245" w:lineRule="auto"/>
        <w:rPr>
          <w:sz w:val="20"/>
          <w:szCs w:val="20"/>
          <w:color w:val="auto"/>
        </w:rPr>
      </w:pPr>
      <w:r>
        <w:rPr>
          <w:rFonts w:ascii="Times New Roman" w:cs="Times New Roman" w:eastAsia="Times New Roman" w:hAnsi="Times New Roman"/>
          <w:sz w:val="16"/>
          <w:szCs w:val="16"/>
          <w:color w:val="auto"/>
        </w:rPr>
        <w:t>Issuance of ordinary shares to treasury</w:t>
      </w:r>
    </w:p>
    <w:p>
      <w:pPr>
        <w:spacing w:after="0" w:line="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Restricted share units vested</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 options exercised</w:t>
      </w:r>
    </w:p>
    <w:p>
      <w:pPr>
        <w:spacing w:after="0" w:line="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32" w:lineRule="exact"/>
        <w:rPr>
          <w:sz w:val="20"/>
          <w:szCs w:val="20"/>
          <w:color w:val="auto"/>
        </w:rPr>
      </w:pPr>
    </w:p>
    <w:p>
      <w:pPr>
        <w:ind w:left="280" w:right="160"/>
        <w:spacing w:after="0" w:line="245" w:lineRule="auto"/>
        <w:rPr>
          <w:sz w:val="20"/>
          <w:szCs w:val="20"/>
          <w:color w:val="auto"/>
        </w:rPr>
      </w:pPr>
      <w:r>
        <w:rPr>
          <w:rFonts w:ascii="Times New Roman" w:cs="Times New Roman" w:eastAsia="Times New Roman" w:hAnsi="Times New Roman"/>
          <w:sz w:val="16"/>
          <w:szCs w:val="16"/>
          <w:color w:val="auto"/>
        </w:rPr>
        <w:t>Common shares withheld for taxes on vested share awards</w:t>
      </w:r>
    </w:p>
    <w:p>
      <w:pPr>
        <w:spacing w:after="0" w:line="2" w:lineRule="exact"/>
        <w:rPr>
          <w:sz w:val="20"/>
          <w:szCs w:val="20"/>
          <w:color w:val="auto"/>
        </w:rPr>
      </w:pPr>
    </w:p>
    <w:p>
      <w:pPr>
        <w:ind w:left="280" w:right="180"/>
        <w:spacing w:after="0" w:line="232" w:lineRule="auto"/>
        <w:rPr>
          <w:sz w:val="20"/>
          <w:szCs w:val="20"/>
          <w:color w:val="auto"/>
        </w:rPr>
      </w:pPr>
      <w:r>
        <w:rPr>
          <w:rFonts w:ascii="Times New Roman" w:cs="Times New Roman" w:eastAsia="Times New Roman" w:hAnsi="Times New Roman"/>
          <w:sz w:val="16"/>
          <w:szCs w:val="16"/>
          <w:color w:val="auto"/>
        </w:rPr>
        <w:t>Equity settled share-based compensation reclassified as cash-settled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489,177,550</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31,855</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385,070</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1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(263,716)</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148,005</w:t>
            </w:r>
          </w:p>
        </w:tc>
      </w:tr>
      <w:tr>
        <w:trPr>
          <w:trHeight w:val="23"/>
        </w:trPr>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(68,701)</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(68,701)</w:t>
            </w:r>
          </w:p>
        </w:tc>
      </w:tr>
      <w:tr>
        <w:trPr>
          <w:trHeight w:val="297"/>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114,080,000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133,279</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140,197</w:t>
            </w:r>
          </w:p>
        </w:tc>
      </w:tr>
      <w:tr>
        <w:trPr>
          <w:trHeight w:val="459"/>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80,696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r>
      <w:tr>
        <w:trPr>
          <w:trHeight w:val="459"/>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28,000,000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97"/>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1,372</w:t>
            </w:r>
          </w:p>
        </w:tc>
      </w:tr>
      <w:tr>
        <w:trPr>
          <w:trHeight w:val="216"/>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14,121</w:t>
            </w:r>
          </w:p>
        </w:tc>
      </w:tr>
      <w:tr>
        <w:trPr>
          <w:trHeight w:val="297"/>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r>
      <w:tr>
        <w:trPr>
          <w:trHeight w:val="459"/>
        </w:trPr>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-1710055</wp:posOffset>
            </wp:positionV>
            <wp:extent cx="7080885" cy="2400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080885" cy="240030"/>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-1127125</wp:posOffset>
            </wp:positionV>
            <wp:extent cx="7080885" cy="24003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7080885" cy="240030"/>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-749935</wp:posOffset>
            </wp:positionV>
            <wp:extent cx="7080885"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7080885" cy="137160"/>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-475615</wp:posOffset>
            </wp:positionV>
            <wp:extent cx="7080885" cy="24003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7080885" cy="240030"/>
                    </a:xfrm>
                    <a:prstGeom prst="rect">
                      <a:avLst/>
                    </a:prstGeom>
                    <a:noFill/>
                  </pic:spPr>
                </pic:pic>
              </a:graphicData>
            </a:graphic>
          </wp:anchor>
        </w:drawing>
        <w:drawing>
          <wp:anchor simplePos="0" relativeHeight="251657728" behindDoc="1" locked="0" layoutInCell="0" allowOverlap="1">
            <wp:simplePos x="0" y="0"/>
            <wp:positionH relativeFrom="column">
              <wp:posOffset>-1568450</wp:posOffset>
            </wp:positionH>
            <wp:positionV relativeFrom="paragraph">
              <wp:posOffset>106680</wp:posOffset>
            </wp:positionV>
            <wp:extent cx="708088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080885" cy="163195"/>
                    </a:xfrm>
                    <a:prstGeom prst="rect">
                      <a:avLst/>
                    </a:prstGeom>
                    <a:noFill/>
                  </pic:spPr>
                </pic:pic>
              </a:graphicData>
            </a:graphic>
          </wp:anchor>
        </w:drawing>
      </w:r>
    </w:p>
    <w:p>
      <w:pPr>
        <w:spacing w:after="0" w:line="162" w:lineRule="exact"/>
        <w:rPr>
          <w:sz w:val="20"/>
          <w:szCs w:val="20"/>
          <w:color w:val="auto"/>
        </w:rPr>
      </w:pPr>
    </w:p>
    <w:p>
      <w:pPr>
        <w:sectPr>
          <w:pgSz w:w="11900" w:h="16838" w:orient="portrait"/>
          <w:cols w:equalWidth="0" w:num="2">
            <w:col w:w="2320" w:space="200"/>
            <w:col w:w="8680"/>
          </w:cols>
          <w:pgMar w:left="320" w:top="117" w:right="379" w:bottom="1440" w:gutter="0" w:footer="0" w:header="0"/>
          <w:type w:val="continuous"/>
        </w:sectPr>
      </w:pPr>
    </w:p>
    <w:p>
      <w:pPr>
        <w:spacing w:after="0" w:line="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Balance at December 31, 2022</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loss</w:t>
      </w:r>
    </w:p>
    <w:p>
      <w:pPr>
        <w:spacing w:after="0" w:line="46" w:lineRule="exact"/>
        <w:rPr>
          <w:sz w:val="20"/>
          <w:szCs w:val="20"/>
          <w:color w:val="auto"/>
        </w:rPr>
      </w:pPr>
    </w:p>
    <w:p>
      <w:pPr>
        <w:ind w:left="280" w:right="160"/>
        <w:spacing w:after="0" w:line="232" w:lineRule="auto"/>
        <w:rPr>
          <w:sz w:val="20"/>
          <w:szCs w:val="20"/>
          <w:color w:val="auto"/>
        </w:rPr>
      </w:pPr>
      <w:r>
        <w:rPr>
          <w:rFonts w:ascii="Times New Roman" w:cs="Times New Roman" w:eastAsia="Times New Roman" w:hAnsi="Times New Roman"/>
          <w:sz w:val="16"/>
          <w:szCs w:val="16"/>
          <w:color w:val="auto"/>
        </w:rPr>
        <w:t>Issuance of common shares under at-the-market sales agreement</w:t>
      </w:r>
    </w:p>
    <w:p>
      <w:pPr>
        <w:spacing w:after="0" w:line="6" w:lineRule="exact"/>
        <w:rPr>
          <w:sz w:val="20"/>
          <w:szCs w:val="20"/>
          <w:color w:val="auto"/>
        </w:rPr>
      </w:pPr>
    </w:p>
    <w:p>
      <w:pPr>
        <w:ind w:left="280"/>
        <w:spacing w:after="0" w:line="245" w:lineRule="auto"/>
        <w:rPr>
          <w:sz w:val="20"/>
          <w:szCs w:val="20"/>
          <w:color w:val="auto"/>
        </w:rPr>
      </w:pPr>
      <w:r>
        <w:rPr>
          <w:rFonts w:ascii="Times New Roman" w:cs="Times New Roman" w:eastAsia="Times New Roman" w:hAnsi="Times New Roman"/>
          <w:sz w:val="16"/>
          <w:szCs w:val="16"/>
          <w:color w:val="auto"/>
        </w:rPr>
        <w:t>Issuance of ordinary shares to treasury</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631,338,246</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40,526</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529,187</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(1,549)</w:t>
            </w:r>
          </w:p>
        </w:tc>
        <w:tc>
          <w:tcPr>
            <w:tcW w:w="10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(333,097)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230,466</w:t>
            </w:r>
          </w:p>
        </w:tc>
      </w:tr>
      <w:tr>
        <w:trPr>
          <w:trHeight w:val="23"/>
        </w:trPr>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04"/>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(54,369)</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(54,369)</w:t>
            </w:r>
          </w:p>
        </w:tc>
      </w:tr>
      <w:tr>
        <w:trPr>
          <w:trHeight w:val="378"/>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20,321,384</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55,682</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56,909</w:t>
            </w:r>
          </w:p>
        </w:tc>
      </w:tr>
      <w:tr>
        <w:trPr>
          <w:trHeight w:val="459"/>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16,000,000</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-1568450</wp:posOffset>
            </wp:positionH>
            <wp:positionV relativeFrom="paragraph">
              <wp:posOffset>-527050</wp:posOffset>
            </wp:positionV>
            <wp:extent cx="7080885" cy="3429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080885" cy="34290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2220" w:space="300"/>
            <w:col w:w="8680"/>
          </w:cols>
          <w:pgMar w:left="320" w:top="117" w:right="379" w:bottom="1440" w:gutter="0" w:footer="0" w:header="0"/>
          <w:type w:val="continuous"/>
        </w:sectPr>
      </w:pPr>
    </w:p>
    <w:tbl>
      <w:tblPr>
        <w:tblLayout w:type="fixed"/>
        <w:tblInd w:w="40" w:type="dxa"/>
        <w:tblCellMar>
          <w:top w:w="0" w:type="dxa"/>
          <w:left w:w="0" w:type="dxa"/>
          <w:bottom w:w="0" w:type="dxa"/>
          <w:right w:w="0" w:type="dxa"/>
        </w:tblCellMar>
      </w:tblPr>
      <w:tr>
        <w:trPr>
          <w:trHeight w:val="202"/>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Common shares withheld for</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129"/>
        </w:trPr>
        <w:tc>
          <w:tcPr>
            <w:tcW w:w="24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taxes on vested share awards</w:t>
            </w:r>
          </w:p>
        </w:tc>
        <w:tc>
          <w:tcPr>
            <w:tcW w:w="140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248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Equity settled share-based</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0" w:type="dxa"/>
            <w:vAlign w:val="bottom"/>
          </w:tcPr>
          <w:p>
            <w:pPr>
              <w:spacing w:after="0"/>
              <w:rPr>
                <w:sz w:val="1"/>
                <w:szCs w:val="1"/>
                <w:color w:val="auto"/>
              </w:rPr>
            </w:pPr>
          </w:p>
        </w:tc>
      </w:tr>
      <w:tr>
        <w:trPr>
          <w:trHeight w:val="162"/>
        </w:trPr>
        <w:tc>
          <w:tcPr>
            <w:tcW w:w="2480" w:type="dxa"/>
            <w:vAlign w:val="bottom"/>
            <w:shd w:val="clear" w:color="auto" w:fill="CCEEFF"/>
          </w:tcPr>
          <w:p>
            <w:pPr>
              <w:ind w:left="240"/>
              <w:spacing w:after="0" w:line="162" w:lineRule="exact"/>
              <w:rPr>
                <w:sz w:val="20"/>
                <w:szCs w:val="20"/>
                <w:color w:val="auto"/>
              </w:rPr>
            </w:pPr>
            <w:r>
              <w:rPr>
                <w:rFonts w:ascii="Times New Roman" w:cs="Times New Roman" w:eastAsia="Times New Roman" w:hAnsi="Times New Roman"/>
                <w:sz w:val="16"/>
                <w:szCs w:val="16"/>
                <w:color w:val="auto"/>
              </w:rPr>
              <w:t>compensation reclassified as</w:t>
            </w:r>
          </w:p>
        </w:tc>
        <w:tc>
          <w:tcPr>
            <w:tcW w:w="140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continue"/>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980" w:type="dxa"/>
            <w:vAlign w:val="bottom"/>
            <w:gridSpan w:val="2"/>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cash-settled</w:t>
            </w:r>
          </w:p>
        </w:tc>
        <w:tc>
          <w:tcPr>
            <w:tcW w:w="13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2023</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667,659,630</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42,771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601,063</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(1,517)</w:t>
            </w:r>
          </w:p>
        </w:tc>
        <w:tc>
          <w:tcPr>
            <w:tcW w:w="100" w:type="dxa"/>
            <w:vAlign w:val="bottom"/>
          </w:tcPr>
          <w:p>
            <w:pPr>
              <w:spacing w:after="0"/>
              <w:rPr>
                <w:sz w:val="17"/>
                <w:szCs w:val="17"/>
                <w:color w:val="auto"/>
              </w:rPr>
            </w:pPr>
          </w:p>
        </w:tc>
        <w:tc>
          <w:tcPr>
            <w:tcW w:w="50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Pr>
          <w:p>
            <w:pPr>
              <w:spacing w:after="0"/>
              <w:rPr>
                <w:sz w:val="17"/>
                <w:szCs w:val="17"/>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(388,433)</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249,283</w:t>
            </w:r>
          </w:p>
        </w:tc>
        <w:tc>
          <w:tcPr>
            <w:tcW w:w="0" w:type="dxa"/>
            <w:vAlign w:val="bottom"/>
          </w:tcPr>
          <w:p>
            <w:pPr>
              <w:spacing w:after="0"/>
              <w:rPr>
                <w:sz w:val="1"/>
                <w:szCs w:val="1"/>
                <w:color w:val="auto"/>
              </w:rPr>
            </w:pPr>
          </w:p>
        </w:tc>
      </w:tr>
      <w:tr>
        <w:trPr>
          <w:trHeight w:val="20"/>
        </w:trPr>
        <w:tc>
          <w:tcPr>
            <w:tcW w:w="24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(173,418)</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00"/>
          </w:cols>
          <w:pgMar w:left="320" w:top="117" w:right="379" w:bottom="1440" w:gutter="0" w:footer="0" w:header="0"/>
          <w:type w:val="continuous"/>
        </w:sectPr>
      </w:pPr>
    </w:p>
    <w:p>
      <w:pPr>
        <w:ind w:left="280" w:right="260"/>
        <w:spacing w:after="0" w:line="232" w:lineRule="auto"/>
        <w:rPr>
          <w:sz w:val="20"/>
          <w:szCs w:val="20"/>
          <w:color w:val="auto"/>
        </w:rPr>
      </w:pPr>
      <w:r>
        <w:rPr>
          <w:rFonts w:ascii="Times New Roman" w:cs="Times New Roman" w:eastAsia="Times New Roman" w:hAnsi="Times New Roman"/>
          <w:sz w:val="16"/>
          <w:szCs w:val="16"/>
          <w:color w:val="auto"/>
        </w:rPr>
        <w:t>Issuance of common shares under at-the-market sales agreement</w:t>
      </w:r>
    </w:p>
    <w:p>
      <w:pPr>
        <w:spacing w:after="0" w:line="6" w:lineRule="exact"/>
        <w:rPr>
          <w:sz w:val="20"/>
          <w:szCs w:val="20"/>
          <w:color w:val="auto"/>
        </w:rPr>
      </w:pPr>
    </w:p>
    <w:p>
      <w:pPr>
        <w:ind w:left="280" w:right="100"/>
        <w:spacing w:after="0" w:line="245" w:lineRule="auto"/>
        <w:rPr>
          <w:sz w:val="20"/>
          <w:szCs w:val="20"/>
          <w:color w:val="auto"/>
        </w:rPr>
      </w:pPr>
      <w:r>
        <w:rPr>
          <w:rFonts w:ascii="Times New Roman" w:cs="Times New Roman" w:eastAsia="Times New Roman" w:hAnsi="Times New Roman"/>
          <w:sz w:val="16"/>
          <w:szCs w:val="16"/>
          <w:color w:val="auto"/>
        </w:rPr>
        <w:t>Issuance of ordinary shares to treasury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7"/>
              </w:rPr>
              <w:t>20,329,832</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1,289</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96,207</w:t>
            </w:r>
          </w:p>
        </w:tc>
        <w:tc>
          <w:tcPr>
            <w:tcW w:w="1420" w:type="dxa"/>
            <w:vAlign w:val="bottom"/>
          </w:tcPr>
          <w:p>
            <w:pPr>
              <w:jc w:val="right"/>
              <w:ind w:right="5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97,496</w:t>
            </w:r>
          </w:p>
        </w:tc>
      </w:tr>
      <w:tr>
        <w:trPr>
          <w:trHeight w:val="459"/>
        </w:trPr>
        <w:tc>
          <w:tcPr>
            <w:tcW w:w="102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7"/>
              </w:rPr>
              <w:t>15,200,000</w:t>
            </w:r>
          </w:p>
        </w:tc>
        <w:tc>
          <w:tcPr>
            <w:tcW w:w="10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961</w:t>
            </w:r>
          </w:p>
        </w:tc>
        <w:tc>
          <w:tcPr>
            <w:tcW w:w="120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Pr>
          <w:p>
            <w:pPr>
              <w:jc w:val="right"/>
              <w:ind w:right="559"/>
              <w:spacing w:after="0"/>
              <w:rPr>
                <w:sz w:val="20"/>
                <w:szCs w:val="20"/>
                <w:color w:val="auto"/>
              </w:rPr>
            </w:pPr>
            <w:r>
              <w:rPr>
                <w:rFonts w:ascii="Times New Roman" w:cs="Times New Roman" w:eastAsia="Times New Roman" w:hAnsi="Times New Roman"/>
                <w:sz w:val="16"/>
                <w:szCs w:val="16"/>
                <w:color w:val="auto"/>
              </w:rPr>
              <w:t>(961)</w:t>
            </w:r>
          </w:p>
        </w:tc>
        <w:tc>
          <w:tcPr>
            <w:tcW w:w="138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-1898650</wp:posOffset>
            </wp:positionH>
            <wp:positionV relativeFrom="paragraph">
              <wp:posOffset>-184150</wp:posOffset>
            </wp:positionV>
            <wp:extent cx="7080885" cy="2400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080885" cy="240030"/>
                    </a:xfrm>
                    <a:prstGeom prst="rect">
                      <a:avLst/>
                    </a:prstGeom>
                    <a:noFill/>
                  </pic:spPr>
                </pic:pic>
              </a:graphicData>
            </a:graphic>
          </wp:anchor>
        </w:drawing>
      </w:r>
    </w:p>
    <w:p>
      <w:pPr>
        <w:spacing w:after="0" w:line="86" w:lineRule="exact"/>
        <w:rPr>
          <w:sz w:val="20"/>
          <w:szCs w:val="20"/>
          <w:color w:val="auto"/>
        </w:rPr>
      </w:pPr>
    </w:p>
    <w:p>
      <w:pPr>
        <w:sectPr>
          <w:pgSz w:w="11900" w:h="16838" w:orient="portrait"/>
          <w:cols w:equalWidth="0" w:num="2">
            <w:col w:w="2320" w:space="720"/>
            <w:col w:w="8160"/>
          </w:cols>
          <w:pgMar w:left="320" w:top="117" w:right="379" w:bottom="1440" w:gutter="0" w:footer="0" w:header="0"/>
          <w:type w:val="continuous"/>
        </w:sectPr>
      </w:pPr>
    </w:p>
    <w:tbl>
      <w:tblPr>
        <w:tblLayout w:type="fixed"/>
        <w:tblInd w:w="40" w:type="dxa"/>
        <w:tblCellMar>
          <w:top w:w="0" w:type="dxa"/>
          <w:left w:w="0" w:type="dxa"/>
          <w:bottom w:w="0" w:type="dxa"/>
          <w:right w:w="0" w:type="dxa"/>
        </w:tblCellMar>
      </w:tblP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Restricted share units vested</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2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 options exercised</w:t>
            </w: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0" w:type="dxa"/>
            <w:vAlign w:val="bottom"/>
          </w:tcPr>
          <w:p>
            <w:pPr>
              <w:spacing w:after="0"/>
              <w:rPr>
                <w:sz w:val="1"/>
                <w:szCs w:val="1"/>
                <w:color w:val="auto"/>
              </w:rPr>
            </w:pPr>
          </w:p>
        </w:tc>
      </w:tr>
      <w:tr>
        <w:trPr>
          <w:trHeight w:val="213"/>
        </w:trPr>
        <w:tc>
          <w:tcPr>
            <w:tcW w:w="24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8"/>
                <w:szCs w:val="18"/>
                <w:color w:val="auto"/>
              </w:rPr>
            </w:pP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100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41,244</w:t>
            </w:r>
          </w:p>
        </w:tc>
        <w:tc>
          <w:tcPr>
            <w:tcW w:w="0" w:type="dxa"/>
            <w:vAlign w:val="bottom"/>
          </w:tcPr>
          <w:p>
            <w:pPr>
              <w:spacing w:after="0"/>
              <w:rPr>
                <w:sz w:val="1"/>
                <w:szCs w:val="1"/>
                <w:color w:val="auto"/>
              </w:rPr>
            </w:pPr>
          </w:p>
        </w:tc>
      </w:tr>
      <w:tr>
        <w:trPr>
          <w:trHeight w:val="165"/>
        </w:trPr>
        <w:tc>
          <w:tcPr>
            <w:tcW w:w="2480" w:type="dxa"/>
            <w:vAlign w:val="bottom"/>
            <w:shd w:val="clear" w:color="auto" w:fill="CCEEFF"/>
          </w:tcPr>
          <w:p>
            <w:pPr>
              <w:ind w:left="240"/>
              <w:spacing w:after="0" w:line="165" w:lineRule="exact"/>
              <w:rPr>
                <w:sz w:val="20"/>
                <w:szCs w:val="20"/>
                <w:color w:val="auto"/>
              </w:rPr>
            </w:pPr>
            <w:r>
              <w:rPr>
                <w:rFonts w:ascii="Times New Roman" w:cs="Times New Roman" w:eastAsia="Times New Roman" w:hAnsi="Times New Roman"/>
                <w:sz w:val="16"/>
                <w:szCs w:val="16"/>
                <w:color w:val="auto"/>
              </w:rPr>
              <w:t>Common shares withheld for</w:t>
            </w:r>
          </w:p>
        </w:tc>
        <w:tc>
          <w:tcPr>
            <w:tcW w:w="14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(14,175)</w:t>
            </w:r>
          </w:p>
        </w:tc>
        <w:tc>
          <w:tcPr>
            <w:tcW w:w="0" w:type="dxa"/>
            <w:vAlign w:val="bottom"/>
          </w:tcPr>
          <w:p>
            <w:pPr>
              <w:spacing w:after="0"/>
              <w:rPr>
                <w:sz w:val="1"/>
                <w:szCs w:val="1"/>
                <w:color w:val="auto"/>
              </w:rPr>
            </w:pPr>
          </w:p>
        </w:tc>
      </w:tr>
      <w:tr>
        <w:trPr>
          <w:trHeight w:val="129"/>
        </w:trPr>
        <w:tc>
          <w:tcPr>
            <w:tcW w:w="2480" w:type="dxa"/>
            <w:vAlign w:val="bottom"/>
            <w:vMerge w:val="restart"/>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taxes on vested share awards</w:t>
            </w:r>
          </w:p>
        </w:tc>
        <w:tc>
          <w:tcPr>
            <w:tcW w:w="1400" w:type="dxa"/>
            <w:vAlign w:val="bottom"/>
            <w:gridSpan w:val="2"/>
            <w:vMerge w:val="continue"/>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gridSpan w:val="2"/>
            <w:vMerge w:val="continue"/>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74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20" w:type="dxa"/>
            <w:vAlign w:val="bottom"/>
            <w:gridSpan w:val="2"/>
            <w:vMerge w:val="continue"/>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980" w:type="dxa"/>
            <w:vAlign w:val="bottom"/>
            <w:gridSpan w:val="2"/>
            <w:vMerge w:val="continue"/>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0" w:type="dxa"/>
            <w:vAlign w:val="bottom"/>
            <w:gridSpan w:val="2"/>
            <w:vMerge w:val="continue"/>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480" w:type="dxa"/>
            <w:vAlign w:val="bottom"/>
            <w:vMerge w:val="continue"/>
            <w:shd w:val="clear" w:color="auto" w:fill="CCEEFF"/>
          </w:tcPr>
          <w:p>
            <w:pPr>
              <w:spacing w:after="0"/>
              <w:rPr>
                <w:sz w:val="7"/>
                <w:szCs w:val="7"/>
                <w:color w:val="auto"/>
              </w:rPr>
            </w:pPr>
          </w:p>
        </w:tc>
        <w:tc>
          <w:tcPr>
            <w:tcW w:w="13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Equity settled share-based</w:t>
            </w: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4"/>
                <w:szCs w:val="14"/>
                <w:color w:val="auto"/>
              </w:rPr>
            </w:pP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spacing w:after="0"/>
              <w:rPr>
                <w:sz w:val="14"/>
                <w:szCs w:val="14"/>
                <w:color w:val="auto"/>
              </w:rPr>
            </w:pPr>
          </w:p>
        </w:tc>
        <w:tc>
          <w:tcPr>
            <w:tcW w:w="98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4"/>
                <w:szCs w:val="14"/>
                <w:color w:val="auto"/>
              </w:rPr>
            </w:pPr>
          </w:p>
        </w:tc>
        <w:tc>
          <w:tcPr>
            <w:tcW w:w="1000" w:type="dxa"/>
            <w:vAlign w:val="bottom"/>
            <w:gridSpan w:val="2"/>
            <w:vMerge w:val="restart"/>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(1,279)</w:t>
            </w:r>
          </w:p>
        </w:tc>
        <w:tc>
          <w:tcPr>
            <w:tcW w:w="0" w:type="dxa"/>
            <w:vAlign w:val="bottom"/>
          </w:tcPr>
          <w:p>
            <w:pPr>
              <w:spacing w:after="0"/>
              <w:rPr>
                <w:sz w:val="1"/>
                <w:szCs w:val="1"/>
                <w:color w:val="auto"/>
              </w:rPr>
            </w:pPr>
          </w:p>
        </w:tc>
      </w:tr>
      <w:tr>
        <w:trPr>
          <w:trHeight w:val="162"/>
        </w:trPr>
        <w:tc>
          <w:tcPr>
            <w:tcW w:w="24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compensation reclassified as</w:t>
            </w:r>
          </w:p>
        </w:tc>
        <w:tc>
          <w:tcPr>
            <w:tcW w:w="14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cash-settled</w:t>
            </w:r>
          </w:p>
        </w:tc>
        <w:tc>
          <w:tcPr>
            <w:tcW w:w="13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2024</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703,189,462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45,021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728,199</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(1,659)</w:t>
            </w:r>
          </w:p>
        </w:tc>
        <w:tc>
          <w:tcPr>
            <w:tcW w:w="10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(4,601)</w:t>
            </w:r>
          </w:p>
        </w:tc>
        <w:tc>
          <w:tcPr>
            <w:tcW w:w="8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(562,401)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204,559</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00"/>
          </w:cols>
          <w:pgMar w:left="320" w:top="117"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112" w:name="page113"/>
    <w:bookmarkEnd w:id="112"/>
    <w:p>
      <w:pPr>
        <w:jc w:val="center"/>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Year ended December 31,</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9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Net loss:</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(173,418)</w:t>
            </w:r>
          </w:p>
        </w:tc>
        <w:tc>
          <w:tcPr>
            <w:tcW w:w="4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(68,701)</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i w:val="1"/>
                <w:iCs w:val="1"/>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Foreign exchange loss/(gain)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Accretion of RIPSA</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9,404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Accretion of redemption premium on debt</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815</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41,244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14,121</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Depreciation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i w:val="1"/>
                <w:iCs w:val="1"/>
                <w:color w:val="auto"/>
              </w:rPr>
              <w:t>Changes in operating assets and liabilities: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Accounts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Prepaid expenses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(3,956)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Tax incentive receivable</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5,034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Other current assets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Accounts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(7,146)</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Accrued expenses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12,821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(10,351)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(8,504)</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Royalties payable</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Income taxes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9,643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213"/>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w:t>
            </w: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(122,203)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(50,222)</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(59,862)</w:t>
            </w:r>
          </w:p>
        </w:tc>
        <w:tc>
          <w:tcPr>
            <w:tcW w:w="0" w:type="dxa"/>
            <w:vAlign w:val="bottom"/>
          </w:tcPr>
          <w:p>
            <w:pPr>
              <w:spacing w:after="0"/>
              <w:rPr>
                <w:sz w:val="1"/>
                <w:szCs w:val="1"/>
                <w:color w:val="auto"/>
              </w:rPr>
            </w:pPr>
          </w:p>
        </w:tc>
      </w:tr>
      <w:tr>
        <w:trPr>
          <w:trHeight w:val="214"/>
        </w:trPr>
        <w:tc>
          <w:tcPr>
            <w:tcW w:w="69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Purchases of furniture and equipment</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7"/>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issuance of ordinary shares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97,496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149,797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offering costs in connection with the issuance of ordinary shares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(9,533)</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Proceeds from Term Loans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9,996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RIPSA</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69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Proceeds from 2023 Term Loan, net of repayment of Oxford Term Loan and debt issuance costs</w:t>
            </w:r>
          </w:p>
        </w:tc>
        <w:tc>
          <w:tcPr>
            <w:tcW w:w="3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28,712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29"/>
        </w:trPr>
        <w:tc>
          <w:tcPr>
            <w:tcW w:w="6980" w:type="dxa"/>
            <w:vAlign w:val="bottom"/>
            <w:vMerge w:val="restart"/>
          </w:tcPr>
          <w:p>
            <w:pPr>
              <w:ind w:left="240"/>
              <w:spacing w:after="0"/>
              <w:rPr>
                <w:sz w:val="20"/>
                <w:szCs w:val="20"/>
                <w:color w:val="auto"/>
              </w:rPr>
            </w:pPr>
            <w:r>
              <w:rPr>
                <w:rFonts w:ascii="Times New Roman" w:cs="Times New Roman" w:eastAsia="Times New Roman" w:hAnsi="Times New Roman"/>
                <w:sz w:val="16"/>
                <w:szCs w:val="16"/>
                <w:color w:val="auto"/>
              </w:rPr>
              <w:t>incurred</w:t>
            </w:r>
          </w:p>
        </w:tc>
        <w:tc>
          <w:tcPr>
            <w:tcW w:w="32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4"/>
        </w:trPr>
        <w:tc>
          <w:tcPr>
            <w:tcW w:w="69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Repayment of Term Loans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SVB Term Loan repayment costs</w:t>
            </w: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Payments of withholding taxes from share-based awards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(15,454)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(4,723)</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Proceeds from exercise of share options</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5,408</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1,372</w:t>
            </w:r>
          </w:p>
        </w:tc>
        <w:tc>
          <w:tcPr>
            <w:tcW w:w="0" w:type="dxa"/>
            <w:vAlign w:val="bottom"/>
          </w:tcPr>
          <w:p>
            <w:pPr>
              <w:spacing w:after="0"/>
              <w:rPr>
                <w:sz w:val="1"/>
                <w:szCs w:val="1"/>
                <w:color w:val="auto"/>
              </w:rPr>
            </w:pPr>
          </w:p>
        </w:tc>
      </w:tr>
      <w:tr>
        <w:trPr>
          <w:trHeight w:val="207"/>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250,779</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92,869</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140,818</w:t>
            </w:r>
          </w:p>
        </w:tc>
        <w:tc>
          <w:tcPr>
            <w:tcW w:w="0" w:type="dxa"/>
            <w:vAlign w:val="bottom"/>
          </w:tcPr>
          <w:p>
            <w:pPr>
              <w:spacing w:after="0"/>
              <w:rPr>
                <w:sz w:val="1"/>
                <w:szCs w:val="1"/>
                <w:color w:val="auto"/>
              </w:rPr>
            </w:pPr>
          </w:p>
        </w:tc>
      </w:tr>
      <w:tr>
        <w:trPr>
          <w:trHeight w:val="212"/>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Effect of exchange rate changes on cash and cash equivalents</w:t>
            </w:r>
          </w:p>
        </w:tc>
        <w:tc>
          <w:tcPr>
            <w:tcW w:w="3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1,298</w:t>
            </w: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w:t>
            </w:r>
          </w:p>
        </w:tc>
        <w:tc>
          <w:tcPr>
            <w:tcW w:w="0" w:type="dxa"/>
            <w:vAlign w:val="bottom"/>
          </w:tcPr>
          <w:p>
            <w:pPr>
              <w:spacing w:after="0"/>
              <w:rPr>
                <w:sz w:val="1"/>
                <w:szCs w:val="1"/>
                <w:color w:val="auto"/>
              </w:rPr>
            </w:pPr>
          </w:p>
        </w:tc>
      </w:tr>
      <w:tr>
        <w:trPr>
          <w:trHeight w:val="207"/>
        </w:trPr>
        <w:tc>
          <w:tcPr>
            <w:tcW w:w="69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change in cash and cash equivalents</w:t>
            </w: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127,985</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43,945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79,447</w:t>
            </w:r>
          </w:p>
        </w:tc>
        <w:tc>
          <w:tcPr>
            <w:tcW w:w="0" w:type="dxa"/>
            <w:vAlign w:val="bottom"/>
          </w:tcPr>
          <w:p>
            <w:pPr>
              <w:spacing w:after="0"/>
              <w:rPr>
                <w:sz w:val="1"/>
                <w:szCs w:val="1"/>
                <w:color w:val="auto"/>
              </w:rPr>
            </w:pPr>
          </w:p>
        </w:tc>
      </w:tr>
      <w:tr>
        <w:trPr>
          <w:trHeight w:val="21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beginning of the year</w:t>
            </w: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271,772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227,827</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148,380</w:t>
            </w:r>
          </w:p>
        </w:tc>
        <w:tc>
          <w:tcPr>
            <w:tcW w:w="0" w:type="dxa"/>
            <w:vAlign w:val="bottom"/>
          </w:tcPr>
          <w:p>
            <w:pPr>
              <w:spacing w:after="0"/>
              <w:rPr>
                <w:sz w:val="1"/>
                <w:szCs w:val="1"/>
                <w:color w:val="auto"/>
              </w:rPr>
            </w:pPr>
          </w:p>
        </w:tc>
      </w:tr>
      <w:tr>
        <w:trPr>
          <w:trHeight w:val="207"/>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Cash and cash equivalents at end of the year</w:t>
            </w: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399,757</w:t>
            </w:r>
          </w:p>
        </w:tc>
        <w:tc>
          <w:tcPr>
            <w:tcW w:w="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271,772</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227,827</w:t>
            </w:r>
          </w:p>
        </w:tc>
        <w:tc>
          <w:tcPr>
            <w:tcW w:w="0" w:type="dxa"/>
            <w:vAlign w:val="bottom"/>
          </w:tcPr>
          <w:p>
            <w:pPr>
              <w:spacing w:after="0"/>
              <w:rPr>
                <w:sz w:val="1"/>
                <w:szCs w:val="1"/>
                <w:color w:val="auto"/>
              </w:rPr>
            </w:pPr>
          </w:p>
        </w:tc>
      </w:tr>
      <w:tr>
        <w:trPr>
          <w:trHeight w:val="20"/>
        </w:trPr>
        <w:tc>
          <w:tcPr>
            <w:tcW w:w="69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disclosure of cash flow information:</w:t>
            </w: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6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Income taxes paid</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44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39"/>
        </w:trPr>
        <w:tc>
          <w:tcPr>
            <w:tcW w:w="69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Interest paid</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10,330</w:t>
            </w:r>
          </w:p>
        </w:tc>
        <w:tc>
          <w:tcPr>
            <w:tcW w:w="440" w:type="dxa"/>
            <w:vAlign w:val="bottom"/>
            <w:gridSpan w:val="3"/>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13" w:name="page114"/>
    <w:bookmarkEnd w:id="113"/>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Organization and description of business operations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Verona Pharma plc is incorporated and domiciled in the United Kingdom. Verona Pharma plc has one wholly-owned subsidiary, Verona Pharma, Inc., a Delaware corporation (together with Verona Pharma plc, the “Company”). The address of the registered office is 1 Central Square, Cardiff, CF10 1FS, United Kingdom.</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is a biopharmaceutical company focused on developing and commercializing innovative therapeutics for the treatment of respiratory diseases with significant unmet medical needs. The Company’s American Depositary Shares (“ADSs”) are listed on the Nasdaq Global Market (“Nasdaq”) and trade under the symbol “VRNA”.</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June 26, 2024, the U.S. Food and Drug Administration (“FDA”) approved Ohtuvayre (ensifentrine) for the maintenance treatment of chronic obstructive pulmonary disease (“COPD”) in adult patients and the Company launched Ohtuvayre in the U.S. through an exclusive network of accredited specialty pharmacies in August 2024. Ohtuvayre is the Company’s first commercial product and the first inhaled therapy with a novel mechanism of action available for the maintenance treatment of COPD in more than 20 years.</w:t>
      </w:r>
    </w:p>
    <w:p>
      <w:pPr>
        <w:spacing w:after="0" w:line="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Ohtuvayre is a first-in-class selective dual inhibitor of the enzymes phosphodiesterase 3 and phosphodiesterase 4 that combines bronchodilator and non-steroidal anti-inflammatory effects in one molecule. Ohtuvayre is delivered directly to the lungs through a standard jet nebulizer without the need for high inspiratory flow rates or complex hand-breath coordination.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Pipeline</w:t>
      </w:r>
    </w:p>
    <w:p>
      <w:pPr>
        <w:spacing w:after="0" w:line="108"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Company is developing a fixed-dose combination formulation with ensifentrine and glycopyrrolate, a Long-Acting Muscarinic Antagonist (“LAMA”), for the maintenance treatment of patients with COPD via delivery in a nebulizer. The Company has filed patent applications in multiple jurisdictions including the U.S. In the third quarter of 2024, the Company initiated a Phase 2 dose-ranging trial.</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based on the clinical results of ensifentrine observed in patients with COPD, including improvements in lung function and symptoms of cough and sputum, the Company believes ensifentrine could have the potential to treat patients with non-cystic fibrosis bronchiectasis (“bronchiectasis”). In the third quarter of 2024, the Company commenced a Phase 2 clinical trial to assess the efficacy and safety of nebulized ensifentrine in patients with bronchiectasis.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0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has incurred recurring losses and negative cashflows from operations since inception, and has an accumulated deficit of $562.4 million as of December 31, 2024. The Company expects to incur additional losses and negative cash flows from operations until its products reach commercial profitability, if at all.</w:t>
      </w:r>
    </w:p>
    <w:p>
      <w:pPr>
        <w:spacing w:after="0" w:line="7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expects that its cash and cash equivalents as of December 31, 2024, will be sufficient to fund its operating expenses and capital expenditure requirements for at least the next 12 months from the date of issuance of the Consolidated Financial Statements. Additionally, the Company may enter into out-licensing transactions from time to time but there can be no assurance that the Company can secure such transactions in the future. Accordingly, the Company may need to obtain additional funds to achieve its business objectives including to further advance clinical and regulatory activities. Any such funding will need to be obtained through public or private financings, debt financing, collaboration or licensing arrangements or other arrangements. However, there is no guarantee the Company will be successful in securing additional capital on acceptable terms, or at all.</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August 2022, the Company completed an upsized public offering of 14,260,000 ADSs, each representing eight ordinary shares of the Company, nominal value £0.05 per share, at a price to the public of $10.50 per ADS, which includes the exercise in full by the underwriters of their option to purchase an additional 1,860,000 ADSs. The aggregate net proceeds from the offering were $140.2 million after deducting underwriting discounts and commissions and estimated offering expenses payable.</w:t>
      </w:r>
    </w:p>
    <w:p>
      <w:pPr>
        <w:spacing w:after="0" w:line="7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March 2021, the Company entered into an Open Market Sale Agreement (the “Sale Agreement”) with Jefferies LLC (“Jefferies”) pursuant to which the Company may sell its ordinary shares in the form of ADSs, from time-to-time, through an “at the market” equity offering program under which Jefferies acts as sales agent (the “ATM Program”). Jefferies is entitled to a commission at a rate of up to 3.0% of the gross proceeds.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2023, the Company sold 20,321,384 ordinary shares (equivalent to 2,540,173 ADSs) under the ATM Program, at an average price of $2.88 per share (equivalent to $23.08 per ADS), raising aggregate net proceeds of $56.9 million after deducting issuance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4" w:name="page115"/>
    <w:bookmarkEnd w:id="114"/>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March 2023, the Company amended the Sale Agreement and filed a registration statement on Form S-3ASR registering the issuance and sale of up to $200.0 million of ordinary shares in the form of ADSs under the ATM Program.</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year ended December 31, 2024, the Company sold 20,329,832 ordinary shares (equivalent to 2,541,229 ADSs) under the ATM Program, at an average price of $4.92 per share (equivalent to $39.35 per ADS), raising aggregate net proceeds of $97.5 million after deducting issuance costs. As of December 31, 2024, there remained $100.0 million of ordinary shares, in the form of ADSs, available for sale under the ATM Program.</w:t>
      </w:r>
    </w:p>
    <w:p>
      <w:pPr>
        <w:spacing w:after="0" w:line="55"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May 9, 2024, the Company entered into a term loan facility (the “2024 Term Loans” or “2024 Loan Agreement”) of up to $400.0 million with Oaktree Fund Administration, LLC, a Delaware limited liability company, as administrative agent, and certain funds managed by each of Oaktree Capital Management, L.P. and OCM Life Sciences Portfolio LP party thereto (collectively, the “2024 Lenders”). At closing, the Company received net proceeds of $52.8 million and up to four additional advances of an aggregate $345.0 million were available subject to meeting certain commercial milestones and other specified conditions. On June 28, 2024, the Company received net proceeds of $68.6 million related to the second tranche of the 2024 Term Loans, which was available upon FDA approval for Ohtuvayre, as well as proceeds from the $100.0 million first tranche of our revenue interest purchase and sale agreement (the “RIPSA”). Refer to Note 5 - Debt to the Consolidated Financial Statements for additional information regarding the 2024 Term Loans and the RIPSA.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5" w:name="page116"/>
    <w:bookmarkEnd w:id="115"/>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 and consolidation</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Verona Pharma plc and its wholly-owned subsidiary Verona Pharma, Inc. All inter-company balances and transactions have been eliminated.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Consolidated Financial Statements have been prepared in accordance with accounting principles generally accepted in the United States ("U.S.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 and the following accounting policies have been consistently applied.</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Segment reporting</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about which separate discrete information is available for evaluation by the chief operating decision maker (“CODM”), or decision-making group, in deciding how to allocate resources and in assessing performance. The Company has determined that the Chief Executive Officer (“CEO”) is the Company’s CODM as the CEO makes decisions as it relates to allocation of resources and key market strategies. The Company has one operating and reportable segment, the development and commercialization of pharmaceutical products. The CODM uses consolidated Net loss to assess financial performance and allocate resources. The significant expenses within Net Loss are separately presented on the Company’s Consolidated Statements of Operations and Comprehensive Loss.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reported amounts of assets, liabilities, the disclosure of contingent assets and liabilities at the date of the Consolidated Financial Statements and the reported amounts of expenses during the reporting periods. Significant estimates and assumptions reflected in these Consolidated Financial Statements include, but are not limited to, the accrual and prepayment of research and development expenses, gross-to-net revenue adjustments, amortization and carrying value of the RIPSA, and the fair value of share-based compensation. Estimates are periodically reviewed in light of changes in circumstances, facts and experience. Changes in estimates are recorded in the period in which they become known, and actual results could differ from the Company’s estimates.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Business combinations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applies the acquisition method to account for business combinations. The consideration transferred for the acquisition of a subsidiary is the fair value of the assets transferred, the liabilities incurred to the former owners of the acquiree and the equity interests issued by the Company. The consideration transferred includes the fair value of any asset or liability resulting from a contingent consideration arrangement. The excess of the cost of acquisition over the fair value of the Company's share of the identifiable net assets acquired is recorded as goodwill.</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Identifiable assets acquired and liabilities and contingent liabilities assumed in a business combination are measured initially at their fair values at the acquisition date. Acquisition-related costs are expensed as incurred and included in administrative expenses.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original maturities of ninety days or less at acquisition to be cash equivalents. Cash and cash equivalents includes deposits held at call with banks, and in money market funds investing in U.S. and U.K. government debt and liquid securities from highly rated institutions.</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Under the RIPSA agreement, the Company is required to maintain 4.5% of cash received from customers in a dedicated account. This balance is included in cash and cash equivalents on the Company's balance sheet. Restricted cash totaled $0.8 million as of December 31,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 including Pre-Launch Inventory</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values its inventory at the lower of actual cost or net realizable value. The Company determines the cost of its inventory, which includes amounts related to materials and manufacturing overhead, on a first-in, first-out basis. Inventory expected to be utilized more than one year from the balance sheet is classified as Inventory, long-term in the Consolidated Balance Sheets.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obtaining initial regulatory approval for Ohtuvayre, the Company expensed costs relating to production of pre-launch inventory as research and development (“R&amp;D”) expense in its Consolidated Statements of Operations and Comprehensive Loss in the period incurred. Inventory acquired and the related costs after June 26, 2024,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6" w:name="page117"/>
    <w:bookmarkEnd w:id="116"/>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date of the FDA’s approval of Ohtuvayre, are capitalized. Products used in clinical trials are expensed as Research and development expense in the Statements of Operations and Comprehensive Loss.</w:t>
      </w:r>
    </w:p>
    <w:p>
      <w:pPr>
        <w:spacing w:after="0" w:line="41"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Company performs an assessment of the recoverability of capitalized inventory during each reporting period, and writes down any excess or obsolete inventory to its net realizable value in the period in which the impairment is identified through Cost of sales in the Consolidated Statements of Operations and Comprehensive Loss.</w:t>
      </w:r>
    </w:p>
    <w:p>
      <w:pPr>
        <w:spacing w:after="0" w:line="55"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Additionally, the Company’s product is subject to strict quality control and monitoring that is performed throughout the manufacturing process, including release of work-in-process to finished goods. In the event that certain batches or units of product do not meet quality specifications, the Company will record a write-down of any potential unmarketable inventory to its estimated net realizable value and record the expense as Cost of sales in the Consolidated Statements of Operations and Comprehensive Loss. No inventory was written down as a result of excess, obsolescence, scrap, or other reasons during the year ended December 31, 2024. Raw materials and finished goods balances were $0.2 million and $8.0 million respectively as of December 31, 2024 with no such balances as of December 31, 2023.</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interest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As part of the Nuance Agreement, the Company received an equity interest in Nuance Biotech, the parent company of Nuance Pharma (see Note 6 - Significant Agreements to the Consolidated Financial Statements). As Nuance Biotech’s securities are not publicly traded, the equity interest’s fair value is not readily determinable. The Company therefore follows guidance from ASC 321-10-35-2 and uses the fair value measurement alternative and measures the securities at cost, which is deemed to be the value indicated by the last observable transaction in Nuance Biotech's stock, subject to impairment. The valuation will be adjusted for any observable price changes in orderly transactions for an identical or similar investment in Nuance Biotech, or if there is an indicator of impairment.</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Furniture and equipment, net</w:t>
      </w:r>
    </w:p>
    <w:p>
      <w:pPr>
        <w:spacing w:after="0" w:line="92"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Furniture and equipment comprise office furniture, computer equipment, leasehold improvements and manufacturing equipment and are stated at cost less accumulated depreciation. Depreciation on furniture and equipment is calculated on a straight-line basis over the expected useful economic lives, generally two to five years. Depreciation on leasehold improvements is over the lesser of the economic life of the asset or the term of the lease.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Substantially all of the Company’s furniture and equipment is located in the United States.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Goodwill</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consists of goodwill related to the acquisition of Rhinopharma. Goodwill is periodically tested for impairment.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reviews long-lived assets for impairment annually or whenever events or changes in circumstances indicate that the carrying amount of assets may not be fully recoverable.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and debt issuance costs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Upon issuance of a new debt instrument, the Company recognizes a liability equal to the proceeds received, less any allocation of proceeds to other instruments issued with the debt, other elements of the transaction, or features within the debt instrument itself. The proceeds generally approximate the present value of interest and principal payments of the debt.</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situations where, for economic or legal reasons related to the Company’s financial difficulties, the borrower grants a concession to the Company that it would not otherwise consider, the related loan is classified as a troubled debt restructuring. If a restructuring does not constitute a troubled debt restructuring, it will be evaluated to consider if it should be accounted for as an extinguishment or as a modification.</w:t>
      </w:r>
    </w:p>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Debt may be considered extinguished when it has been modified and the terms of the new debt instruments and old debt instruments are “substantially different” (as defined in the debt modification guidance in ASC 470-50 “Debt-Modifications and Extinguishments”).</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Debt issuance costs relating to the Company’s term debt are recorded in Term loan on the Consolidated Balance Sheets as a direct reduction of the carrying amount of the related debt; these costs are deferred and amortized to interest expense using the effective interest method, over the respective terms of the related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7" w:name="page118"/>
    <w:bookmarkEnd w:id="117"/>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Interest Purchase and Sale Agreement</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RIPSA is eligible to be repaid based on royalties from net sales of Ohtuvayre and any other future products. Interest expense is calculated using the effective interest method over the estimated period the related liability will be paid. This requires the Company to estimate the total amount of future royalty payments to be generated from product sales over the life of the agreement. The Company imputes interest on the carrying value of the RIPSA and records interest expense using an imputed effective interest rate. The Company reassesses the expected royalty payments each reporting period and accounts for any changes through an adjustment to the effective interest rate on a prospective basis. The assumptions used in determining the expected repayment term of the debt and amortization period of the issuance costs require that the Company make estimates that could impact the carrying value of the liability, as well as the periods over which associated issuance costs will be amortized. A significant increase or decrease in forecasted net sales could materially impact each of the liability balances, interest expense and the time periods for repayment.</w:t>
      </w:r>
    </w:p>
    <w:p>
      <w:pPr>
        <w:spacing w:after="0" w:line="8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a quarterly basis, the Company assesses the projected royalty payments relative to the projected interest accretion for the next twelve months to determine if the royalty liability balance is reduced relative to the current outstanding liability, which would signify a repayment of the liability. In such case of excess payments relative to interest accretion for the next twelve months, the excess payments are considered to be a short-term liability and classified within Current liabilities on the Company’s Consolidated Balance Sheets.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9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revenues consist of product sales of Ohtuvayre. The Company accounts for contracts with its customers in accordance with ASC Topic 606, Revenue from Contracts with Customers (“ASC 606”). Pursuant to ASC 606, for arrangements or transactions between participants determined to be within the scope of the contracts with customers guidance, the Company performs the following five steps to determine the appropriate amount of revenue to be recognized as the Company fulfills its obligations: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based on estimated selling prices; and (v) recognition of revenue when (or as) the Company satisfies each performance obligation.</w:t>
      </w:r>
    </w:p>
    <w:p>
      <w:pPr>
        <w:spacing w:after="0" w:line="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Revenue is recognized when, or as, the Company satisfies a performance obligation by transferring a promised good or service to a customer. An asset is transferred when, or as, the customer obtains control of that asset.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Sales, Net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Company’s revenue from net product sales was generated in the U.S. following the FDA’s approval for marketing of Ohtuvayre for the treatment of COPD in June 2024. The Company sells Ohtuvayre principally through arrangements with specialty pharmacies (“SPs”), who are the Company’s customers. The customers subsequently resell the product to patients and health care providers. The Company applies the ASC 606 five step process discussed above to the contracts with SPs. The Company provides limited right of return to the customers in cases of shipment errors or expiring or defective products. Product revenues are recognized when the customers take control of the product, which occurs upon delivery to the customers.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recognizes revenue from product sales at the net sales price which includes estimates of variable consideration for which reserves are established and reflects each of these as a reduction to revenue. Overall, these reserves reflect the Company’s best estimates of the amount of consideration to which the Company is entitled based on the terms of the contract. The amount of variable consideration that is included in the transaction price may be constrained. Actual amounts of consideration ultimately received may differ from the Company’s estimates. If actual results in the future vary from estimates, the Company may need to adjust its estimates, which would affect net revenue in the period of adjustment. The following are the Company’s significant categories of variable consideration: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Distribution fees: The Company pays distribution fees to SPs in connection with the sales of its product. These distributor fees are based on a contractually determined fixed percentage of sales.</w:t>
      </w:r>
    </w:p>
    <w:p>
      <w:pPr>
        <w:spacing w:after="0" w:line="41"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Government rebates and chargebacks: The Company contracts with Medicaid, Medicare, and other government agencies (“Government Payors”) so that Ohtuvayre will be eligible for purchase by, or partial or full reimbursement from, such Government Payors. The Company estimates the rebates, chargebacks and discounts it will provide to Government Payors and deducts these estimated amounts from its gross product revenue at the time the revenue is recognized. The Company estimates these reserves based upon its contracts with government agencies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8" w:name="page119"/>
    <w:bookmarkEnd w:id="118"/>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organizations, statutorily defined discounts and estimated payor mix, resulting in a reduction of product revenue and the establishment of a current liability.</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Commercial chargebacks: Chargebacks are discounts and fees related to contracts with various third-party payers and programs that purchase from SPs at a discounted price. SPs charge back to the Company the difference between the price initially paid by SPs and the discounted price paid to SPs by these entities.</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Product returns: Consistent with industry practice, the Company offers SPs limited product return rights for shipment errors or expiring or defective products. The Company makes a reasonable estimate of future potential product returns based on inventory reports from SPs, visibility into the inventory distribution channel, the underlying product demand, and industry data specific to the specialty pharmaceutical distribution industry.</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Co-pay assistance: Other incentives which the Company offers include voluntary patient assistance and assurance programs, such as a co-pay assistance program, which are intended to provide financial assistance to qualified commercially-insured patients with prescription drug co-payments required by payers.</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Other fees: Fees payable to third party payers and healthcare providers, along with fees to our direct customers that are settled via cash payments, including certain patient assistance programs.</w:t>
      </w:r>
    </w:p>
    <w:p>
      <w:pPr>
        <w:spacing w:after="0" w:line="6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For the year ended December 31, 2024 the Company relied on four specialty pharmacies to purchase and supply Ohtuvayre to patients. These four specialty pharmacies accounted for 100% of all Ohtuvayre net product sales in the year ended December 31, 2024 and accounted for all of the Company's outstanding accounts receivable from product sales as of December 31, 2024. The Company’s four specialty pharmacy customers accounted for 41%, 33%, 14%, and 12% of product sales, net for the year ended December 31, 2024. The loss, or a significant change in the buying patterns of any one of these specialty pharmacies could negatively impact net sales of Ohtuvayre.</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License Revenue</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Company’s revenue may also at times consist of revenue from the Company’s strategic agreements for the development and commercialization of ensifentrine. The terms of the agreements may include non-refundable upfront fees, payments based upon achievement of milestones and eventually revenue from the commercialized product. These agreements usually have both fixed and variable consideration. Non-refundable upfront fees are considered fixed, while milestone payments and revenue from the commercialized product are identified as variable consideration.</w:t>
      </w:r>
    </w:p>
    <w:p>
      <w:pPr>
        <w:spacing w:after="0" w:line="63"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For arrangements with licenses of intellectual property that include sales-based royalties, including milestone payments based on the level of sales, and the license is deemed to be the predominant item to which the royalties relate, the Company recognizes royalty revenue and sales-based milestones at the later of (i) when the related sales occur, or (ii) when the performance obligation to which the royalty has been allocated has been satisfied. If the right to the Company’s intellectual property is determined to be distinct from the other performance obligations identified in the arrangement, the Company recognizes revenue from non-refundable, upfront fees allocated to the right when the right is transferred to the customer, and the customer can use and benefit from the right.</w:t>
      </w:r>
    </w:p>
    <w:p>
      <w:pPr>
        <w:spacing w:after="0" w:line="6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At the inception of the arrangement, the Company evaluates whether the development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such as approvals from regulators, are not considered probable of being achieved until those approvals are received.</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costs</w:t>
      </w:r>
    </w:p>
    <w:p>
      <w:pPr>
        <w:spacing w:after="0" w:line="10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Research and development (“R&amp;D”) costs are expensed as incurred. R&amp;D costs include salaries, share-based compensation and benefits of employees, and other costs related to the Company’s R&amp;D activities, including but not limited to pre-approval manufacturing costs and contracts with clinical research organizations and contract manufacturers. The Company is required to estimate its expenses resulting from its obligations under contracts with vendors and consultants and clinical site agreements in connection with its R&amp;D efforts. The financial terms of these contracts are subject to negotiations which vary contract to contract and may result in payment flows that do not match the periods over which materials or services are provided to the Company under such contracts. The Company’s objective is to reflect the appropriate clinical trial expenses in its Consolidated Financial Statements by matching those expenses with the period in which services and efforts are expended. The Company accounts for these expenses according to the progress of the trials and other development activities. Judgment is applied in determining assumptions related to patient progression and the timing of various aspects of the trial used to measure progress. The Company determines prepaid and accrual estimates through discussions with applicable personnel and outside service providers as to the progress of clinical trials, or other services completed. During the course of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9" w:name="page120"/>
    <w:bookmarkEnd w:id="119"/>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clinical trial, the Company adjusts its rate of clinical trial expense recognition if actual results differ from its estimates. The Company makes estimates of its prepaid and accrued expenses as of each balance sheet date in its Consolidated Financial Statements based on facts and circumstances known at that time. Although the Company does not expect its estimates to be materially different from amounts actually incurred, its understanding of the status and timing of services performed relative to the actual status and timing of services performed may vary and may result in the Company reporting amounts that are too high or too low for any particular period. The Company’s clinical trial prepaid and accrual expense is dependent upon the timely and accurate reporting of study recruitment from contract research organizations and activities carried out by other third-party vendors as well as the timely processing of any change orders from the contract research organizations.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a share-based compensation plan under which various types of equity-based awards may be granted, including stock options, restricted stock units (“RSUs”) and performance restricted stock units (“PRSUs”). The fair value of share options and RSUs, which are subject to milestone or service conditions with graded vesting, are recognized as compensation expense on a straight-line basis using the graded-vesting method; forfeitures are recognized as they occur.</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 of PRSUs, which are subject to certain performance and service conditions, will be recognized over the remaining service period using the graded-vesting method once the performance conditions are determined to be probable of occurring.</w:t>
      </w:r>
    </w:p>
    <w:p>
      <w:pPr>
        <w:spacing w:after="0" w:line="4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uses the fair-value based method to determine compensation for all arrangements under which employees receive shares. The fair value of stock options is estimated on the date of grant using the Black-Scholes valuation model that uses assumptions for expected volatility, expected dividends, expected term, and the risk-free interest rate.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fair-value of RSUs and PRSUs is calculated using the closing price of the Company’s ordinary shares on the date of grant.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Details of the assumptions used are set out in Note 7 - Share-based Compensation to the Consolidated Financial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 United Kingdom R&amp;D tax credits</w:t>
      </w:r>
    </w:p>
    <w:p>
      <w:pPr>
        <w:spacing w:after="0" w:line="10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Research and development tax credit relates to R&amp;D tax credits receivable in the U.K. As a company that carries out extensive research and development activities, the Company is subject to the U.K. R&amp;D Small and Medium Enterprise Program (for accounting periods commencing on or after April 1, 2024, this program has been merged with the R&amp;D expenditure credit scheme) (the “R&amp;D Program”). Qualifying expenditures largely comprise of staff costs for research staff, consumables, a proportion of relevant and permitted sub-contract costs incurred as part of research projects which are undertaken for its own accounts.</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R&amp;D tax credits related to the R&amp;D Program are received as cash and are recorded as other income, as they are akin to grant income, in the Consolidated Statements of Operations and Comprehensive Loss.</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accounts for income taxes in accordance with ASC 740, “Income Taxes” (“ASC 740”). ASC 740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w:t>
      </w:r>
    </w:p>
    <w:p>
      <w:pPr>
        <w:spacing w:after="0" w:line="5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provides a valuation allowance, if necessary, to reduce deferred tax assets to their estimated realizable value. ASC 740 establishes a single model to address accounting for uncertain tax positions. ASC 740 clarified the accounting for income taxes by prescribing the minimum recognition threshold a tax position is required to meet before being recognized in the financial statements. The Company has no uncertain tax positions.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Comprehensive loss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comprehensive loss in accordance with ASC 220, “Income Statement - Reporting Comprehensive Income”. Comprehensive loss represents all changes in shareholders’ equity during the period except those resulting from investments by, or distributions to, shareholders.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and functional currencies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0" w:name="page121"/>
    <w:bookmarkEnd w:id="120"/>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Consolidated Financial Statements are reported in U.S. dollars, which is also the functional currency of the Company’s subsidiary. Transactions in foreign currencies are remeasured into the Company’s functional currency at the rate of exchange prevailing at the date of the transaction. Any monetary assets and liabilities arising from these transactions are remeasured into our functional currency at exchange rates prevailing at the balance sheet date or on settlement. Resulting gains and losses are recorded in foreign exchange gain/(loss) in our Consolidated Statements of Operations and Comprehensive Loss.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Treasury shares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year ended December 31, 2020, the Company incorporated a trust to facilitate the acquisition of shares, by or for the benefit of employees and former employees. In the years ended December 31, 2024 and December 31, 2023 the Company issued 15.2 million ordinary shares (equivalent to 1.9 million ADSs) and 16.0 million (equivalent to 2.0 million ADSs), respectively, to the trust to cover expected shares issued upon the vesting of share awards to employees.</w:t>
      </w:r>
    </w:p>
    <w:p>
      <w:pPr>
        <w:spacing w:after="0" w:line="77"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has the indirect ability to control the trust as trustees are required to act in accordance with the trust deed and because the Company controls the issuance of shares to cover awards. As a consequence, the trust is consolidated into the Company’s Consolidated Financial Statements. The shares that were issued to the trust that have not been issued to employees to satisfy vesting of share awards are included in the Consolidated Balance Sheets as Ordinary shares held in treasury.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Fair value of financial instruments</w:t>
      </w:r>
    </w:p>
    <w:p>
      <w:pPr>
        <w:spacing w:after="0" w:line="9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U.S. GAAP defines fair value and requires companies to establish a framework for measuring fair value and disclosure about fair value measurements using a three-tier approach.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financial instruments include cash equivalents, equity interest, other assets, accounts payable, accrued expenses, other liabilities, term loans, and RIPSA. Fair value estimates of these instruments are made at a specific point in time, based on relevant market information. These estimates may be subjective in nature and involve uncertainties and matters of significant judgement and therefore cannot be determined with precision. Refer to Note 5 - Debt to the Consolidated Financial Statements for fair value of term loans and RIPSA. The carrying amounts of the other instruments are considered to be representative of their fair values because of their short-term nature.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of credit risk</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 of credit risk consist of principally cash and cash equivalents, bank deposits and certain receivables.</w:t>
      </w:r>
    </w:p>
    <w:p>
      <w:pPr>
        <w:spacing w:after="0" w:line="68"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Company holds cash and cash equivalents with highly rated financial institutions and in highly rated money market funds. Our deposits at these institutions may exceed insured limits, however the Company has not experienced any significant credit losses in these accounts and does not believe the Company is exposed to any significant credit risk on these instruments.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accounting</w:t>
      </w:r>
    </w:p>
    <w:p>
      <w:pPr>
        <w:spacing w:after="0" w:line="106"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ROU assets and liabilities are recognized at the commencement date based on the present value of lease payments over the term of the lease. For this purpose, the Company considers only payments that are fixed and determinable at the time of commencement.</w:t>
      </w:r>
    </w:p>
    <w:p>
      <w:pPr>
        <w:spacing w:after="0" w:line="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the Company's leases do not provide an implicit rate, the Company determines the incremental borrowing rate in calculating the present value of lease payments. The ROU assets also include any lease payments made prior to commencement and are recorded net of any lease incentives received.</w:t>
      </w:r>
    </w:p>
    <w:p>
      <w:pPr>
        <w:spacing w:after="0" w:line="6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lease terms may include options to extend or terminate the lease. When it is reasonably certain the Company will exercise such options the lease will be recognized as a liability and a corresponding ROU asset also recognized.</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leases are included in Right-of-use assets and in Current and Non-current operating lease liabilities on the Company's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1" w:name="page122"/>
    <w:bookmarkEnd w:id="121"/>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adopted accounting standards</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which improves reportable segment disclosure requirements, primarily through enhanced disclosures about significant segment expenses. In addition, the amendments enhance interim disclosure requirements, clarify circumstances in which an entity can disclose multiple segment measures of profit or loss, provide new segment disclosure requirements for entities with a single reportable segment, and contain other disclosure requirements. The purpose of the amendments is to enable investors to better understand an entity's overall performance and assess potential future cash flows. The amendments in this ASU are effective for annual periods beginning after December 15, 2023 and interim periods beginning on December 15, 2024, and should be applied on a retrospective basis for all periods presented. This ASU did not have a material impact on the Company's Consolidated Financial Statements and related disclosures.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December 2023, the FASB issued ASU No. 2023-09, Improvements to Income Tax Disclosures, which requires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amendments in this ASU are effective for annual periods beginning after December 15, 2024, and should be applied on a prospective basis with the option to apply the standard retrospectively. Early adoption is permitted. This ASU will have no impact on the Company's Consolidated Balance Sheets or Consolidated Statements of Operations and Comprehensive Loss. The Company is currently evaluating the impact to its income tax disclosures.</w:t>
      </w:r>
    </w:p>
    <w:p>
      <w:pPr>
        <w:spacing w:after="0" w:line="80"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 Expenses ("DISE"). The ASU requires additional disclosure of the nature of expenses included in the income statement. The ASU is effective for annual reporting periods beginning after December 15, 2026 and interim reporting periods beginning after December 15, 2027. The requirements will be applied prospectively with the option for retrospective application. Early adoption is permitted. The Company is currently evaluating the extent of the impact of this ASU on disclosures in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2" w:name="page123"/>
    <w:bookmarkEnd w:id="122"/>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Property leases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Right-of-use assets (“ROU”) relate to rented office space in London, Georgia and North Carolina with leases ending in 2026, 2025 and 2027, respectively.</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2024, the Company extended its existing London lease. As a result of this agreement, the Company recognized a lease liability and a corresponding ROU asset of $0.4 million.</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year ended December 31, 2023, the Company entered into a lease arrangement in North Carolina for office space and extended its existing London lease. As a result of these two agreements, the Company recognized a lease liability and a corresponding ROU asset of $2.7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calculate lease liabilities the Company used a weighted average discount rate of 11% for the years ended December 31, 2024 and December 31, 2023.</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 average remaining lease term as of December 31, 2024 and December 31, 2023 was 2.5 years and 3.3 years, respectively.</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annual payments over the remaining lease periods as of December 31, 2024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r>
      <w:tr>
        <w:trPr>
          <w:trHeight w:val="230"/>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minimum future lease payments</w:t>
            </w:r>
          </w:p>
        </w:tc>
        <w:tc>
          <w:tcPr>
            <w:tcW w:w="7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2,736</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7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lease liabilities</w:t>
            </w:r>
          </w:p>
        </w:tc>
        <w:tc>
          <w:tcPr>
            <w:tcW w:w="72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2,361</w:t>
            </w:r>
          </w:p>
        </w:tc>
      </w:tr>
      <w:tr>
        <w:trPr>
          <w:trHeight w:val="20"/>
        </w:trPr>
        <w:tc>
          <w:tcPr>
            <w:tcW w:w="94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total operating lease expense included in selling, general and administrative costs was $1.3 million for the year ended December 31,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Accrued expenses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consisted of the following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r>
      <w:tr>
        <w:trPr>
          <w:trHeight w:val="37"/>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7"/>
        </w:trPr>
        <w:tc>
          <w:tcPr>
            <w:tcW w:w="8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23"/>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 and other sales deductions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trial and other development costs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4,006</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People related costs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w:t>
            </w:r>
          </w:p>
        </w:tc>
      </w:tr>
      <w:tr>
        <w:trPr>
          <w:trHeight w:val="230"/>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Professional fees and general corporate costs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2,039</w:t>
            </w: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Debt</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November 2020, the Company entered into a term loan facility of up to $30.0 million (the “SVB Term Loan”), consisting of advances of $5.0 million funded at closing and $10.0 million and $15.0 million contingent upon achievement of certain clinical development milestones and other specified conditions.</w:t>
      </w:r>
    </w:p>
    <w:p>
      <w:pPr>
        <w:spacing w:after="0" w:line="6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October 14, 2022 (the “2022 Effective Date”), the Company entered into a loan and security agreement with Oxford Finance Luxembourg S.À R.L. for an aggregate amount of up to $150.0 million (the “Oxford Term Loan”). The Oxford Term Loan provided for an initial term loan advance in an aggregate amount of $10.0 million funded on the 2022 Effective Date (the “Oxford Term A Loan”), and up to four additional term loan advances in an aggregate amount of $140.0 million, contingent upon the achievement of certain clinical and regulatory development milestones as well as other specified conditions. The proceeds from the Oxford Term Loan were used for general corporate and working capital purposes, and a portion of the proceeds of the Oxford Term A Loan were used to repay in full the existing outstanding indebtedness owed under the SVB Term Loan. On March 24, 2023, the Company received $10.0 million under the second term loan advance (the “Oxford Term B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3" w:name="page124"/>
    <w:bookmarkEnd w:id="123"/>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2023 Term Loan</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On December 27, 2023 (the “2023 Effective Date”), the Company entered into a term loan facility of up to $400.0 million (the “2023 Term Loan” or “Loan Agreement”), consisting of a term loan advance in an aggregate amount of $50.0 million funded on the 2023 Effective Date (the “Term A Loan”) and four additional term loan advances subject to certain terms and conditions. The 2023 Term Loan was repaid in full as of May 9, 2024. Verona Pharma, Inc. and the Company did not incur any penalties, but did incur a prepayment fee and final payment fee in the aggregate amount of $2.3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2024 Term Loans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May 9, 2024 (the “2024 Effective Date”), Verona Pharma, Inc. (the “Borrower”) entered into the 2024 Term Loans which consist of up to $400.0 million, consisting of a term loan advance in an aggregate amount of $55.0 million funded on the 2024 Effective Date (the “Tranche A Term Loan”) and four additional term loan advances subject to certain terms and conditions, as discussed below, in the amounts of $70.0 million (the “Tranche B Term Loan”), $75.0 million (the “Tranche C Term Loan”), $100.0 million (the “Tranche D Term Loan”) and $100.0 million (the “Tranche E Term Loan”) with each tranche issued subject to an original issue discount of 2.0%. The 2024 Loan Agreement was entered into with Oaktree Fund Administration, LLC, a Delaware limited liability company, as administrative agent (in such capacity, the “Agent”), and certain funds managed by each of Oaktree Capital Management, L.P. (“Oaktree”) and OCM Life Sciences Portfolio LP (“OMERS”) party thereto (collectively, the “2024 Lenders”). The net proceeds of the 2024 Term Loans will be used for general corporate and working capital purposes and a portion of the proceeds from the Tranche A Term Loan was used by the Borrower on the 2024 Effective Date to repay, in full, the existing outstanding indebtedness owed under the 2023 Term Loan.</w:t>
      </w:r>
    </w:p>
    <w:p>
      <w:pPr>
        <w:spacing w:after="0" w:line="8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Tranche B Term Loan was available, subject to customary terms and conditions, during the period commencing on the date the Company received approval from the FDA for its new drug application for ensifentrine through and including the earliest of (i) the date that is 30 days immediately following the date the Company receives such approval and (ii) September 30, 2024. The Tranche C Term Loan will be available, subject to customary terms and conditions (including the prior borrowing of the Tranche B Term Loan), during the period commencing on the first business day following the achievement of a specified net sales milestone for ensifentrine and ending on December 31, 2025. The Tranche D Term Loan will be available, subject to customary terms and conditions (including the prior borrowing of the Tranche C Term Loan), during the period commencing on the first business day following the achievement of a specified net sales milestone for ensifentrine and ending on June 30, 2026. The Tranche E Term Loan will be available, subject to customary terms and conditions (including the prior borrowing of the Tranche D Term Loan) at the 2024 Lenders sole discretion and upon the Company’s request.</w:t>
      </w:r>
    </w:p>
    <w:p>
      <w:pPr>
        <w:spacing w:after="0" w:line="8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received $52.8 million in net proceeds at closing of the 2024 Loan Agreement and draw of the Tranche A Term Loan, which consisted of the Tranche A Term Loan face value of $55.0 million less the original issue discount of $1.1 million and lender and third-party fees related to the 2024 Loan Agreement and RIPSA, as defined and discussed below, of $1.1 million. $52.4 million of the net cash proceeds from the Tranche A Term Loan were used for the repayment in full of the existing outstanding indebtedness owed by the Company under the 2023 Term Loan of $52.3 million and interest amounts related to the 2023 Term Loan of $0.1 million.</w:t>
      </w:r>
    </w:p>
    <w:p>
      <w:pPr>
        <w:spacing w:after="0" w:line="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28, 2024, the Company received $68.6 million in net proceeds related to the Tranche B Term Loan, which was available upon FDA approval for Ohtuvayre. The amount received consisted of the Tranche B Term Loan face value of $70.0 million less the original issue discount of $1.4 million.</w:t>
      </w:r>
    </w:p>
    <w:p>
      <w:pPr>
        <w:spacing w:after="0" w:line="41"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2024 Term Loans will mature on May 9, 2029 and each advance under the 2024 Loan Agreement accrues interest at a fixed per annum rate of 11.00%. The 2024 Loan Agreement provides for interest-only payments on a quarterly basis until maturity. Upon repayment (whether at maturity, upon acceleration or by prepayment or otherwise), the Borrower shall pay an exit fee to the 2024 Lenders in the amount of 2.50% of the aggregate principal amount of the 2024 Term Loans to be paid (the “Exit Fee”). The Borrower may prepay the 2024 Term Loans in full or in part provided that the Borrower (i) provides at least two (2) business days’ prior written notice to the Agent, (ii) pays on the date of such prepayment (A) all outstanding principal to be prepaid plus accrued and unpaid interest, (B) a prepayment fee of 7.00% of the 2024 Term Loans so prepaid if paid on or before the first anniversary of the 2024 Effective Date; 5.00% of the 2024 Term Loans so prepaid if paid after the first anniversary of the 2024 Effective Date and on or before the second anniversary of the 2024 Effective Date; 2.00% of the 2024 Term Loans so prepaid if paid after the second anniversary of the 2024 Effective Date and on or before the third anniversary of the 2024 Effective Date or 1.00% of the 2024 Term Loans so prepaid if paid after the third anniversary of the 2024 Effective Date and on or before the fourth anniversary of the 2024 Effective Date, (C) the Exit Fee and (D) all other sums,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4" w:name="page125"/>
    <w:bookmarkEnd w:id="124"/>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any, that shall become due and payable under the 2024 Loan Agreement, including interest at the default rate with respect to any past due amounts. Amounts outstanding during an event of default are due upon the Majority Lenders’ (as defined in the 2024 Loan Agreement) demand (except during a payment or bankruptcy event of default, whereupon such default interest is automatically imposed) and shall accrue interest at an additional rate of 2.00% per annum, which interest shall be payable on demand in cash and (iii) any partial prepayment of the 2024 Term Loans shall be an aggregate amount at least equal to $5.0 million in a denomination that is a whole number multiple of $1.0 million in excess thereof.</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2024 Term Loans are secured by a lien on substantially all of the assets of the Borrower and the Company, including intellectual property, subject to customary exclusions and exceptions.</w:t>
      </w:r>
    </w:p>
    <w:p>
      <w:pPr>
        <w:spacing w:after="0" w:line="5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The 2024 Loan Agreement contains customary representations and warranties, covenants and events of default, including two financial covenants: (i) commencing on the 2024 Effective Date, the Borrower is required to maintain certain levels of cash, and, after the Account Control Agreement Completion Date (as defined in the Loan Agreement) subject to control agreements in favor of the Agent, and (ii) commencing on the fiscal quarter of Company ending on September 30, 2025, the Borrower and the Company are required to maintain quarterly trailing twelve-month net sales from the sale of ensifentrine in the United States; provided that such revenue covenant will be waived at any time (x) the Borrower and the Company’s unrestricted cash balance subject to control agreements in favor of the Agent on the last business day of the applicable fiscal quarter is equal to or greater than the product of 1.25 multiplied by the aggregate principal amount of outstanding 2024 Term Loans on such date or (y) the average daily closing price of the Company’s American Depositary Shares for each of the thirty (30) trading days preceding the last trading day of such fiscal quarter multiplied by the total number of issued and outstanding American Depositary Shares of the Company is at least $1.0 billion. The 2024 Loan Agreement also contains other customary provisions, such as expense reimbursement, as well as indemnification rights for the benefit of the Agent and the 2024 Lenders.</w:t>
      </w:r>
    </w:p>
    <w:p>
      <w:pPr>
        <w:spacing w:after="0" w:line="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2024 the interest rate was approximately 13% per annum and there was no material difference between the carrying value and the estimated fair value of the 2024 Term Loan.</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$125.0 million outstanding under the 2024 Term Loan is due in 2029.</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Interest Purchase and Sale Agreement</w:t>
      </w:r>
    </w:p>
    <w:p>
      <w:pPr>
        <w:spacing w:after="0" w:line="21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On May 9, 2024, the Company and Verona Pharma, Inc. (collectively the “Sellers”) entered into the RIPSA with Oaktree Fund Administration, LLC, a Delaware limited liability company, as administrative agent and certain funds managed by each of Oaktree and OMERS (collectively, the “Purchasers”). Under the terms of the RIPSA, in exchange for each of the Purchaser’s payment to the Sellers of a purchase price of $100 million, in the aggregate, upon approval of ensifentrine by the FDA by a specified date and subject to certain labeling conditions (the “Tranche A Purchase Price”), the Sellers agreed to a true sale of assigned interests to the Purchasers, including a right for the Purchasers to receive 6.50% on the global net sales of ensifentrine by the Sellers (the “Royalty Interest Payments”) and 5% on certain proceeds the Sellers receive from licensees engaged during the term of the RIPSA outside of the U.S. (the “Ex-U.S. Payments”). The Sellers will begin payment of the Royalty Interest Payments and Ex-U.S. Payments in the first fiscal quarter after receipt of the Tranche A Purchase Price. The Sellers will also have a right to receive an additional funding tranche equal to $150 million (the “Tranche B Purchase Price”) upon achievement of a specified net sales milestone in any trailing six-month period after receipt of the Tranche A Purchase Price and subject to certain terms and conditions. The Royalty Interest Payments and Ex-U.S. Payments will cease upon reaching a multiple of 1.75 times the amounts actually funded by the Purchasers. The RIPSA includes a buy-out option, which provides the Sellers with the right to settle all outstanding liabilities at any time by paying a buy-out amount under various terms and conditions. As of any date of determination, the aggregate amount of payments received by the Purchasers under the RIPSA, divided by the amount funded as of such date (the “MOIC”) equals 1.20x, if such date is on or before the one-year anniversary of the funding of the first tranche of the RIPSA, the MOIC equals 1.40x if such date is after the one-year anniversary of the Tranche A Funding Date and on or before the two-year anniversary of the Tranche A Funding Date, the MOIC equals 1.55x if such date is after the two-year anniversary of the Tranche A Funding Date and on or before the three-year anniversary of the Tranche A Funding Date, and the MOIC equals 1.75x if such date is after the three-year anniversary of the Tranche A Funding Date. The Purchasers have the right to terminate the RIPSA under certain conditions, including the Company’s insolvency, and the Company’s divestment of ensifentrine, in which case the Sellers must pay the Purchasers up to 1.75 times the amounts actually funded by the Purchasers as of such default determination date. Pursuant to a security agreement signed in connection with the RIPSA, the Sellers granted to the Purchasers a security interest in certain assets to secure obligations under the RIPSA.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5" w:name="page126"/>
    <w:bookmarkEnd w:id="125"/>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June 28, 2024, the Company received the Tranche A Purchase Price of $100.0 million.</w:t>
      </w:r>
    </w:p>
    <w:p>
      <w:pPr>
        <w:spacing w:after="0" w:line="10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As of December 31, 2024, the effective interest rate was approximately 25% per annum and there was no material difference between the carrying value and the estimated fair value of the RIPSA. The amount due under the RIPSA at December 31, 2024 relating to the net sales in the fourth quarter of 2024 was $2.4 million which is included in Other current liabilities on the Consolidated Balance Sheets.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RIPSA activity during the year ended December 31, 2024 (in thousands):</w:t>
            </w:r>
          </w:p>
        </w:tc>
        <w:tc>
          <w:tcPr>
            <w:tcW w:w="6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121"/>
        </w:trPr>
        <w:tc>
          <w:tcPr>
            <w:tcW w:w="9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RIPSA proceeds, gross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issuance costs, recorded as a discount</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(3,770)</w:t>
            </w:r>
          </w:p>
        </w:tc>
      </w:tr>
      <w:tr>
        <w:trPr>
          <w:trHeight w:val="23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recognized</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12,625</w:t>
            </w:r>
          </w:p>
        </w:tc>
      </w:tr>
      <w:tr>
        <w:trPr>
          <w:trHeight w:val="229"/>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RIPSA payments</w:t>
            </w:r>
          </w:p>
        </w:tc>
        <w:tc>
          <w:tcPr>
            <w:tcW w:w="6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9"/>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RIPSA payable on fourth quarter net sales</w:t>
            </w:r>
          </w:p>
        </w:tc>
        <w:tc>
          <w:tcPr>
            <w:tcW w:w="6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w:t>
            </w:r>
          </w:p>
        </w:tc>
      </w:tr>
      <w:tr>
        <w:trPr>
          <w:trHeight w:val="223"/>
        </w:trPr>
        <w:tc>
          <w:tcPr>
            <w:tcW w:w="9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RIPSA balance at December 31, 2024</w:t>
            </w: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106,107</w:t>
            </w:r>
          </w:p>
        </w:tc>
      </w:tr>
      <w:tr>
        <w:trPr>
          <w:trHeight w:val="20"/>
        </w:trPr>
        <w:tc>
          <w:tcPr>
            <w:tcW w:w="94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6" w:name="page127"/>
    <w:bookmarkEnd w:id="126"/>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Significant agreements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Ligand agreement</w:t>
      </w:r>
    </w:p>
    <w:p>
      <w:pPr>
        <w:spacing w:after="0" w:line="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2006 the Company acquired Rhinopharma and assumed contingent liabilities owed to Ligand UK Development Limited (“Ligand”) (formerly Vernalis Development Limited). The Company refers to the assignment and license agreement as the Ligand Agreement.</w:t>
      </w:r>
    </w:p>
    <w:p>
      <w:pPr>
        <w:spacing w:after="0" w:line="5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Ligand assigned to the Company all of its rights to certain patents and patent applications relating to ensifentrine and related compounds (the "Ligand Patents") and an exclusive, worldwide, royalty-bearing license under certain Ligand know-how to develop, manufacture and commercialize products (the "Ligand Licensed Products") developed using Ligand Patents, Ligand know-how and the physical stock of certain compounds.</w:t>
      </w:r>
    </w:p>
    <w:p>
      <w:pPr>
        <w:spacing w:after="0" w:line="7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was obligated to pay a milestone payment of £5.0 million upon obtaining the first approval of any regulatory authority for the commercialization of a Ligand Licensed Product, as well as low single digit royalties based on the future sales performance of all Ligand Licensed Products and a portion equal to a mid-twenty percent of any consideration received from any sub-licensees for the Ligand Patents and for Ligand know-how. Royalties payable are based on the future sales performance so the amount payable is unlimited.</w:t>
      </w:r>
    </w:p>
    <w:p>
      <w:pPr>
        <w:spacing w:after="0" w:line="6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time each contingency is resolved, the Company will record the contingent consideration payment (or payable) in connection with the Ligand Agreement as an expense.</w:t>
      </w:r>
    </w:p>
    <w:p>
      <w:pPr>
        <w:spacing w:after="0" w:line="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March 2022, the Company entered into an Amendment Agreement (the “Amendment”) with Ligand whereby the Ligand Agreement was amended to clarify certain ambiguous terms in the Ligand Agreement. Pursuant to the Amendment:</w:t>
      </w:r>
    </w:p>
    <w:p>
      <w:pPr>
        <w:spacing w:after="0" w:line="68" w:lineRule="exact"/>
        <w:rPr>
          <w:sz w:val="20"/>
          <w:szCs w:val="20"/>
          <w:color w:val="auto"/>
        </w:rPr>
      </w:pPr>
    </w:p>
    <w:p>
      <w:pPr>
        <w:jc w:val="both"/>
        <w:ind w:left="340" w:hanging="332"/>
        <w:spacing w:after="0"/>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pay to Ligand (i) $2.0 million within five business days of the date of the Amendment and (ii) $15.0 million upon the first commercial sale of ensifentrine by the Company or a sub-licensee, which amount is payable in cash or, at the Company's discretion, by the issuance of Company equity of equivalent value, as determined based on the volume-weighted average price of the Company's American Depositary Shares on the Nasdaq Global Market over the ten (10) trading days including and prior to such milestone event;</w:t>
      </w:r>
    </w:p>
    <w:p>
      <w:pPr>
        <w:spacing w:after="0" w:line="63"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Ligand Agreement shall expire on March 24, 2042 unless terminated earlier by either party in accordance with its terms;</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Ligand Agreement, any Sub-licensee (as defined in the Amendment) shall have the right to enter into a direct license agreement with Ligand for the portion of the Program IP (as defined in the Amendment) that was sub-licensed by such Sub-licensee;</w:t>
      </w:r>
    </w:p>
    <w:p>
      <w:pPr>
        <w:spacing w:after="0" w:line="40"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milestone payment may be paid in cash or, at the Company’s discretion, by issuing to Ligand shares in the Company of equivalent value; and</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party’s right to terminate the Ligand Agreement is conditioned upon such party obtaining a final judgment of the English High Court declaring that the other party is in material breach of its obligations under the Ligand Agreement.</w:t>
      </w:r>
    </w:p>
    <w:p>
      <w:pPr>
        <w:spacing w:after="0" w:line="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accounted for the $2.0 million payment at execution of the Amendment as selling, general and administrative expense in the Consolidated Statements of Operations and Comprehensive Loss as the payment is related to a contract modification.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FDA approval of Ohtuvayre on June 26, 2024, the Company has recognized the following in the year ended December 31, 2024:</w:t>
      </w:r>
    </w:p>
    <w:p>
      <w:pPr>
        <w:spacing w:after="0" w:line="90" w:lineRule="exact"/>
        <w:rPr>
          <w:sz w:val="20"/>
          <w:szCs w:val="20"/>
          <w:color w:val="auto"/>
        </w:rPr>
      </w:pPr>
    </w:p>
    <w:p>
      <w:pPr>
        <w:ind w:left="320" w:hanging="312"/>
        <w:spacing w:after="0"/>
        <w:tabs>
          <w:tab w:leader="none" w:pos="3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million in Research and development costs related to a milestone payment for first regulatory approval of ensifentrine; and</w:t>
      </w:r>
    </w:p>
    <w:p>
      <w:pPr>
        <w:spacing w:after="0" w:line="103" w:lineRule="exact"/>
        <w:rPr>
          <w:rFonts w:ascii="Times New Roman" w:cs="Times New Roman" w:eastAsia="Times New Roman" w:hAnsi="Times New Roman"/>
          <w:sz w:val="18"/>
          <w:szCs w:val="18"/>
          <w:color w:val="auto"/>
        </w:rPr>
      </w:pPr>
    </w:p>
    <w:p>
      <w:pPr>
        <w:ind w:left="340" w:hanging="332"/>
        <w:spacing w:after="0" w:line="266" w:lineRule="auto"/>
        <w:tabs>
          <w:tab w:leader="none" w:pos="33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 million related to a milestone payment for first commercial sale of ensifentrine. The Company has classified this as Selling, general and administrative expense as it relates to the resolution of the 2021 dispute with Ligand.</w:t>
      </w:r>
    </w:p>
    <w:p>
      <w:pPr>
        <w:spacing w:after="0" w:line="4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is obligated to pay low single digit royalties based on the net sales of all Ligand Licensed Products and expenses all costs related to royalty amounts as a cost of sales within the income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7" w:name="page128"/>
    <w:bookmarkEnd w:id="127"/>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Nuance agreement</w:t>
      </w:r>
    </w:p>
    <w:p>
      <w:pPr>
        <w:spacing w:after="0" w:line="10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The Company entered into a collaboration and license agreement (the “Nuance Agreement”) with Nuance Pharma Limited (“Nuance Pharma”) effective June 9, 2021 (the “Nuance Effective Date”), under which the Company granted Nuance Pharma the exclusive rights to develop and commercialize ensifentrine in Greater China (China, Taiwan, Hong Kong and Macau). In return, the Company received an unconditional right to consideration aggregating $40.0 million consisting of $25.0 million in cash and an equity interest, valued at $15.0 million as of the Nuance Effective Date, in Nuance Biotech, the parent company of Nuance Pharma. The Company is eligible to receive future milestone payments of up to $179.0 million triggered upon achievement of certain clinical, regulatory, and commercial milestones, as well as tiered double-digit royalties as a percentage of net sales of the products in Greater China. The Company will recognize these milestones when it is probable that a significant revenue reversal would not occur.</w:t>
      </w:r>
    </w:p>
    <w:p>
      <w:pPr>
        <w:spacing w:after="0" w:line="6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of December 31, 2024, the $15.0 million equity interest was recorded as Equity interest on the Consolidated Balance Sheets. The equity interest is recorded at cost as the Company has elected to use the measurement alternative for equity investments without readily determinable fair values. The Company evaluates this investment for indicators of impairment quarterly. The Company did not identify events or changes in circumstances that may have a significant effect on the fair value of the investment during the year ended December 31, 2024.</w:t>
      </w:r>
    </w:p>
    <w:p>
      <w:pPr>
        <w:spacing w:after="0" w:line="77"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Under the terms of the Nuance Agreement, at any time until three months prior to the expected submission of the first New Drug Application in Greater China, if (i) a third party is interested in partnering with the Company, either globally or in territory covering at least the United States or Europe, for the development and/or commercialization of ensifentrine or (ii) the Company undergoes a change of control, the Company will have an exclusive option right to buy back the license granted to Nuance Pharma and all related assets. The price is agreed to be equal to the aggregate of (i) all prior amounts paid by Nuance Pharma to the Company in cash under the agreement and (ii) all development and regulatory costs incurred and paid by Nuance Pharma in connection with the development and commercialization of ensifentrine under the Nuance Agreement multiplied by a single-digit factor range dependent upon achievement of certain milestones, subject to a specified maximum amount.</w:t>
      </w:r>
    </w:p>
    <w:p>
      <w:pPr>
        <w:spacing w:after="0" w:line="6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Nuance Agreement will continue on a jurisdiction-by-jurisdiction and product-by-product basis until the expiration of royalty payment obligations with respect to such product in such jurisdiction unless earlier terminated by the parties. Either party may terminate the Nuance Agreement for an uncured material breach or bankruptcy of the other party. Nuance Pharma may also terminate the Nuance Agreement at will upon 90 days' prior written notice.</w:t>
      </w:r>
    </w:p>
    <w:p>
      <w:pPr>
        <w:spacing w:after="0" w:line="5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reviewed the buy-back option and determined that because it is conditional on a third party the Company does not have the practical ability to exercise it and, accordingly, the contract is accounted for under ASC 606.</w:t>
      </w:r>
    </w:p>
    <w:p>
      <w:pPr>
        <w:spacing w:after="0" w:line="54"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On April 13, 2022, the Company formalized the Agreement for the Manufacture and Clinical Supply of ensifentrine (“Nuance Clinical Supply Agreement”) with Nuance Pharma. The Company determined that the manufacturing and supply of ensifentrine to Nuance represents a distinct and separate performance obligation, for which consideration to be received is variable based on the quantities to be ordered by Nuance. Revenue earned with the manufacture and supply of the licensed product is, and will be, recognized as the supply is delivered to Nuance. The Company has determined it is acting as principal in relation to the manufacture and supply under the Agreement. In its capacity as principal, the Company will recognize the associated revenue on a gross basis. In the year ended December 31, 2022, the Company recognized $0.5 million of revenue in relation to the clinical supply of ensifentrine to Nuance Pharma.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8" w:name="page129"/>
    <w:bookmarkEnd w:id="128"/>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Share-based compensation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various share based incentive plans for its staff and issues ordinary shares or ADSs when share-based awards are exercised.</w:t>
      </w:r>
    </w:p>
    <w:p>
      <w:pPr>
        <w:spacing w:after="0" w:line="9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records share-based compensation expense related to share options, RSUs and PRSUs granted to employees and directors. The expense is included in Cost of sales, Research and development and Selling, general and administrative costs, based on the nature of individual employees’ functions, and represents the relevant year's allocation of the expense. The costs of share-based compensation to employees are recognized in the Consolidated Statements of Operations and Comprehensive Loss, together with a corresponding increase in equity over the vesting period.</w:t>
      </w:r>
    </w:p>
    <w:p>
      <w:pPr>
        <w:spacing w:after="0" w:line="7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Options are issued with an exercise price of the closing market price on the day before the grant and generally vest over a period of one to four years and the contractual life of all options is ten years.</w:t>
      </w:r>
    </w:p>
    <w:p>
      <w:pPr>
        <w:spacing w:after="0" w:line="4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following table shows the allocation of share-based compensation between research and development and selling, general and administrative costs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90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4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9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Capitalized to inventory</w:t>
            </w: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20" w:type="dxa"/>
            <w:vAlign w:val="bottom"/>
            <w:shd w:val="clear" w:color="auto" w:fill="CCEEFF"/>
          </w:tcPr>
          <w:p>
            <w:pPr>
              <w:spacing w:after="0"/>
              <w:rPr>
                <w:sz w:val="24"/>
                <w:szCs w:val="24"/>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8"/>
        </w:trPr>
        <w:tc>
          <w:tcPr>
            <w:tcW w:w="6900" w:type="dxa"/>
            <w:vAlign w:val="bottom"/>
            <w:shd w:val="clear" w:color="auto" w:fill="CCEEFF"/>
          </w:tcPr>
          <w:p>
            <w:pPr>
              <w:spacing w:after="0"/>
              <w:rPr>
                <w:sz w:val="9"/>
                <w:szCs w:val="9"/>
                <w:color w:val="auto"/>
              </w:rPr>
            </w:pPr>
          </w:p>
        </w:tc>
        <w:tc>
          <w:tcPr>
            <w:tcW w:w="340" w:type="dxa"/>
            <w:vAlign w:val="bottom"/>
            <w:vMerge w:val="continue"/>
            <w:shd w:val="clear" w:color="auto" w:fill="CCEEFF"/>
          </w:tcPr>
          <w:p>
            <w:pPr>
              <w:spacing w:after="0"/>
              <w:rPr>
                <w:sz w:val="9"/>
                <w:szCs w:val="9"/>
                <w:color w:val="auto"/>
              </w:rPr>
            </w:pPr>
          </w:p>
        </w:tc>
        <w:tc>
          <w:tcPr>
            <w:tcW w:w="104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vMerge w:val="continue"/>
            <w:shd w:val="clear" w:color="auto" w:fill="CCEEFF"/>
          </w:tcPr>
          <w:p>
            <w:pPr>
              <w:spacing w:after="0"/>
              <w:rPr>
                <w:sz w:val="9"/>
                <w:szCs w:val="9"/>
                <w:color w:val="auto"/>
              </w:rPr>
            </w:pPr>
          </w:p>
        </w:tc>
        <w:tc>
          <w:tcPr>
            <w:tcW w:w="1280" w:type="dxa"/>
            <w:vAlign w:val="bottom"/>
            <w:gridSpan w:val="2"/>
            <w:vMerge w:val="continue"/>
            <w:shd w:val="clear" w:color="auto" w:fill="CCEEFF"/>
          </w:tcPr>
          <w:p>
            <w:pPr>
              <w:spacing w:after="0"/>
              <w:rPr>
                <w:sz w:val="9"/>
                <w:szCs w:val="9"/>
                <w:color w:val="auto"/>
              </w:rPr>
            </w:pPr>
          </w:p>
        </w:tc>
        <w:tc>
          <w:tcPr>
            <w:tcW w:w="320" w:type="dxa"/>
            <w:vAlign w:val="bottom"/>
            <w:vMerge w:val="continue"/>
            <w:shd w:val="clear" w:color="auto" w:fill="CCEEFF"/>
          </w:tcPr>
          <w:p>
            <w:pPr>
              <w:spacing w:after="0"/>
              <w:rPr>
                <w:sz w:val="9"/>
                <w:szCs w:val="9"/>
                <w:color w:val="auto"/>
              </w:rPr>
            </w:pPr>
          </w:p>
        </w:tc>
        <w:tc>
          <w:tcPr>
            <w:tcW w:w="10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29"/>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7,291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5,420</w:t>
            </w:r>
          </w:p>
        </w:tc>
        <w:tc>
          <w:tcPr>
            <w:tcW w:w="0" w:type="dxa"/>
            <w:vAlign w:val="bottom"/>
          </w:tcPr>
          <w:p>
            <w:pPr>
              <w:spacing w:after="0"/>
              <w:rPr>
                <w:sz w:val="1"/>
                <w:szCs w:val="1"/>
                <w:color w:val="auto"/>
              </w:rPr>
            </w:pPr>
          </w:p>
        </w:tc>
      </w:tr>
      <w:tr>
        <w:trPr>
          <w:trHeight w:val="338"/>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33,620</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8,701</w:t>
            </w:r>
          </w:p>
        </w:tc>
        <w:tc>
          <w:tcPr>
            <w:tcW w:w="0" w:type="dxa"/>
            <w:vAlign w:val="bottom"/>
          </w:tcPr>
          <w:p>
            <w:pPr>
              <w:spacing w:after="0"/>
              <w:rPr>
                <w:sz w:val="1"/>
                <w:szCs w:val="1"/>
                <w:color w:val="auto"/>
              </w:rPr>
            </w:pPr>
          </w:p>
        </w:tc>
      </w:tr>
      <w:tr>
        <w:trPr>
          <w:trHeight w:val="108"/>
        </w:trPr>
        <w:tc>
          <w:tcPr>
            <w:tcW w:w="6900" w:type="dxa"/>
            <w:vAlign w:val="bottom"/>
            <w:shd w:val="clear" w:color="auto" w:fill="CCEEFF"/>
          </w:tcPr>
          <w:p>
            <w:pPr>
              <w:spacing w:after="0"/>
              <w:rPr>
                <w:sz w:val="9"/>
                <w:szCs w:val="9"/>
                <w:color w:val="auto"/>
              </w:rPr>
            </w:pPr>
          </w:p>
        </w:tc>
        <w:tc>
          <w:tcPr>
            <w:tcW w:w="340" w:type="dxa"/>
            <w:vAlign w:val="bottom"/>
            <w:tcBorders>
              <w:bottom w:val="single" w:sz="8" w:color="auto"/>
            </w:tcBorders>
            <w:shd w:val="clear" w:color="auto" w:fill="CCEEFF"/>
          </w:tcPr>
          <w:p>
            <w:pPr>
              <w:spacing w:after="0"/>
              <w:rPr>
                <w:sz w:val="9"/>
                <w:szCs w:val="9"/>
                <w:color w:val="auto"/>
              </w:rPr>
            </w:pPr>
          </w:p>
        </w:tc>
        <w:tc>
          <w:tcPr>
            <w:tcW w:w="1040" w:type="dxa"/>
            <w:vAlign w:val="bottom"/>
            <w:tcBorders>
              <w:bottom w:val="single" w:sz="8" w:color="auto"/>
            </w:tcBorders>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tcBorders>
              <w:bottom w:val="single" w:sz="8" w:color="auto"/>
            </w:tcBorders>
            <w:shd w:val="clear" w:color="auto" w:fill="CCEEFF"/>
          </w:tcPr>
          <w:p>
            <w:pPr>
              <w:spacing w:after="0"/>
              <w:rPr>
                <w:sz w:val="9"/>
                <w:szCs w:val="9"/>
                <w:color w:val="auto"/>
              </w:rPr>
            </w:pPr>
          </w:p>
        </w:tc>
        <w:tc>
          <w:tcPr>
            <w:tcW w:w="1180" w:type="dxa"/>
            <w:vAlign w:val="bottom"/>
            <w:tcBorders>
              <w:bottom w:val="single" w:sz="8" w:color="auto"/>
            </w:tcBorders>
            <w:vMerge w:val="continue"/>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20" w:type="dxa"/>
            <w:vAlign w:val="bottom"/>
            <w:tcBorders>
              <w:bottom w:val="single" w:sz="8" w:color="auto"/>
            </w:tcBorders>
            <w:shd w:val="clear" w:color="auto" w:fill="CCEEFF"/>
          </w:tcPr>
          <w:p>
            <w:pPr>
              <w:spacing w:after="0"/>
              <w:rPr>
                <w:sz w:val="9"/>
                <w:szCs w:val="9"/>
                <w:color w:val="auto"/>
              </w:rPr>
            </w:pPr>
          </w:p>
        </w:tc>
        <w:tc>
          <w:tcPr>
            <w:tcW w:w="1060" w:type="dxa"/>
            <w:vAlign w:val="bottom"/>
            <w:tcBorders>
              <w:bottom w:val="single" w:sz="8" w:color="auto"/>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318"/>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share-based compensation</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41,244</w:t>
            </w:r>
          </w:p>
        </w:tc>
        <w:tc>
          <w:tcPr>
            <w:tcW w:w="120" w:type="dxa"/>
            <w:vAlign w:val="bottom"/>
          </w:tcPr>
          <w:p>
            <w:pPr>
              <w:spacing w:after="0"/>
              <w:rPr>
                <w:sz w:val="24"/>
                <w:szCs w:val="24"/>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10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14,121</w:t>
            </w:r>
          </w:p>
        </w:tc>
        <w:tc>
          <w:tcPr>
            <w:tcW w:w="0" w:type="dxa"/>
            <w:vAlign w:val="bottom"/>
          </w:tcPr>
          <w:p>
            <w:pPr>
              <w:spacing w:after="0"/>
              <w:rPr>
                <w:sz w:val="1"/>
                <w:szCs w:val="1"/>
                <w:color w:val="auto"/>
              </w:rPr>
            </w:pPr>
          </w:p>
        </w:tc>
      </w:tr>
      <w:tr>
        <w:trPr>
          <w:trHeight w:val="86"/>
        </w:trPr>
        <w:tc>
          <w:tcPr>
            <w:tcW w:w="6900" w:type="dxa"/>
            <w:vAlign w:val="bottom"/>
          </w:tcPr>
          <w:p>
            <w:pPr>
              <w:spacing w:after="0"/>
              <w:rPr>
                <w:sz w:val="7"/>
                <w:szCs w:val="7"/>
                <w:color w:val="auto"/>
              </w:rPr>
            </w:pPr>
          </w:p>
        </w:tc>
        <w:tc>
          <w:tcPr>
            <w:tcW w:w="340" w:type="dxa"/>
            <w:vAlign w:val="bottom"/>
            <w:tcBorders>
              <w:bottom w:val="single" w:sz="8" w:color="auto"/>
            </w:tcBorders>
            <w:vMerge w:val="continue"/>
          </w:tcPr>
          <w:p>
            <w:pPr>
              <w:spacing w:after="0"/>
              <w:rPr>
                <w:sz w:val="7"/>
                <w:szCs w:val="7"/>
                <w:color w:val="auto"/>
              </w:rPr>
            </w:pPr>
          </w:p>
        </w:tc>
        <w:tc>
          <w:tcPr>
            <w:tcW w:w="1040" w:type="dxa"/>
            <w:vAlign w:val="bottom"/>
            <w:tcBorders>
              <w:bottom w:val="single" w:sz="8" w:color="auto"/>
            </w:tcBorders>
            <w:vMerge w:val="continue"/>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Borders>
              <w:bottom w:val="single" w:sz="8" w:color="auto"/>
            </w:tcBorders>
            <w:vMerge w:val="continue"/>
          </w:tcPr>
          <w:p>
            <w:pPr>
              <w:spacing w:after="0"/>
              <w:rPr>
                <w:sz w:val="7"/>
                <w:szCs w:val="7"/>
                <w:color w:val="auto"/>
              </w:rPr>
            </w:pPr>
          </w:p>
        </w:tc>
        <w:tc>
          <w:tcPr>
            <w:tcW w:w="118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0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69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Pre-IPO Option Plan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Pre-IPO Option Plan was adopted by our board of directors on July 24, 2012. The total number of shares that may be issued under this plan is the current number of outstanding options over 1,110,000 ordinary shares, or 138,750 ADSs.</w:t>
      </w:r>
    </w:p>
    <w:p>
      <w:pPr>
        <w:spacing w:after="0" w:line="4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 further awards have been granted under the Pre-IPO Other Plan plan since the 2017 Incentive Award Plan was adopted, and no further awards will be granted under it.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Incentive Award Plan</w:t>
      </w:r>
    </w:p>
    <w:p>
      <w:pPr>
        <w:spacing w:after="0" w:line="94" w:lineRule="exact"/>
        <w:rPr>
          <w:sz w:val="20"/>
          <w:szCs w:val="20"/>
          <w:color w:val="auto"/>
        </w:rPr>
      </w:pPr>
    </w:p>
    <w:p>
      <w:pPr>
        <w:jc w:val="both"/>
        <w:ind w:right="20"/>
        <w:spacing w:after="0" w:line="242" w:lineRule="auto"/>
        <w:rPr>
          <w:sz w:val="20"/>
          <w:szCs w:val="20"/>
          <w:color w:val="auto"/>
        </w:rPr>
      </w:pPr>
      <w:r>
        <w:rPr>
          <w:rFonts w:ascii="Times New Roman" w:cs="Times New Roman" w:eastAsia="Times New Roman" w:hAnsi="Times New Roman"/>
          <w:sz w:val="18"/>
          <w:szCs w:val="18"/>
          <w:color w:val="auto"/>
        </w:rPr>
        <w:t>The 2017 Incentive Award Plan was adopted by our board of directors and became effective on April 26, 2017, in order to grant share based compensation to certain of the Company’s directors and employees. It provides for the grant of stock options, RSUs, and other share-based awards to Company’s directors, officers, employees and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9" w:name="page130"/>
    <w:bookmarkEnd w:id="129"/>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option activity</w:t>
      </w:r>
    </w:p>
    <w:p>
      <w:pPr>
        <w:spacing w:after="0" w:line="106"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The number of options, the weighted average grant date fair value per stock option, and the weighted average exercise price are all shown below on a per ordinary shares basis. The Company’s ADSs that are listed on the Nasdaq Global Market each represent eight ordinary shares.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share option activity and includes the options outstanding from the plans: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6"/>
        </w:trPr>
        <w:tc>
          <w:tcPr>
            <w:tcW w:w="53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2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62"/>
        </w:trPr>
        <w:tc>
          <w:tcPr>
            <w:tcW w:w="5340" w:type="dxa"/>
            <w:vAlign w:val="bottom"/>
          </w:tcPr>
          <w:p>
            <w:pPr>
              <w:spacing w:after="0"/>
              <w:rPr>
                <w:sz w:val="14"/>
                <w:szCs w:val="14"/>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w:t>
            </w:r>
          </w:p>
        </w:tc>
        <w:tc>
          <w:tcPr>
            <w:tcW w:w="1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contractual term</w:t>
            </w:r>
          </w:p>
        </w:tc>
        <w:tc>
          <w:tcPr>
            <w:tcW w:w="120" w:type="dxa"/>
            <w:vAlign w:val="bottom"/>
          </w:tcPr>
          <w:p>
            <w:pPr>
              <w:spacing w:after="0"/>
              <w:rPr>
                <w:sz w:val="14"/>
                <w:szCs w:val="14"/>
                <w:color w:val="auto"/>
              </w:rPr>
            </w:pPr>
          </w:p>
        </w:tc>
        <w:tc>
          <w:tcPr>
            <w:tcW w:w="1280" w:type="dxa"/>
            <w:vAlign w:val="bottom"/>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Aggregate intrinsic</w:t>
            </w:r>
          </w:p>
        </w:tc>
      </w:tr>
      <w:tr>
        <w:trPr>
          <w:trHeight w:val="204"/>
        </w:trPr>
        <w:tc>
          <w:tcPr>
            <w:tcW w:w="534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 xml:space="preserve">exercise price </w:t>
            </w:r>
            <w:r>
              <w:rPr>
                <w:rFonts w:ascii="Times New Roman" w:cs="Times New Roman" w:eastAsia="Times New Roman" w:hAnsi="Times New Roman"/>
                <w:sz w:val="9"/>
                <w:szCs w:val="9"/>
                <w:b w:val="1"/>
                <w:bCs w:val="1"/>
                <w:color w:val="auto"/>
              </w:rPr>
              <w:t>(1)</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value (in thousands)</w:t>
            </w:r>
          </w:p>
        </w:tc>
      </w:tr>
      <w:tr>
        <w:trPr>
          <w:trHeight w:val="37"/>
        </w:trPr>
        <w:tc>
          <w:tcPr>
            <w:tcW w:w="534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1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24,689,624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24,022</w:t>
            </w:r>
          </w:p>
        </w:tc>
      </w:tr>
      <w:tr>
        <w:trPr>
          <w:trHeight w:val="108"/>
        </w:trPr>
        <w:tc>
          <w:tcPr>
            <w:tcW w:w="534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13,416,000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9"/>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(848,632)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(4,223,600)</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r>
      <w:tr>
        <w:trPr>
          <w:trHeight w:val="318"/>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32,873,392</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129,164</w:t>
            </w:r>
          </w:p>
        </w:tc>
      </w:tr>
      <w:tr>
        <w:trPr>
          <w:trHeight w:val="81"/>
        </w:trPr>
        <w:tc>
          <w:tcPr>
            <w:tcW w:w="5340" w:type="dxa"/>
            <w:vAlign w:val="bottom"/>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 at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14,036,712</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40" w:type="dxa"/>
            <w:vAlign w:val="bottom"/>
            <w:shd w:val="clear" w:color="auto" w:fill="CCEEFF"/>
          </w:tcPr>
          <w:p>
            <w:pPr>
              <w:spacing w:after="0"/>
              <w:rPr>
                <w:sz w:val="24"/>
                <w:szCs w:val="24"/>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60,058</w:t>
            </w:r>
          </w:p>
        </w:tc>
      </w:tr>
      <w:tr>
        <w:trPr>
          <w:trHeight w:val="94"/>
        </w:trPr>
        <w:tc>
          <w:tcPr>
            <w:tcW w:w="5340" w:type="dxa"/>
            <w:vAlign w:val="bottom"/>
            <w:shd w:val="clear" w:color="auto" w:fill="CCEEFF"/>
          </w:tcPr>
          <w:p>
            <w:pPr>
              <w:spacing w:after="0"/>
              <w:rPr>
                <w:sz w:val="8"/>
                <w:szCs w:val="8"/>
                <w:color w:val="auto"/>
              </w:rPr>
            </w:pPr>
          </w:p>
        </w:tc>
        <w:tc>
          <w:tcPr>
            <w:tcW w:w="14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280" w:type="dxa"/>
            <w:vAlign w:val="bottom"/>
            <w:shd w:val="clear" w:color="auto" w:fill="CCEEFF"/>
          </w:tcPr>
          <w:p>
            <w:pPr>
              <w:spacing w:after="0"/>
              <w:rPr>
                <w:sz w:val="8"/>
                <w:szCs w:val="8"/>
                <w:color w:val="auto"/>
              </w:rPr>
            </w:pPr>
          </w:p>
        </w:tc>
      </w:tr>
    </w:tbl>
    <w:p>
      <w:pPr>
        <w:spacing w:after="0" w:line="139" w:lineRule="exact"/>
        <w:rPr>
          <w:sz w:val="20"/>
          <w:szCs w:val="20"/>
          <w:color w:val="auto"/>
        </w:rPr>
      </w:pPr>
    </w:p>
    <w:p>
      <w:pPr>
        <w:ind w:left="180" w:hanging="172"/>
        <w:spacing w:after="0"/>
        <w:tabs>
          <w:tab w:leader="none" w:pos="180" w:val="left"/>
        </w:tabs>
        <w:numPr>
          <w:ilvl w:val="0"/>
          <w:numId w:val="5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exercise prices relate to the equivalent price for an ordinary share, calculated as one eighth of the ADS price.</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following summarizes the aggregate intrinsic value and cash receipts related to stock option exercise activity for the years ended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67310</wp:posOffset>
            </wp:positionV>
            <wp:extent cx="27686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6">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145"/>
        </w:trPr>
        <w:tc>
          <w:tcPr>
            <w:tcW w:w="688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intrinsic value of stock options exercised</w:t>
            </w:r>
          </w:p>
        </w:tc>
        <w:tc>
          <w:tcPr>
            <w:tcW w:w="88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7,995</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receipts from stock options exercised</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Pr>
          <w:p>
            <w:pPr>
              <w:spacing w:after="0"/>
              <w:rPr>
                <w:sz w:val="20"/>
                <w:szCs w:val="20"/>
                <w:color w:val="auto"/>
              </w:rPr>
            </w:pPr>
          </w:p>
        </w:tc>
        <w:tc>
          <w:tcPr>
            <w:tcW w:w="88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1,372</w:t>
            </w:r>
          </w:p>
        </w:tc>
      </w:tr>
    </w:tbl>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Determining the fair value of share options</w:t>
      </w:r>
    </w:p>
    <w:p>
      <w:pPr>
        <w:spacing w:after="0" w:line="10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The total fair values of the options, estimated using the Black-Scholes option-pricing model for equity-settled compensation, amounted to $22.5 million for options granted in the year ended December 31, 2024 and $13.2 million for instruments granted in the year ended December 31, 2023. The cost is amortized over the vesting period of the options on a straight-line basis using the graded-vesting method.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assumptions were used for the Black-Scholes valuation of share options granted in 2024, 2023, and 2022:</w:t>
      </w:r>
    </w:p>
    <w:p>
      <w:pPr>
        <w:spacing w:after="0" w:line="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volatility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Volatility is calculated using historical daily averages of the Company's share price over a period that is in line with the expected life of the options.</w:t>
      </w:r>
    </w:p>
    <w:p>
      <w:pPr>
        <w:spacing w:after="0" w:line="1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Fair value of ordinary shares</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Prior to delisting from the AIM in October 2020, the fair value of ordinary shares was based on the closing share price of the Company’s shares on AIM on the evening before the date of grant. Subsequently, the fair value has been based on the closing price of ADSs traded on Nasdaq on the evening before the date of grant.</w:t>
      </w:r>
    </w:p>
    <w:p>
      <w:pPr>
        <w:spacing w:after="0" w:line="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Risk-free interest rate</w:t>
      </w:r>
    </w:p>
    <w:p>
      <w:pPr>
        <w:spacing w:after="0" w:line="106"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18"/>
          <w:szCs w:val="18"/>
          <w:color w:val="auto"/>
        </w:rPr>
        <w:t>The risk-free interest rate has been based on U.K. Government debt yield for the relevant term at the time of grant up until October 20, 2020 when the company delisted from AIM. After this, appropriate U.S. Treasury yield rates were used.</w:t>
      </w:r>
    </w:p>
    <w:p>
      <w:pPr>
        <w:spacing w:after="0" w:line="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term</w:t>
      </w:r>
    </w:p>
    <w:p>
      <w:pPr>
        <w:spacing w:after="0" w:line="10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As the Company does not have sufficient history to estimate its expected term, the Company applied the simplified method of estimating the expected term of the options, as described in the SEC’s Staff Accounting Bulletins 107 and 110. The expected term, calculated under the simplified method, is applied to all stock options which have similar contractual terms. Using this method, the expected term is determined using the average of the vesting period and the contractual life of the stock options granted.</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0" w:name="page131"/>
    <w:bookmarkEnd w:id="130"/>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Expected dividend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expected dividends.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weighted-average assumptions applicable to the share options granted in the applicable years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37"/>
        </w:trPr>
        <w:tc>
          <w:tcPr>
            <w:tcW w:w="6580" w:type="dxa"/>
            <w:vAlign w:val="bottom"/>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186"/>
        </w:trPr>
        <w:tc>
          <w:tcPr>
            <w:tcW w:w="6580" w:type="dxa"/>
            <w:vAlign w:val="bottom"/>
          </w:tcPr>
          <w:p>
            <w:pPr>
              <w:spacing w:after="0"/>
              <w:rPr>
                <w:sz w:val="16"/>
                <w:szCs w:val="16"/>
                <w:color w:val="auto"/>
              </w:rPr>
            </w:pPr>
          </w:p>
        </w:tc>
        <w:tc>
          <w:tcPr>
            <w:tcW w:w="14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80" w:type="dxa"/>
            <w:vAlign w:val="bottom"/>
            <w:gridSpan w:val="2"/>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580" w:type="dxa"/>
            <w:vAlign w:val="bottom"/>
            <w:tcBorders>
              <w:bottom w:val="single" w:sz="8" w:color="CCEEFF"/>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31"/>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 - 4.60%</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 - 4.69%</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 - 4.20%</w:t>
            </w:r>
          </w:p>
        </w:tc>
      </w:tr>
      <w:tr>
        <w:trPr>
          <w:trHeight w:val="108"/>
        </w:trPr>
        <w:tc>
          <w:tcPr>
            <w:tcW w:w="65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338"/>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lives, years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108"/>
        </w:trPr>
        <w:tc>
          <w:tcPr>
            <w:tcW w:w="65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80" w:type="dxa"/>
            <w:vAlign w:val="bottom"/>
          </w:tcPr>
          <w:p>
            <w:pPr>
              <w:spacing w:after="0"/>
              <w:rPr>
                <w:sz w:val="9"/>
                <w:szCs w:val="9"/>
                <w:color w:val="auto"/>
              </w:rPr>
            </w:pPr>
          </w:p>
        </w:tc>
      </w:tr>
      <w:tr>
        <w:trPr>
          <w:trHeight w:val="33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79.31% - 84.68%</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80.64% - 87.26%</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82.50% - 84.27%</w:t>
            </w:r>
          </w:p>
        </w:tc>
      </w:tr>
      <w:tr>
        <w:trPr>
          <w:trHeight w:val="108"/>
        </w:trPr>
        <w:tc>
          <w:tcPr>
            <w:tcW w:w="65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29"/>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16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9"/>
                <w:szCs w:val="19"/>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33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Grant date fair value (per share)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$1.08 - $3.70</w:t>
            </w:r>
          </w:p>
        </w:tc>
        <w:tc>
          <w:tcPr>
            <w:tcW w:w="120" w:type="dxa"/>
            <w:vAlign w:val="bottom"/>
            <w:shd w:val="clear" w:color="auto" w:fill="CCEEFF"/>
          </w:tcPr>
          <w:p>
            <w:pPr>
              <w:spacing w:after="0"/>
              <w:rPr>
                <w:sz w:val="24"/>
                <w:szCs w:val="24"/>
                <w:color w:val="auto"/>
              </w:rPr>
            </w:pPr>
          </w:p>
        </w:tc>
        <w:tc>
          <w:tcPr>
            <w:tcW w:w="1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$1.69 - $3.27</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$0.34 - $1.33</w:t>
            </w:r>
          </w:p>
        </w:tc>
      </w:tr>
      <w:tr>
        <w:trPr>
          <w:trHeight w:val="108"/>
        </w:trPr>
        <w:tc>
          <w:tcPr>
            <w:tcW w:w="65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3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405"/>
        </w:trPr>
        <w:tc>
          <w:tcPr>
            <w:tcW w:w="65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Restricted stock units activity</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97"/>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RSU activity:</w:t>
            </w: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13"/>
        </w:trPr>
        <w:tc>
          <w:tcPr>
            <w:tcW w:w="6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65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80" w:type="dxa"/>
            <w:vAlign w:val="bottom"/>
          </w:tcPr>
          <w:p>
            <w:pPr>
              <w:spacing w:after="0"/>
              <w:rPr>
                <w:sz w:val="16"/>
                <w:szCs w:val="16"/>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658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r>
      <w:tr>
        <w:trPr>
          <w:trHeight w:val="3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19,502,624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108"/>
        </w:trPr>
        <w:tc>
          <w:tcPr>
            <w:tcW w:w="6580" w:type="dxa"/>
            <w:vAlign w:val="bottom"/>
            <w:shd w:val="clear" w:color="auto" w:fill="CCEEFF"/>
          </w:tcPr>
          <w:p>
            <w:pPr>
              <w:spacing w:after="0"/>
              <w:rPr>
                <w:sz w:val="9"/>
                <w:szCs w:val="9"/>
                <w:color w:val="auto"/>
              </w:rPr>
            </w:pPr>
          </w:p>
        </w:tc>
        <w:tc>
          <w:tcPr>
            <w:tcW w:w="14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400" w:type="dxa"/>
            <w:vAlign w:val="bottom"/>
            <w:gridSpan w:val="2"/>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6,709,896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w:t>
            </w:r>
          </w:p>
        </w:tc>
      </w:tr>
      <w:tr>
        <w:trPr>
          <w:trHeight w:val="22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(1,261,048)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30"/>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(10,121,360)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318"/>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14,830,112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106"/>
        </w:trPr>
        <w:tc>
          <w:tcPr>
            <w:tcW w:w="6580" w:type="dxa"/>
            <w:vAlign w:val="bottom"/>
            <w:tcBorders>
              <w:bottom w:val="single" w:sz="8" w:color="CCEEFF"/>
            </w:tcBorders>
            <w:shd w:val="clear" w:color="auto" w:fill="CCEEFF"/>
          </w:tcPr>
          <w:p>
            <w:pPr>
              <w:spacing w:after="0"/>
              <w:rPr>
                <w:sz w:val="8"/>
                <w:szCs w:val="8"/>
                <w:color w:val="auto"/>
              </w:rPr>
            </w:pPr>
          </w:p>
        </w:tc>
        <w:tc>
          <w:tcPr>
            <w:tcW w:w="14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300" w:type="dxa"/>
            <w:vAlign w:val="bottom"/>
            <w:tcBorders>
              <w:bottom w:val="single" w:sz="8" w:color="auto"/>
            </w:tcBorders>
            <w:shd w:val="clear" w:color="auto" w:fill="CCEEFF"/>
          </w:tcPr>
          <w:p>
            <w:pPr>
              <w:spacing w:after="0"/>
              <w:rPr>
                <w:sz w:val="8"/>
                <w:szCs w:val="8"/>
                <w:color w:val="auto"/>
              </w:rPr>
            </w:pPr>
          </w:p>
        </w:tc>
        <w:tc>
          <w:tcPr>
            <w:tcW w:w="1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auto"/>
            </w:tcBorders>
            <w:shd w:val="clear" w:color="auto" w:fill="CCEEFF"/>
          </w:tcPr>
          <w:p>
            <w:pPr>
              <w:spacing w:after="0"/>
              <w:rPr>
                <w:sz w:val="8"/>
                <w:szCs w:val="8"/>
                <w:color w:val="auto"/>
              </w:rPr>
            </w:pPr>
          </w:p>
        </w:tc>
        <w:tc>
          <w:tcPr>
            <w:tcW w:w="1280" w:type="dxa"/>
            <w:vAlign w:val="bottom"/>
            <w:tcBorders>
              <w:bottom w:val="single" w:sz="8" w:color="auto"/>
            </w:tcBorders>
            <w:shd w:val="clear" w:color="auto" w:fill="CCEEFF"/>
          </w:tcPr>
          <w:p>
            <w:pPr>
              <w:spacing w:after="0"/>
              <w:rPr>
                <w:sz w:val="8"/>
                <w:szCs w:val="8"/>
                <w:color w:val="auto"/>
              </w:rPr>
            </w:pP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intrinsic value of RSUs that vested in the years ended December 31, 2024, 2023 and 2022, was $26.8 million, $41.5 million and $14.3 million, respectively.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Restricted Stock Units (“PRSUs”)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PRSU activity: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3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Weighted average</w:t>
            </w:r>
          </w:p>
        </w:tc>
      </w:tr>
      <w:tr>
        <w:trPr>
          <w:trHeight w:val="190"/>
        </w:trPr>
        <w:tc>
          <w:tcPr>
            <w:tcW w:w="8360" w:type="dxa"/>
            <w:vAlign w:val="bottom"/>
          </w:tcPr>
          <w:p>
            <w:pPr>
              <w:spacing w:after="0"/>
              <w:rPr>
                <w:sz w:val="16"/>
                <w:szCs w:val="16"/>
                <w:color w:val="auto"/>
              </w:rPr>
            </w:pPr>
          </w:p>
        </w:tc>
        <w:tc>
          <w:tcPr>
            <w:tcW w:w="14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r>
      <w:tr>
        <w:trPr>
          <w:trHeight w:val="37"/>
        </w:trPr>
        <w:tc>
          <w:tcPr>
            <w:tcW w:w="836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3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January 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10,730,144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108"/>
        </w:trPr>
        <w:tc>
          <w:tcPr>
            <w:tcW w:w="8360" w:type="dxa"/>
            <w:vAlign w:val="bottom"/>
            <w:shd w:val="clear" w:color="auto" w:fill="CCEEFF"/>
          </w:tcPr>
          <w:p>
            <w:pPr>
              <w:spacing w:after="0"/>
              <w:rPr>
                <w:sz w:val="9"/>
                <w:szCs w:val="9"/>
                <w:color w:val="auto"/>
              </w:rPr>
            </w:pPr>
          </w:p>
        </w:tc>
        <w:tc>
          <w:tcPr>
            <w:tcW w:w="14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r>
      <w:tr>
        <w:trPr>
          <w:trHeight w:val="230"/>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25,162,130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w:t>
            </w:r>
          </w:p>
        </w:tc>
      </w:tr>
      <w:tr>
        <w:trPr>
          <w:trHeight w:val="23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(931,084)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0"/>
        </w:trPr>
        <w:tc>
          <w:tcPr>
            <w:tcW w:w="8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(4,399,216)</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318"/>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2024</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30,561,974</w:t>
            </w: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r>
      <w:tr>
        <w:trPr>
          <w:trHeight w:val="106"/>
        </w:trPr>
        <w:tc>
          <w:tcPr>
            <w:tcW w:w="8360" w:type="dxa"/>
            <w:vAlign w:val="bottom"/>
            <w:tcBorders>
              <w:bottom w:val="single" w:sz="8" w:color="CCEEFF"/>
            </w:tcBorders>
            <w:shd w:val="clear" w:color="auto" w:fill="CCEEFF"/>
          </w:tcPr>
          <w:p>
            <w:pPr>
              <w:spacing w:after="0"/>
              <w:rPr>
                <w:sz w:val="8"/>
                <w:szCs w:val="8"/>
                <w:color w:val="auto"/>
              </w:rPr>
            </w:pPr>
          </w:p>
        </w:tc>
        <w:tc>
          <w:tcPr>
            <w:tcW w:w="1400" w:type="dxa"/>
            <w:vAlign w:val="bottom"/>
            <w:tcBorders>
              <w:bottom w:val="single" w:sz="8" w:color="auto"/>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140" w:type="dxa"/>
            <w:vAlign w:val="bottom"/>
            <w:tcBorders>
              <w:bottom w:val="single" w:sz="8" w:color="auto"/>
            </w:tcBorders>
            <w:shd w:val="clear" w:color="auto" w:fill="CCEEFF"/>
          </w:tcPr>
          <w:p>
            <w:pPr>
              <w:spacing w:after="0"/>
              <w:rPr>
                <w:sz w:val="8"/>
                <w:szCs w:val="8"/>
                <w:color w:val="auto"/>
              </w:rPr>
            </w:pPr>
          </w:p>
        </w:tc>
        <w:tc>
          <w:tcPr>
            <w:tcW w:w="1260" w:type="dxa"/>
            <w:vAlign w:val="bottom"/>
            <w:tcBorders>
              <w:bottom w:val="single" w:sz="8" w:color="auto"/>
            </w:tcBorders>
            <w:shd w:val="clear" w:color="auto" w:fill="CCEEFF"/>
          </w:tcPr>
          <w:p>
            <w:pPr>
              <w:spacing w:after="0"/>
              <w:rPr>
                <w:sz w:val="8"/>
                <w:szCs w:val="8"/>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intrinsic value of PRSUs that vested in the year ended December 31, 2024 was $12.9 million, with no PRSUs vested in 2023 or 2022.</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December 31, 2024, total compensation cost related to share options, RSUs and PRSUs granted but not yet recognized was $141.9 million. This cost will be amortized to expense over a weighted average remaining period of approximately 1 year and will be adjusted for subsequent forfeitures.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1" w:name="page132"/>
    <w:bookmarkEnd w:id="131"/>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Benefit plans</w:t>
      </w:r>
    </w:p>
    <w:p>
      <w:pPr>
        <w:spacing w:after="0" w:line="216"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The Company maintains a 401(k) defined contribution retirement plan in the U.S. and a defined contribution plan in the U.K. for its employees and executive directors. The assets of the plans are held separately from those of the Company in independently administered funds.</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retirement plan cost represents the contributions payable by the Company to the plans during the year. Defined contribution costs during the years ended December 31, 2024, 2023 and 2022 amounted to $1.2 million, $0.6 million and $0.3 million respectively.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Taxation</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Verona Pharma plc operates in the United Kingdom and Verona Pharma, Inc. operates in the United States and they are subject to income taxes in those countries. For the year ended December 31, 2024 the U.K. corporation tax is charged at 25.0% and the U.S. federal corporate income tax rate is 21%.</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(loss)/profit before income taxes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5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(107,460)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7,429</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9"/>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(55,669)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(61,324)</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(72,316)</w:t>
            </w:r>
          </w:p>
        </w:tc>
        <w:tc>
          <w:tcPr>
            <w:tcW w:w="0" w:type="dxa"/>
            <w:vAlign w:val="bottom"/>
          </w:tcPr>
          <w:p>
            <w:pPr>
              <w:spacing w:after="0"/>
              <w:rPr>
                <w:sz w:val="1"/>
                <w:szCs w:val="1"/>
                <w:color w:val="auto"/>
              </w:rPr>
            </w:pPr>
          </w:p>
        </w:tc>
      </w:tr>
      <w:tr>
        <w:trPr>
          <w:trHeight w:val="248"/>
        </w:trPr>
        <w:tc>
          <w:tcPr>
            <w:tcW w:w="6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(163,129)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(53,895)</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(68,448)</w:t>
            </w:r>
          </w:p>
        </w:tc>
        <w:tc>
          <w:tcPr>
            <w:tcW w:w="0" w:type="dxa"/>
            <w:vAlign w:val="bottom"/>
          </w:tcPr>
          <w:p>
            <w:pPr>
              <w:spacing w:after="0"/>
              <w:rPr>
                <w:sz w:val="1"/>
                <w:szCs w:val="1"/>
                <w:color w:val="auto"/>
              </w:rPr>
            </w:pPr>
          </w:p>
        </w:tc>
      </w:tr>
      <w:tr>
        <w:trPr>
          <w:trHeight w:val="20"/>
        </w:trPr>
        <w:tc>
          <w:tcPr>
            <w:tcW w:w="68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components of income tax expense are as follows (in thousands):</w:t>
            </w: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9"/>
        </w:trPr>
        <w:tc>
          <w:tcPr>
            <w:tcW w:w="682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520" w:type="dxa"/>
            <w:vAlign w:val="bottom"/>
            <w:tcBorders>
              <w:bottom w:val="single" w:sz="8" w:color="CCEEFF"/>
            </w:tcBorders>
          </w:tcPr>
          <w:p>
            <w:pPr>
              <w:spacing w:after="0"/>
              <w:rPr>
                <w:sz w:val="3"/>
                <w:szCs w:val="3"/>
                <w:color w:val="auto"/>
              </w:rPr>
            </w:pPr>
          </w:p>
        </w:tc>
        <w:tc>
          <w:tcPr>
            <w:tcW w:w="3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gridSpan w:val="2"/>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30"/>
        </w:trPr>
        <w:tc>
          <w:tcPr>
            <w:tcW w:w="6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3"/>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tax expense</w:t>
            </w:r>
          </w:p>
        </w:tc>
        <w:tc>
          <w:tcPr>
            <w:tcW w:w="220" w:type="dxa"/>
            <w:vAlign w:val="bottom"/>
            <w:gridSpan w:val="2"/>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shd w:val="clear" w:color="auto" w:fill="CCEEFF"/>
          </w:tcPr>
          <w:p>
            <w:pPr>
              <w:spacing w:after="0"/>
              <w:rPr>
                <w:sz w:val="24"/>
                <w:szCs w:val="24"/>
                <w:color w:val="auto"/>
              </w:rPr>
            </w:pPr>
          </w:p>
        </w:tc>
        <w:tc>
          <w:tcPr>
            <w:tcW w:w="300" w:type="dxa"/>
            <w:vAlign w:val="bottom"/>
            <w:gridSpan w:val="3"/>
            <w:vMerge w:val="restart"/>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32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101"/>
        </w:trPr>
        <w:tc>
          <w:tcPr>
            <w:tcW w:w="652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220" w:type="dxa"/>
            <w:vAlign w:val="bottom"/>
            <w:gridSpan w:val="2"/>
            <w:vMerge w:val="continue"/>
            <w:shd w:val="clear" w:color="auto" w:fill="CCEEFF"/>
          </w:tcPr>
          <w:p>
            <w:pPr>
              <w:spacing w:after="0"/>
              <w:rPr>
                <w:sz w:val="8"/>
                <w:szCs w:val="8"/>
                <w:color w:val="auto"/>
              </w:rPr>
            </w:pPr>
          </w:p>
        </w:tc>
        <w:tc>
          <w:tcPr>
            <w:tcW w:w="1180" w:type="dxa"/>
            <w:vAlign w:val="bottom"/>
            <w:gridSpan w:val="3"/>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00" w:type="dxa"/>
            <w:vAlign w:val="bottom"/>
            <w:gridSpan w:val="3"/>
            <w:vMerge w:val="continue"/>
            <w:shd w:val="clear" w:color="auto" w:fill="CCEEFF"/>
          </w:tcPr>
          <w:p>
            <w:pPr>
              <w:spacing w:after="0"/>
              <w:rPr>
                <w:sz w:val="8"/>
                <w:szCs w:val="8"/>
                <w:color w:val="auto"/>
              </w:rPr>
            </w:pPr>
          </w:p>
        </w:tc>
        <w:tc>
          <w:tcPr>
            <w:tcW w:w="1180" w:type="dxa"/>
            <w:vAlign w:val="bottom"/>
            <w:gridSpan w:val="2"/>
            <w:vMerge w:val="continue"/>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vMerge w:val="continue"/>
            <w:shd w:val="clear" w:color="auto" w:fill="CCEEFF"/>
          </w:tcPr>
          <w:p>
            <w:pPr>
              <w:spacing w:after="0"/>
              <w:rPr>
                <w:sz w:val="8"/>
                <w:szCs w:val="8"/>
                <w:color w:val="auto"/>
              </w:rPr>
            </w:pPr>
          </w:p>
        </w:tc>
        <w:tc>
          <w:tcPr>
            <w:tcW w:w="10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gridSpan w:val="2"/>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gridSpan w:val="2"/>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3"/>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5"/>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8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expense</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gridSpan w:val="2"/>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18"/>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 income tax expense</w:t>
            </w:r>
          </w:p>
        </w:tc>
        <w:tc>
          <w:tcPr>
            <w:tcW w:w="2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10,289</w:t>
            </w:r>
          </w:p>
        </w:tc>
        <w:tc>
          <w:tcPr>
            <w:tcW w:w="20" w:type="dxa"/>
            <w:vAlign w:val="bottom"/>
          </w:tcPr>
          <w:p>
            <w:pPr>
              <w:spacing w:after="0"/>
              <w:rPr>
                <w:sz w:val="24"/>
                <w:szCs w:val="24"/>
                <w:color w:val="auto"/>
              </w:rPr>
            </w:pPr>
          </w:p>
        </w:tc>
        <w:tc>
          <w:tcPr>
            <w:tcW w:w="100" w:type="dxa"/>
            <w:vAlign w:val="bottom"/>
            <w:vMerge w:val="restart"/>
          </w:tcPr>
          <w:p>
            <w:pPr>
              <w:spacing w:after="0"/>
              <w:rPr>
                <w:sz w:val="24"/>
                <w:szCs w:val="24"/>
                <w:color w:val="auto"/>
              </w:rPr>
            </w:pPr>
          </w:p>
        </w:tc>
        <w:tc>
          <w:tcPr>
            <w:tcW w:w="200" w:type="dxa"/>
            <w:vAlign w:val="bottom"/>
            <w:gridSpan w:val="2"/>
            <w:vMerge w:val="restart"/>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474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86"/>
        </w:trPr>
        <w:tc>
          <w:tcPr>
            <w:tcW w:w="6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20" w:type="dxa"/>
            <w:vAlign w:val="bottom"/>
            <w:tcBorders>
              <w:bottom w:val="single" w:sz="8" w:color="auto"/>
            </w:tcBorders>
            <w:gridSpan w:val="2"/>
            <w:vMerge w:val="continue"/>
          </w:tcPr>
          <w:p>
            <w:pPr>
              <w:spacing w:after="0"/>
              <w:rPr>
                <w:sz w:val="7"/>
                <w:szCs w:val="7"/>
                <w:color w:val="auto"/>
              </w:rPr>
            </w:pPr>
          </w:p>
        </w:tc>
        <w:tc>
          <w:tcPr>
            <w:tcW w:w="1180" w:type="dxa"/>
            <w:vAlign w:val="bottom"/>
            <w:tcBorders>
              <w:bottom w:val="single" w:sz="8" w:color="auto"/>
            </w:tcBorders>
            <w:gridSpan w:val="3"/>
            <w:vMerge w:val="continue"/>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200" w:type="dxa"/>
            <w:vAlign w:val="bottom"/>
            <w:tcBorders>
              <w:bottom w:val="single" w:sz="8" w:color="auto"/>
            </w:tcBorders>
            <w:gridSpan w:val="2"/>
            <w:vMerge w:val="continue"/>
          </w:tcPr>
          <w:p>
            <w:pPr>
              <w:spacing w:after="0"/>
              <w:rPr>
                <w:sz w:val="7"/>
                <w:szCs w:val="7"/>
                <w:color w:val="auto"/>
              </w:rPr>
            </w:pPr>
          </w:p>
        </w:tc>
        <w:tc>
          <w:tcPr>
            <w:tcW w:w="1180" w:type="dxa"/>
            <w:vAlign w:val="bottom"/>
            <w:tcBorders>
              <w:bottom w:val="single" w:sz="8" w:color="auto"/>
            </w:tcBorders>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Borders>
              <w:bottom w:val="single" w:sz="8" w:color="auto"/>
            </w:tcBorders>
            <w:vMerge w:val="continue"/>
          </w:tcPr>
          <w:p>
            <w:pPr>
              <w:spacing w:after="0"/>
              <w:rPr>
                <w:sz w:val="7"/>
                <w:szCs w:val="7"/>
                <w:color w:val="auto"/>
              </w:rPr>
            </w:pPr>
          </w:p>
        </w:tc>
        <w:tc>
          <w:tcPr>
            <w:tcW w:w="10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82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A reconciliation of the U.K. statutory income tax rate to our effective income tax rate is as follows: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6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gridSpan w:val="6"/>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65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37"/>
        </w:trPr>
        <w:tc>
          <w:tcPr>
            <w:tcW w:w="65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U.K. tax rate</w:t>
            </w:r>
          </w:p>
        </w:tc>
        <w:tc>
          <w:tcPr>
            <w:tcW w:w="3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19.0 %</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federal rate differential</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Non-deductible expenses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Research and development incentive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29"/>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0" w:type="dxa"/>
            <w:vAlign w:val="bottom"/>
          </w:tcPr>
          <w:p>
            <w:pPr>
              <w:spacing w:after="0"/>
              <w:rPr>
                <w:sz w:val="1"/>
                <w:szCs w:val="1"/>
                <w:color w:val="auto"/>
              </w:rPr>
            </w:pPr>
          </w:p>
        </w:tc>
      </w:tr>
      <w:tr>
        <w:trPr>
          <w:trHeight w:val="230"/>
        </w:trPr>
        <w:tc>
          <w:tcPr>
            <w:tcW w:w="6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Change in deferred tax valuation allowance</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30"/>
        </w:trPr>
        <w:tc>
          <w:tcPr>
            <w:tcW w:w="6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differences</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income tax rate</w:t>
            </w:r>
          </w:p>
        </w:tc>
        <w:tc>
          <w:tcPr>
            <w:tcW w:w="30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2" w:name="page133"/>
    <w:bookmarkEnd w:id="132"/>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the Company’s deferred tax assets and liabilities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83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8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834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Contingent liability </w:t>
            </w:r>
            <w:r>
              <w:rPr>
                <w:rFonts w:ascii="Times New Roman" w:cs="Times New Roman" w:eastAsia="Times New Roman" w:hAnsi="Times New Roman"/>
                <w:sz w:val="23"/>
                <w:szCs w:val="23"/>
                <w:color w:val="auto"/>
                <w:vertAlign w:val="superscript"/>
              </w:rPr>
              <w:t>(1)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(81,513)</w:t>
            </w:r>
          </w:p>
        </w:tc>
        <w:tc>
          <w:tcPr>
            <w:tcW w:w="120" w:type="dxa"/>
            <w:vAlign w:val="bottom"/>
          </w:tcPr>
          <w:p>
            <w:pPr>
              <w:spacing w:after="0"/>
              <w:rPr>
                <w:sz w:val="24"/>
                <w:szCs w:val="24"/>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(53,851)</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liabilities</w:t>
            </w: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(82,207)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(53,851)</w:t>
            </w:r>
          </w:p>
        </w:tc>
        <w:tc>
          <w:tcPr>
            <w:tcW w:w="0" w:type="dxa"/>
            <w:vAlign w:val="bottom"/>
          </w:tcPr>
          <w:p>
            <w:pPr>
              <w:spacing w:after="0"/>
              <w:rPr>
                <w:sz w:val="1"/>
                <w:szCs w:val="1"/>
                <w:color w:val="auto"/>
              </w:rPr>
            </w:pPr>
          </w:p>
        </w:tc>
      </w:tr>
      <w:tr>
        <w:trPr>
          <w:trHeight w:val="196"/>
        </w:trPr>
        <w:tc>
          <w:tcPr>
            <w:tcW w:w="8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operating losses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65,265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54,012</w:t>
            </w:r>
          </w:p>
        </w:tc>
        <w:tc>
          <w:tcPr>
            <w:tcW w:w="0" w:type="dxa"/>
            <w:vAlign w:val="bottom"/>
          </w:tcPr>
          <w:p>
            <w:pPr>
              <w:spacing w:after="0"/>
              <w:rPr>
                <w:sz w:val="1"/>
                <w:szCs w:val="1"/>
                <w:color w:val="auto"/>
              </w:rPr>
            </w:pPr>
          </w:p>
        </w:tc>
      </w:tr>
      <w:tr>
        <w:trPr>
          <w:trHeight w:val="406"/>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Intangible asset </w:t>
            </w:r>
            <w:r>
              <w:rPr>
                <w:rFonts w:ascii="Times New Roman" w:cs="Times New Roman" w:eastAsia="Times New Roman" w:hAnsi="Times New Roman"/>
                <w:sz w:val="23"/>
                <w:szCs w:val="23"/>
                <w:color w:val="auto"/>
                <w:vertAlign w:val="superscript"/>
              </w:rPr>
              <w:t>(1)</w:t>
            </w:r>
          </w:p>
        </w:tc>
        <w:tc>
          <w:tcPr>
            <w:tcW w:w="3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74,406</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47,793</w:t>
            </w:r>
          </w:p>
        </w:tc>
        <w:tc>
          <w:tcPr>
            <w:tcW w:w="0" w:type="dxa"/>
            <w:vAlign w:val="bottom"/>
          </w:tcPr>
          <w:p>
            <w:pPr>
              <w:spacing w:after="0"/>
              <w:rPr>
                <w:sz w:val="1"/>
                <w:szCs w:val="1"/>
                <w:color w:val="auto"/>
              </w:rPr>
            </w:pPr>
          </w:p>
        </w:tc>
      </w:tr>
      <w:tr>
        <w:trPr>
          <w:trHeight w:val="39"/>
        </w:trPr>
        <w:tc>
          <w:tcPr>
            <w:tcW w:w="8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RIPSA</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28,441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Future exercisable shares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deferred tax assets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180,729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109,374</w:t>
            </w:r>
          </w:p>
        </w:tc>
        <w:tc>
          <w:tcPr>
            <w:tcW w:w="0" w:type="dxa"/>
            <w:vAlign w:val="bottom"/>
          </w:tcPr>
          <w:p>
            <w:pPr>
              <w:spacing w:after="0"/>
              <w:rPr>
                <w:sz w:val="1"/>
                <w:szCs w:val="1"/>
                <w:color w:val="auto"/>
              </w:rPr>
            </w:pPr>
          </w:p>
        </w:tc>
      </w:tr>
      <w:tr>
        <w:trPr>
          <w:trHeight w:val="229"/>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0" w:type="dxa"/>
            <w:vAlign w:val="bottom"/>
          </w:tcPr>
          <w:p>
            <w:pPr>
              <w:spacing w:after="0"/>
              <w:rPr>
                <w:sz w:val="1"/>
                <w:szCs w:val="1"/>
                <w:color w:val="auto"/>
              </w:rPr>
            </w:pPr>
          </w:p>
        </w:tc>
      </w:tr>
      <w:tr>
        <w:trPr>
          <w:trHeight w:val="22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 net of valuation allowance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Movements in the deferred tax valuation allowance</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at January 1</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12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48,476</w:t>
            </w:r>
          </w:p>
        </w:tc>
        <w:tc>
          <w:tcPr>
            <w:tcW w:w="0" w:type="dxa"/>
            <w:vAlign w:val="bottom"/>
          </w:tcPr>
          <w:p>
            <w:pPr>
              <w:spacing w:after="0"/>
              <w:rPr>
                <w:sz w:val="1"/>
                <w:szCs w:val="1"/>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tax rates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338"/>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valuation allowance</w:t>
            </w:r>
          </w:p>
        </w:tc>
        <w:tc>
          <w:tcPr>
            <w:tcW w:w="32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42,580</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7,898</w:t>
            </w:r>
          </w:p>
        </w:tc>
        <w:tc>
          <w:tcPr>
            <w:tcW w:w="0" w:type="dxa"/>
            <w:vAlign w:val="bottom"/>
          </w:tcPr>
          <w:p>
            <w:pPr>
              <w:spacing w:after="0"/>
              <w:rPr>
                <w:sz w:val="1"/>
                <w:szCs w:val="1"/>
                <w:color w:val="auto"/>
              </w:rPr>
            </w:pPr>
          </w:p>
        </w:tc>
      </w:tr>
      <w:tr>
        <w:trPr>
          <w:trHeight w:val="108"/>
        </w:trPr>
        <w:tc>
          <w:tcPr>
            <w:tcW w:w="8340" w:type="dxa"/>
            <w:vAlign w:val="bottom"/>
            <w:tcBorders>
              <w:bottom w:val="single" w:sz="8" w:color="CCEEFF"/>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vMerge w:val="continue"/>
          </w:tcPr>
          <w:p>
            <w:pPr>
              <w:spacing w:after="0"/>
              <w:rPr>
                <w:sz w:val="9"/>
                <w:szCs w:val="9"/>
                <w:color w:val="auto"/>
              </w:rPr>
            </w:pPr>
          </w:p>
        </w:tc>
        <w:tc>
          <w:tcPr>
            <w:tcW w:w="120" w:type="dxa"/>
            <w:vAlign w:val="bottom"/>
            <w:tcBorders>
              <w:bottom w:val="single" w:sz="8" w:color="CCEEFF"/>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48"/>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Valuation allowance at December 31</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98,522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55,523</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ind w:firstLine="8"/>
        <w:spacing w:after="0"/>
        <w:tabs>
          <w:tab w:leader="none" w:pos="165" w:val="left"/>
        </w:tabs>
        <w:numPr>
          <w:ilvl w:val="0"/>
          <w:numId w:val="5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These relate to the difference in the tax base of the Ligand intangible asset and assumed contingent liability and the financial reporting base, which is nil under U.S. GAAP.</w:t>
      </w:r>
    </w:p>
    <w:p>
      <w:pPr>
        <w:spacing w:after="0" w:line="2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Management assesses the available positive and negative evidence to estimate whether sufficient future taxable income will be generated to permit use of the existing DTAs. A significant piece of objective negative evidence evaluated was the cumulative loss incurred over the three-year period ended December 31, 2024.</w:t>
      </w:r>
    </w:p>
    <w:p>
      <w:pPr>
        <w:spacing w:after="0" w:line="7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Such objective evidence limits the ability to consider other subjective evidence, such as our projections for future growth. The Company has determined that the reversal of future taxable temporary differences corresponding to our DTLs will not provide a sufficient source of income for realization of our DTAs.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this evaluation, as of December 31, 2024, a valuation allowance has been recorded against the entire value of our DTAs.</w:t>
      </w:r>
    </w:p>
    <w:p>
      <w:pPr>
        <w:spacing w:after="0" w:line="9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At December 31, 2024, the Company had U.K. net operating losses (“NOLs”) of $261.1 million. The NOLs can be carried forward indefinitely to be offset against future taxable profits, but this is restricted to an annual £5 million allowance after which there will be a 50% restriction in the profits that can be covered by losses brought forward.</w:t>
      </w:r>
    </w:p>
    <w:p>
      <w:pPr>
        <w:spacing w:after="0" w:line="5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Company files separate income tax returns in the U.K. and the U.S. All necessary income tax filings have been completed for all years up to and including December 31, 2023. The tax years that remain subject to examination are 2021 forward in the U.S. and 2022 forward in the U.K. No interest or penalties were recognized in the Consolidated Statements of Operations and Comprehensive Loss or Consolidated Balance Sheets. As of December 31, 2024 the Company has no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75565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3" w:name="page134"/>
    <w:bookmarkEnd w:id="133"/>
    <w:p>
      <w:pPr>
        <w:ind w:left="4880"/>
        <w:spacing w:after="0"/>
        <w:rPr>
          <w:sz w:val="20"/>
          <w:szCs w:val="20"/>
          <w:color w:val="auto"/>
        </w:rPr>
      </w:pPr>
      <w:r>
        <w:rPr>
          <w:rFonts w:ascii="Times New Roman" w:cs="Times New Roman" w:eastAsia="Times New Roman" w:hAnsi="Times New Roman"/>
          <w:sz w:val="18"/>
          <w:szCs w:val="18"/>
          <w:b w:val="1"/>
          <w:bCs w:val="1"/>
          <w:color w:val="auto"/>
        </w:rPr>
        <w:t>Verona Pharma plc</w:t>
      </w:r>
    </w:p>
    <w:p>
      <w:pPr>
        <w:spacing w:after="0" w:line="31"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share</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Net loss per share is calculated on an ordinary share basis. The Company’s ADSs that are listed on the Nasdaq Global Market each represent eight ordinary shares. The following table shows the computation of basic and diluted earnings per share for 2024, 2023 and 2022 (in thousands, except per share amounts):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37"/>
        </w:trPr>
        <w:tc>
          <w:tcPr>
            <w:tcW w:w="682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6"/>
        </w:trPr>
        <w:tc>
          <w:tcPr>
            <w:tcW w:w="6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37"/>
        </w:trPr>
        <w:tc>
          <w:tcPr>
            <w:tcW w:w="68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(173,418)</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(54,369)</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(68,701)</w:t>
            </w:r>
          </w:p>
        </w:tc>
      </w:tr>
      <w:tr>
        <w:trPr>
          <w:trHeight w:val="23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shares outstanding - basic and diluted</w:t>
            </w: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652,311</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634,143</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529,072</w:t>
            </w:r>
          </w:p>
        </w:tc>
      </w:tr>
      <w:tr>
        <w:trPr>
          <w:trHeight w:val="223"/>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r>
      <w:tr>
        <w:trPr>
          <w:trHeight w:val="20"/>
        </w:trPr>
        <w:tc>
          <w:tcPr>
            <w:tcW w:w="6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years ended December 31, 2024, 2023 and 2022, outstanding share options, RSUs and PRSUs of 78.3 million, 54.9 million and 53.8 million, respectively, were not included in the computation of diluted earnings per ordinary share, because to do so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Commitments and contingencies</w:t>
      </w:r>
    </w:p>
    <w:p>
      <w:pPr>
        <w:spacing w:after="0" w:line="20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In the three months ended March 31, 2023, the Company accrued up to the maximum exposure of $6.9 million related to a matter with a supplier and also had certain invoices in the amount of $1.5 million in accounts payable to the same supplier. Both items were settled in June 2023 for $2.1 million. This resulted in a net reversal of $6.3 million in the three months ended June 30, 2023 and a net reversal of $1.5 million in the year ended December 31, 2023 in Research and development costs in the Consolidated Statement of Operations and Comprehensive Loss.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 and other shareholder matters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years ended December 31, 2024, 2023 and 2022 there were no related party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F-31</w:t>
      </w:r>
    </w:p>
    <w:p>
      <w:pPr>
        <w:sectPr>
          <w:pgSz w:w="11900" w:h="16838" w:orient="portrait"/>
          <w:cols w:equalWidth="0" w:num="1">
            <w:col w:w="11240"/>
          </w:cols>
          <w:pgMar w:left="320" w:top="117" w:right="339" w:bottom="1440" w:gutter="0" w:footer="0" w:header="0"/>
        </w:sectPr>
      </w:pPr>
    </w:p>
    <w:bookmarkStart w:id="134" w:name="page135"/>
    <w:bookmarkEnd w:id="134"/>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4.3</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SHARE CAPITAL AND ARTICLES OF ASSOCIATION</w:t>
      </w:r>
    </w:p>
    <w:p>
      <w:pPr>
        <w:spacing w:after="0" w:line="144"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i w:val="1"/>
          <w:iCs w:val="1"/>
          <w:color w:val="auto"/>
        </w:rPr>
        <w:t>Set forth below is a summary of certain information concerning the share capital of Verona Pharma plc (the “Company,” “we,” “us,” and “our”) as well as a description of certain provisions of our articles of association and relevant provisions of English law. Because the following is only a summary, it does not contain all of the information that may be important to you. The summary includes certain references to and descriptions of material provisions of our articles of association and English law in effect as of the date of the Company’s Annual Report on Form 10-K for the year ended December 31, 2024 (the “Annual Report”). The summary below does not purport to be complete and is qualified in its entirety by reference to applicable English law and our articles of association, which have been publicly filed with the Securities and Exchange Commission.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31" w:lineRule="exact"/>
        <w:rPr>
          <w:sz w:val="20"/>
          <w:szCs w:val="20"/>
          <w:color w:val="auto"/>
        </w:rPr>
      </w:pPr>
    </w:p>
    <w:p>
      <w:pPr>
        <w:ind w:right="60"/>
        <w:spacing w:after="0" w:line="282" w:lineRule="auto"/>
        <w:rPr>
          <w:sz w:val="20"/>
          <w:szCs w:val="20"/>
          <w:color w:val="auto"/>
        </w:rPr>
      </w:pPr>
      <w:r>
        <w:rPr>
          <w:rFonts w:ascii="Arial" w:cs="Arial" w:eastAsia="Arial" w:hAnsi="Arial"/>
          <w:sz w:val="17"/>
          <w:szCs w:val="17"/>
          <w:color w:val="auto"/>
        </w:rPr>
        <w:t>We were incorporated as a public limited company with the legal name Isis Resources plc under the laws of England and Wales on February 24, 2005 with the company number 5375156. In September 2006, we acquired Rhinopharma Limited, a company incorporated under the laws of the province of British Columbia, Canada and changed our name to Verona Pharma plc. Our registered office is One Central Square, Cardiff, CF10 1FS, Wales. The principal legislation under which we operate and our shares are issued is the Companies Act 2006.</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Articles of Association</w:t>
      </w:r>
    </w:p>
    <w:p>
      <w:pPr>
        <w:spacing w:after="0" w:line="131" w:lineRule="exact"/>
        <w:rPr>
          <w:sz w:val="20"/>
          <w:szCs w:val="20"/>
          <w:color w:val="auto"/>
        </w:rPr>
      </w:pPr>
    </w:p>
    <w:p>
      <w:pPr>
        <w:ind w:right="200"/>
        <w:spacing w:after="0" w:line="287" w:lineRule="auto"/>
        <w:rPr>
          <w:sz w:val="20"/>
          <w:szCs w:val="20"/>
          <w:color w:val="auto"/>
        </w:rPr>
      </w:pPr>
      <w:r>
        <w:rPr>
          <w:rFonts w:ascii="Arial" w:cs="Arial" w:eastAsia="Arial" w:hAnsi="Arial"/>
          <w:sz w:val="18"/>
          <w:szCs w:val="18"/>
          <w:color w:val="auto"/>
        </w:rPr>
        <w:t>Set forth below is a summary of relevant information concerning our share capital and material provisions of our Articles of Association and applicable UK law.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In accordance with the Articles, the following summarizes the rights of holders of our ordinary shares:</w:t>
      </w:r>
    </w:p>
    <w:p>
      <w:pPr>
        <w:spacing w:after="0" w:line="171" w:lineRule="exact"/>
        <w:rPr>
          <w:sz w:val="20"/>
          <w:szCs w:val="20"/>
          <w:color w:val="auto"/>
        </w:rPr>
      </w:pPr>
    </w:p>
    <w:p>
      <w:pPr>
        <w:ind w:left="340" w:right="740" w:hanging="332"/>
        <w:spacing w:after="0" w:line="237" w:lineRule="auto"/>
        <w:tabs>
          <w:tab w:leader="none" w:pos="335" w:val="left"/>
        </w:tabs>
        <w:numPr>
          <w:ilvl w:val="0"/>
          <w:numId w:val="58"/>
        </w:numPr>
        <w:rPr>
          <w:rFonts w:ascii="Times New Roman" w:cs="Times New Roman" w:eastAsia="Times New Roman" w:hAnsi="Times New Roman"/>
          <w:sz w:val="22"/>
          <w:szCs w:val="22"/>
          <w:color w:val="auto"/>
        </w:rPr>
      </w:pPr>
      <w:r>
        <w:rPr>
          <w:rFonts w:ascii="Arial" w:cs="Arial" w:eastAsia="Arial" w:hAnsi="Arial"/>
          <w:sz w:val="18"/>
          <w:szCs w:val="18"/>
          <w:color w:val="auto"/>
        </w:rPr>
        <w:t>each holder of our voting ordinary shares is entitled to one vote per ordinary share on all matters to be voted on by shareholders generally;</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58"/>
        </w:numPr>
        <w:rPr>
          <w:rFonts w:ascii="Times New Roman" w:cs="Times New Roman" w:eastAsia="Times New Roman" w:hAnsi="Times New Roman"/>
          <w:sz w:val="22"/>
          <w:szCs w:val="22"/>
          <w:color w:val="auto"/>
        </w:rPr>
      </w:pPr>
      <w:r>
        <w:rPr>
          <w:rFonts w:ascii="Arial" w:cs="Arial" w:eastAsia="Arial" w:hAnsi="Arial"/>
          <w:sz w:val="18"/>
          <w:szCs w:val="18"/>
          <w:color w:val="auto"/>
        </w:rPr>
        <w:t>the holders of our voting ordinary shares shall be entitled to receive notice of, attend, speak and vote at our general meetings; and</w:t>
      </w:r>
    </w:p>
    <w:p>
      <w:pPr>
        <w:spacing w:after="0" w:line="152" w:lineRule="exact"/>
        <w:rPr>
          <w:rFonts w:ascii="Times New Roman" w:cs="Times New Roman" w:eastAsia="Times New Roman" w:hAnsi="Times New Roman"/>
          <w:sz w:val="22"/>
          <w:szCs w:val="22"/>
          <w:color w:val="auto"/>
        </w:rPr>
      </w:pPr>
    </w:p>
    <w:p>
      <w:pPr>
        <w:ind w:left="340" w:right="360" w:hanging="332"/>
        <w:spacing w:after="0" w:line="237" w:lineRule="auto"/>
        <w:tabs>
          <w:tab w:leader="none" w:pos="335" w:val="left"/>
        </w:tabs>
        <w:numPr>
          <w:ilvl w:val="0"/>
          <w:numId w:val="58"/>
        </w:numPr>
        <w:rPr>
          <w:rFonts w:ascii="Times New Roman" w:cs="Times New Roman" w:eastAsia="Times New Roman" w:hAnsi="Times New Roman"/>
          <w:sz w:val="22"/>
          <w:szCs w:val="22"/>
          <w:color w:val="auto"/>
        </w:rPr>
      </w:pPr>
      <w:r>
        <w:rPr>
          <w:rFonts w:ascii="Arial" w:cs="Arial" w:eastAsia="Arial" w:hAnsi="Arial"/>
          <w:sz w:val="18"/>
          <w:szCs w:val="18"/>
          <w:color w:val="auto"/>
        </w:rPr>
        <w:t>holders of our voting and non-voting ordinary shares are entitled to receive such dividends as are recommended by our directors and declared by our shareholders.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Registered Shares</w:t>
      </w:r>
    </w:p>
    <w:p>
      <w:pPr>
        <w:spacing w:after="0" w:line="14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required by the Companies Act 2006 to keep a register of our shareholders. Under English law, the ordinary shares are deemed to be issued when the name of the shareholder is entered in our share register. The share register therefore is prima facie evidence of the identity of our shareholders, and the shares that they hold. The share register generally provides limited, or no, information regarding the ultimate beneficial owners of our ordinary shares. Our share register is maintained by our registrar, Computershare Investor Services plc.</w:t>
      </w:r>
    </w:p>
    <w:p>
      <w:pPr>
        <w:spacing w:after="0" w:line="82"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Holders of our ADSs will not be treated as one of our shareholders and their names will therefore not be entered in our share register. The depositary, the custodian or their nominees will be the holder of the shares underlying our ADSs. For discussion on our ADSs and ADS holder rights see "Description of American Depository Shares" below. Holders of our ADSs have a right to receive the ordinary shares underlying their ADSs as discussed in "Description of American Depository Shares"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40"/>
          </w:cols>
          <w:pgMar w:left="320" w:top="1440" w:right="339" w:bottom="1440" w:gutter="0" w:footer="0" w:header="0"/>
        </w:sectPr>
      </w:pPr>
    </w:p>
    <w:bookmarkStart w:id="135" w:name="page136"/>
    <w:bookmarkEnd w:id="135"/>
    <w:p>
      <w:pPr>
        <w:spacing w:after="0" w:line="99"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Under the Companies Act 2006, we must enter an allotment of shares in our share register as soon as practicable and in any event within two months of the allotment. We also are required by the Companies Act 2006 to register a transfer of shares (or give the transferee notice of and reasons for refusal) as soon as practicable and in any event within two months of receiving notice of the transfer.</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any of our shareholders or any other affected person may apply to the court for rectification of the share register if:</w:t>
      </w:r>
    </w:p>
    <w:p>
      <w:pPr>
        <w:spacing w:after="0" w:line="157" w:lineRule="exact"/>
        <w:rPr>
          <w:sz w:val="20"/>
          <w:szCs w:val="20"/>
          <w:color w:val="auto"/>
        </w:rPr>
      </w:pPr>
    </w:p>
    <w:p>
      <w:pPr>
        <w:ind w:left="420" w:hanging="312"/>
        <w:spacing w:after="0"/>
        <w:tabs>
          <w:tab w:leader="none" w:pos="420" w:val="left"/>
        </w:tabs>
        <w:numPr>
          <w:ilvl w:val="0"/>
          <w:numId w:val="59"/>
        </w:numPr>
        <w:rPr>
          <w:rFonts w:ascii="Times New Roman" w:cs="Times New Roman" w:eastAsia="Times New Roman" w:hAnsi="Times New Roman"/>
          <w:sz w:val="22"/>
          <w:szCs w:val="22"/>
          <w:color w:val="auto"/>
        </w:rPr>
      </w:pPr>
      <w:r>
        <w:rPr>
          <w:rFonts w:ascii="Arial" w:cs="Arial" w:eastAsia="Arial" w:hAnsi="Arial"/>
          <w:sz w:val="18"/>
          <w:szCs w:val="18"/>
          <w:color w:val="auto"/>
        </w:rPr>
        <w:t>the name of any person, without sufficient cause, is wrongly entered in or omitted from our register of members; or</w:t>
      </w:r>
    </w:p>
    <w:p>
      <w:pPr>
        <w:spacing w:after="0" w:line="152" w:lineRule="exact"/>
        <w:rPr>
          <w:rFonts w:ascii="Times New Roman" w:cs="Times New Roman" w:eastAsia="Times New Roman" w:hAnsi="Times New Roman"/>
          <w:sz w:val="22"/>
          <w:szCs w:val="22"/>
          <w:color w:val="auto"/>
        </w:rPr>
      </w:pPr>
    </w:p>
    <w:p>
      <w:pPr>
        <w:ind w:left="440" w:right="160" w:hanging="332"/>
        <w:spacing w:after="0" w:line="237" w:lineRule="auto"/>
        <w:tabs>
          <w:tab w:leader="none" w:pos="435" w:val="left"/>
        </w:tabs>
        <w:numPr>
          <w:ilvl w:val="0"/>
          <w:numId w:val="59"/>
        </w:numPr>
        <w:rPr>
          <w:rFonts w:ascii="Times New Roman" w:cs="Times New Roman" w:eastAsia="Times New Roman" w:hAnsi="Times New Roman"/>
          <w:sz w:val="22"/>
          <w:szCs w:val="22"/>
          <w:color w:val="auto"/>
        </w:rPr>
      </w:pPr>
      <w:r>
        <w:rPr>
          <w:rFonts w:ascii="Arial" w:cs="Arial" w:eastAsia="Arial" w:hAnsi="Arial"/>
          <w:sz w:val="18"/>
          <w:szCs w:val="18"/>
          <w:color w:val="auto"/>
        </w:rPr>
        <w:t>there is a default or unnecessary delay in entering on the register the fact of any person having ceased to be a member or on which we have a lien, provided that such refusal does not prevent dealings in the shares taking place on an open and proper basis.</w:t>
      </w:r>
    </w:p>
    <w:p>
      <w:pPr>
        <w:spacing w:after="0" w:line="101"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Preemptive Rights</w:t>
      </w:r>
    </w:p>
    <w:p>
      <w:pPr>
        <w:spacing w:after="0" w:line="129" w:lineRule="exact"/>
        <w:rPr>
          <w:sz w:val="20"/>
          <w:szCs w:val="20"/>
          <w:color w:val="auto"/>
        </w:rPr>
      </w:pPr>
    </w:p>
    <w:p>
      <w:pPr>
        <w:ind w:left="100" w:right="20"/>
        <w:spacing w:after="0" w:line="256" w:lineRule="auto"/>
        <w:rPr>
          <w:sz w:val="20"/>
          <w:szCs w:val="20"/>
          <w:color w:val="auto"/>
        </w:rPr>
      </w:pPr>
      <w:r>
        <w:rPr>
          <w:rFonts w:ascii="Arial" w:cs="Arial" w:eastAsia="Arial" w:hAnsi="Arial"/>
          <w:sz w:val="18"/>
          <w:szCs w:val="18"/>
          <w:color w:val="auto"/>
        </w:rPr>
        <w:t>English law generally provides shareholders with preemptive rights when new shares are issued for cash; however, it is possible for the articles of association, or shareholders in general meeting, to exclude preemptive rights. Such an exclusion of preemptive rights may be for a maximum period of up to five years from the date of adoption of the articles of association, if the exclusion is contained in the articles of association, or from the date of the shareholder resolution, if the exclusion is by shareholder resolution. In either case, this exclusion would need to be renewed by our shareholders upon its expiration (i.e., at least every five years). On April 26, 2024, our shareholders approved the exclusion of preemptive rights up to an aggregate nominal amount of £8,345,745 which shall expire on June 1, 2025 unless renewed, revoked or varied sooner.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and Rights Attaching to Them</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Objects</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objects of our company are unrestricted.</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Rights</w:t>
      </w:r>
    </w:p>
    <w:p>
      <w:pPr>
        <w:spacing w:after="0" w:line="129" w:lineRule="exact"/>
        <w:rPr>
          <w:sz w:val="20"/>
          <w:szCs w:val="20"/>
          <w:color w:val="auto"/>
        </w:rPr>
      </w:pPr>
    </w:p>
    <w:p>
      <w:pPr>
        <w:ind w:left="100" w:right="20"/>
        <w:spacing w:after="0" w:line="268" w:lineRule="auto"/>
        <w:rPr>
          <w:sz w:val="20"/>
          <w:szCs w:val="20"/>
          <w:color w:val="auto"/>
        </w:rPr>
      </w:pPr>
      <w:r>
        <w:rPr>
          <w:rFonts w:ascii="Arial" w:cs="Arial" w:eastAsia="Arial" w:hAnsi="Arial"/>
          <w:sz w:val="18"/>
          <w:szCs w:val="18"/>
          <w:color w:val="auto"/>
        </w:rPr>
        <w:t>Subject to any special rights attaching to shares already in issue, our shares may be issued with or have attached to them any preferred, deferred or other special rights or privileges or be subject to such restrictions as we may resolve by ordinary resolution of the shareholders or decision of our board.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42" w:lineRule="exact"/>
        <w:rPr>
          <w:sz w:val="20"/>
          <w:szCs w:val="20"/>
          <w:color w:val="auto"/>
        </w:rPr>
      </w:pPr>
    </w:p>
    <w:p>
      <w:pPr>
        <w:ind w:left="100" w:right="280"/>
        <w:spacing w:after="0" w:line="287" w:lineRule="auto"/>
        <w:rPr>
          <w:sz w:val="20"/>
          <w:szCs w:val="20"/>
          <w:color w:val="auto"/>
        </w:rPr>
      </w:pPr>
      <w:r>
        <w:rPr>
          <w:rFonts w:ascii="Arial" w:cs="Arial" w:eastAsia="Arial" w:hAnsi="Arial"/>
          <w:sz w:val="18"/>
          <w:szCs w:val="18"/>
          <w:color w:val="auto"/>
        </w:rPr>
        <w:t>Without prejudice to any special rights, privileges or restrictions as to voting rights attached to any shares forming part of our share capital from time to time, the voting rights attaching to voting ordinary shares are as follows:</w:t>
      </w:r>
    </w:p>
    <w:p>
      <w:pPr>
        <w:spacing w:after="0" w:line="99" w:lineRule="exact"/>
        <w:rPr>
          <w:sz w:val="20"/>
          <w:szCs w:val="20"/>
          <w:color w:val="auto"/>
        </w:rPr>
      </w:pPr>
    </w:p>
    <w:p>
      <w:pPr>
        <w:ind w:left="760" w:right="140" w:hanging="328"/>
        <w:spacing w:after="0" w:line="237" w:lineRule="auto"/>
        <w:tabs>
          <w:tab w:leader="none" w:pos="755" w:val="left"/>
        </w:tabs>
        <w:numPr>
          <w:ilvl w:val="0"/>
          <w:numId w:val="60"/>
        </w:numPr>
        <w:rPr>
          <w:rFonts w:ascii="Times New Roman" w:cs="Times New Roman" w:eastAsia="Times New Roman" w:hAnsi="Times New Roman"/>
          <w:sz w:val="22"/>
          <w:szCs w:val="22"/>
          <w:color w:val="auto"/>
        </w:rPr>
      </w:pPr>
      <w:r>
        <w:rPr>
          <w:rFonts w:ascii="Arial" w:cs="Arial" w:eastAsia="Arial" w:hAnsi="Arial"/>
          <w:sz w:val="18"/>
          <w:szCs w:val="18"/>
          <w:color w:val="auto"/>
        </w:rPr>
        <w:t>on a show of hands, every shareholder who (being an individual) is present in person and (being a corporation) is present by a duly authorized representative shall have one vote;</w:t>
      </w:r>
    </w:p>
    <w:p>
      <w:pPr>
        <w:spacing w:after="0" w:line="139" w:lineRule="exact"/>
        <w:rPr>
          <w:rFonts w:ascii="Times New Roman" w:cs="Times New Roman" w:eastAsia="Times New Roman" w:hAnsi="Times New Roman"/>
          <w:sz w:val="22"/>
          <w:szCs w:val="22"/>
          <w:color w:val="auto"/>
        </w:rPr>
      </w:pPr>
    </w:p>
    <w:p>
      <w:pPr>
        <w:ind w:left="760" w:right="380" w:hanging="328"/>
        <w:spacing w:after="0" w:line="249" w:lineRule="auto"/>
        <w:tabs>
          <w:tab w:leader="none" w:pos="755" w:val="left"/>
        </w:tabs>
        <w:numPr>
          <w:ilvl w:val="0"/>
          <w:numId w:val="60"/>
        </w:numPr>
        <w:rPr>
          <w:rFonts w:ascii="Times New Roman" w:cs="Times New Roman" w:eastAsia="Times New Roman" w:hAnsi="Times New Roman"/>
          <w:sz w:val="22"/>
          <w:szCs w:val="22"/>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and the proxy has been instructed by one or more of those shareholders to vote for the resolution and by one or more other of those shareholders to vote against it;</w:t>
      </w:r>
    </w:p>
    <w:p>
      <w:pPr>
        <w:spacing w:after="0" w:line="131" w:lineRule="exact"/>
        <w:rPr>
          <w:rFonts w:ascii="Times New Roman" w:cs="Times New Roman" w:eastAsia="Times New Roman" w:hAnsi="Times New Roman"/>
          <w:sz w:val="22"/>
          <w:szCs w:val="22"/>
          <w:color w:val="auto"/>
        </w:rPr>
      </w:pPr>
    </w:p>
    <w:p>
      <w:pPr>
        <w:ind w:left="760" w:right="340" w:hanging="328"/>
        <w:spacing w:after="0" w:line="242" w:lineRule="auto"/>
        <w:tabs>
          <w:tab w:leader="none" w:pos="755" w:val="left"/>
        </w:tabs>
        <w:numPr>
          <w:ilvl w:val="0"/>
          <w:numId w:val="60"/>
        </w:numPr>
        <w:rPr>
          <w:rFonts w:ascii="Times New Roman" w:cs="Times New Roman" w:eastAsia="Times New Roman" w:hAnsi="Times New Roman"/>
          <w:sz w:val="22"/>
          <w:szCs w:val="22"/>
          <w:color w:val="auto"/>
        </w:rPr>
      </w:pPr>
      <w:r>
        <w:rPr>
          <w:rFonts w:ascii="Arial" w:cs="Arial" w:eastAsia="Arial" w:hAnsi="Arial"/>
          <w:sz w:val="18"/>
          <w:szCs w:val="18"/>
          <w:color w:val="auto"/>
        </w:rPr>
        <w:t>on a show of hands, each proxy present in person has one vote for and one vote against a resolution if the proxy has been duly appointed by more than one shareholder entitled to vote on the resolution and either: (1) the proxy has been instructed by one or more of those shareholders to vote for the resolution and has been given any discretion by one or more other of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20"/>
          </w:cols>
          <w:pgMar w:left="220" w:top="1440" w:right="359" w:bottom="1440" w:gutter="0" w:footer="0" w:header="0"/>
        </w:sectPr>
      </w:pPr>
    </w:p>
    <w:bookmarkStart w:id="136" w:name="page137"/>
    <w:bookmarkEnd w:id="136"/>
    <w:p>
      <w:pPr>
        <w:spacing w:after="0" w:line="99" w:lineRule="exact"/>
        <w:rPr>
          <w:sz w:val="20"/>
          <w:szCs w:val="20"/>
          <w:color w:val="auto"/>
        </w:rPr>
      </w:pPr>
    </w:p>
    <w:p>
      <w:pPr>
        <w:ind w:left="760" w:right="60"/>
        <w:spacing w:after="0" w:line="268" w:lineRule="auto"/>
        <w:rPr>
          <w:sz w:val="20"/>
          <w:szCs w:val="20"/>
          <w:color w:val="auto"/>
        </w:rPr>
      </w:pPr>
      <w:r>
        <w:rPr>
          <w:rFonts w:ascii="Arial" w:cs="Arial" w:eastAsia="Arial" w:hAnsi="Arial"/>
          <w:sz w:val="18"/>
          <w:szCs w:val="18"/>
          <w:color w:val="auto"/>
        </w:rPr>
        <w:t>shareholders to vote and the proxy exercises that discretion to vote against it; or (2) the proxy has been instructed by one or more of those shareholders to vote against the resolution and has been given any discretion by one or more other of those shareholders to vote and the proxy exercises that discretion to vote for it; and</w:t>
      </w:r>
    </w:p>
    <w:p>
      <w:pPr>
        <w:spacing w:after="0" w:line="116" w:lineRule="exact"/>
        <w:rPr>
          <w:sz w:val="20"/>
          <w:szCs w:val="20"/>
          <w:color w:val="auto"/>
        </w:rPr>
      </w:pPr>
    </w:p>
    <w:p>
      <w:pPr>
        <w:ind w:left="760" w:hanging="328"/>
        <w:spacing w:after="0"/>
        <w:tabs>
          <w:tab w:leader="none" w:pos="760" w:val="left"/>
        </w:tabs>
        <w:numPr>
          <w:ilvl w:val="0"/>
          <w:numId w:val="61"/>
        </w:numPr>
        <w:rPr>
          <w:rFonts w:ascii="Times New Roman" w:cs="Times New Roman" w:eastAsia="Times New Roman" w:hAnsi="Times New Roman"/>
          <w:sz w:val="22"/>
          <w:szCs w:val="22"/>
          <w:color w:val="auto"/>
        </w:rPr>
      </w:pPr>
      <w:r>
        <w:rPr>
          <w:rFonts w:ascii="Arial" w:cs="Arial" w:eastAsia="Arial" w:hAnsi="Arial"/>
          <w:sz w:val="18"/>
          <w:szCs w:val="18"/>
          <w:color w:val="auto"/>
        </w:rPr>
        <w:t>on a poll every shareholder who is present in person or by proxy shall have one vote for each share of which he is the holder.</w:t>
      </w:r>
    </w:p>
    <w:p>
      <w:pPr>
        <w:spacing w:after="0" w:line="99"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At any general meeting a resolution put to the vote of the meeting shall be decided on a show of hands unless a poll is demanded. Subject to the provisions of the Companies Act 2006, as described in "Differences in Corporate Law - Voting Rights" below, a poll may be demanded by:</w:t>
      </w:r>
    </w:p>
    <w:p>
      <w:pPr>
        <w:spacing w:after="0" w:line="116" w:lineRule="exact"/>
        <w:rPr>
          <w:sz w:val="20"/>
          <w:szCs w:val="20"/>
          <w:color w:val="auto"/>
        </w:rPr>
      </w:pPr>
    </w:p>
    <w:p>
      <w:pPr>
        <w:ind w:left="760" w:hanging="328"/>
        <w:spacing w:after="0"/>
        <w:tabs>
          <w:tab w:leader="none" w:pos="760" w:val="left"/>
        </w:tabs>
        <w:numPr>
          <w:ilvl w:val="0"/>
          <w:numId w:val="62"/>
        </w:numPr>
        <w:rPr>
          <w:rFonts w:ascii="Times New Roman" w:cs="Times New Roman" w:eastAsia="Times New Roman" w:hAnsi="Times New Roman"/>
          <w:sz w:val="22"/>
          <w:szCs w:val="22"/>
          <w:color w:val="auto"/>
        </w:rPr>
      </w:pPr>
      <w:r>
        <w:rPr>
          <w:rFonts w:ascii="Arial" w:cs="Arial" w:eastAsia="Arial" w:hAnsi="Arial"/>
          <w:sz w:val="18"/>
          <w:szCs w:val="18"/>
          <w:color w:val="auto"/>
        </w:rPr>
        <w:t>the chairman of the meeting;</w:t>
      </w:r>
    </w:p>
    <w:p>
      <w:pPr>
        <w:spacing w:after="0" w:line="103" w:lineRule="exact"/>
        <w:rPr>
          <w:rFonts w:ascii="Times New Roman" w:cs="Times New Roman" w:eastAsia="Times New Roman" w:hAnsi="Times New Roman"/>
          <w:sz w:val="22"/>
          <w:szCs w:val="22"/>
          <w:color w:val="auto"/>
        </w:rPr>
      </w:pPr>
    </w:p>
    <w:p>
      <w:pPr>
        <w:ind w:left="760" w:hanging="328"/>
        <w:spacing w:after="0"/>
        <w:tabs>
          <w:tab w:leader="none" w:pos="7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17"/>
          <w:szCs w:val="17"/>
          <w:color w:val="auto"/>
        </w:rPr>
        <w:t>at least five shareholders present in person or by proxy and entitled to vote;</w:t>
      </w:r>
    </w:p>
    <w:p>
      <w:pPr>
        <w:spacing w:after="0" w:line="138" w:lineRule="exact"/>
        <w:rPr>
          <w:rFonts w:ascii="Times New Roman" w:cs="Times New Roman" w:eastAsia="Times New Roman" w:hAnsi="Times New Roman"/>
          <w:sz w:val="22"/>
          <w:szCs w:val="22"/>
          <w:color w:val="auto"/>
        </w:rPr>
      </w:pPr>
    </w:p>
    <w:p>
      <w:pPr>
        <w:ind w:left="760" w:right="80" w:hanging="328"/>
        <w:spacing w:after="0" w:line="291" w:lineRule="auto"/>
        <w:tabs>
          <w:tab w:leader="none" w:pos="7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17"/>
          <w:szCs w:val="17"/>
          <w:color w:val="auto"/>
        </w:rPr>
        <w:t>any shareholder(s) present in person or by proxy and representing in the aggregate not less than one-tenth of the total voting rights</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of all shareholders having the right to attend and vote at the meeting (excluding the shares held in treasury); or</w:t>
      </w:r>
    </w:p>
    <w:p>
      <w:pPr>
        <w:spacing w:after="0" w:line="50" w:lineRule="exact"/>
        <w:rPr>
          <w:rFonts w:ascii="Times New Roman" w:cs="Times New Roman" w:eastAsia="Times New Roman" w:hAnsi="Times New Roman"/>
          <w:sz w:val="22"/>
          <w:szCs w:val="22"/>
          <w:color w:val="auto"/>
        </w:rPr>
      </w:pPr>
    </w:p>
    <w:p>
      <w:pPr>
        <w:ind w:left="760" w:right="200" w:hanging="328"/>
        <w:spacing w:after="0" w:line="273" w:lineRule="auto"/>
        <w:tabs>
          <w:tab w:leader="none" w:pos="755"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17"/>
          <w:szCs w:val="17"/>
          <w:color w:val="auto"/>
        </w:rPr>
        <w:t>any shareholder(s) present in person or by proxy and holding shares conferring a right to attend and vote at the meeting on which</w:t>
      </w:r>
      <w:r>
        <w:rPr>
          <w:rFonts w:ascii="Times New Roman" w:cs="Times New Roman" w:eastAsia="Times New Roman" w:hAnsi="Times New Roman"/>
          <w:sz w:val="22"/>
          <w:szCs w:val="22"/>
          <w:color w:val="auto"/>
        </w:rPr>
        <w:t xml:space="preserve"> </w:t>
      </w:r>
      <w:r>
        <w:rPr>
          <w:rFonts w:ascii="Arial" w:cs="Arial" w:eastAsia="Arial" w:hAnsi="Arial"/>
          <w:sz w:val="17"/>
          <w:szCs w:val="17"/>
          <w:color w:val="auto"/>
        </w:rPr>
        <w:t>there have been paid up sums in the aggregate equal to not less than one-tenth of the total sums paid up on all shares conferring that right (excluding the shares held in treasury).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Restrictions on Voting</w:t>
      </w:r>
    </w:p>
    <w:p>
      <w:pPr>
        <w:spacing w:after="0" w:line="129" w:lineRule="exact"/>
        <w:rPr>
          <w:sz w:val="20"/>
          <w:szCs w:val="20"/>
          <w:color w:val="auto"/>
        </w:rPr>
      </w:pPr>
    </w:p>
    <w:p>
      <w:pPr>
        <w:ind w:left="100" w:right="140"/>
        <w:spacing w:after="0" w:line="287" w:lineRule="auto"/>
        <w:rPr>
          <w:sz w:val="20"/>
          <w:szCs w:val="20"/>
          <w:color w:val="auto"/>
        </w:rPr>
      </w:pPr>
      <w:r>
        <w:rPr>
          <w:rFonts w:ascii="Arial" w:cs="Arial" w:eastAsia="Arial" w:hAnsi="Arial"/>
          <w:sz w:val="18"/>
          <w:szCs w:val="18"/>
          <w:color w:val="auto"/>
        </w:rPr>
        <w:t>No shareholder shall be entitled to vote at any general meeting or at any separate class meeting in respect of any share held by him unless all calls or other sums payable by him in respect of that share have been paid.</w:t>
      </w:r>
    </w:p>
    <w:p>
      <w:pPr>
        <w:spacing w:after="0" w:line="58" w:lineRule="exact"/>
        <w:rPr>
          <w:sz w:val="20"/>
          <w:szCs w:val="20"/>
          <w:color w:val="auto"/>
        </w:rPr>
      </w:pPr>
    </w:p>
    <w:p>
      <w:pPr>
        <w:ind w:left="100" w:right="160"/>
        <w:spacing w:after="0" w:line="268" w:lineRule="auto"/>
        <w:rPr>
          <w:sz w:val="20"/>
          <w:szCs w:val="20"/>
          <w:color w:val="auto"/>
        </w:rPr>
      </w:pPr>
      <w:r>
        <w:rPr>
          <w:rFonts w:ascii="Arial" w:cs="Arial" w:eastAsia="Arial" w:hAnsi="Arial"/>
          <w:sz w:val="18"/>
          <w:szCs w:val="18"/>
          <w:color w:val="auto"/>
        </w:rPr>
        <w:t>The board may from time to time make calls upon the shareholders in respect of any money unpaid on their shares and each shareholder shall (subject to at least 14 days' notice specifying the time or times and place of payment) pay at the time or times so specified the amount called on his shares.</w:t>
      </w:r>
    </w:p>
    <w:p>
      <w:pPr>
        <w:spacing w:after="0" w:line="90" w:lineRule="exact"/>
        <w:rPr>
          <w:sz w:val="20"/>
          <w:szCs w:val="20"/>
          <w:color w:val="auto"/>
        </w:rPr>
      </w:pPr>
    </w:p>
    <w:p>
      <w:pPr>
        <w:ind w:right="1960" w:firstLine="108"/>
        <w:spacing w:after="0" w:line="391" w:lineRule="auto"/>
        <w:rPr>
          <w:sz w:val="20"/>
          <w:szCs w:val="20"/>
          <w:color w:val="auto"/>
        </w:rPr>
      </w:pPr>
      <w:r>
        <w:rPr>
          <w:rFonts w:ascii="Arial" w:cs="Arial" w:eastAsia="Arial" w:hAnsi="Arial"/>
          <w:sz w:val="18"/>
          <w:szCs w:val="18"/>
          <w:color w:val="auto"/>
        </w:rPr>
        <w:t xml:space="preserve">No holders of non-voting ordinary shares shall be entitled to receive notice of, attend or vote at any general meeting. </w:t>
      </w:r>
      <w:r>
        <w:rPr>
          <w:rFonts w:ascii="Arial" w:cs="Arial" w:eastAsia="Arial" w:hAnsi="Arial"/>
          <w:sz w:val="18"/>
          <w:szCs w:val="18"/>
          <w:i w:val="1"/>
          <w:iCs w:val="1"/>
          <w:color w:val="auto"/>
        </w:rPr>
        <w:t>Dividends</w:t>
      </w:r>
    </w:p>
    <w:p>
      <w:pPr>
        <w:spacing w:after="0" w:line="1" w:lineRule="exact"/>
        <w:rPr>
          <w:sz w:val="20"/>
          <w:szCs w:val="20"/>
          <w:color w:val="auto"/>
        </w:rPr>
      </w:pPr>
    </w:p>
    <w:p>
      <w:pPr>
        <w:jc w:val="both"/>
        <w:ind w:left="100" w:right="240"/>
        <w:spacing w:after="0" w:line="259" w:lineRule="auto"/>
        <w:rPr>
          <w:sz w:val="20"/>
          <w:szCs w:val="20"/>
          <w:color w:val="auto"/>
        </w:rPr>
      </w:pPr>
      <w:r>
        <w:rPr>
          <w:rFonts w:ascii="Arial" w:cs="Arial" w:eastAsia="Arial" w:hAnsi="Arial"/>
          <w:sz w:val="18"/>
          <w:szCs w:val="18"/>
          <w:color w:val="auto"/>
        </w:rPr>
        <w:t>We may by ordinary resolution of shareholders declare dividends out of profits available for distribution in accordance with the respective rights of shareholders but no such dividend shall exceed the amount recommended by the directors. The board may from time to time pay shareholders such interim dividends as appear to the board to be justified by our profits and, if at any time, our share capital is divided into different classes the board may pay such interim dividends in respect of those shares which confer on the holders thereof deferred or non-preferential rights with regard to dividends.</w:t>
      </w:r>
    </w:p>
    <w:p>
      <w:pPr>
        <w:spacing w:after="0" w:line="98"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Subject to any special rights attaching to or the terms of issue of any share, all dividends shall be declared and paid according to the amounts paid up on the shares and shall be apportioned and paid pro rata according to the amounts paid up on the shares during any part or parts of the period in respect of which the dividend is paid.</w:t>
      </w:r>
    </w:p>
    <w:p>
      <w:pPr>
        <w:spacing w:after="0" w:line="76" w:lineRule="exact"/>
        <w:rPr>
          <w:sz w:val="20"/>
          <w:szCs w:val="20"/>
          <w:color w:val="auto"/>
        </w:rPr>
      </w:pPr>
    </w:p>
    <w:p>
      <w:pPr>
        <w:ind w:left="100" w:right="280"/>
        <w:spacing w:after="0" w:line="287" w:lineRule="auto"/>
        <w:rPr>
          <w:sz w:val="20"/>
          <w:szCs w:val="20"/>
          <w:color w:val="auto"/>
        </w:rPr>
      </w:pPr>
      <w:r>
        <w:rPr>
          <w:rFonts w:ascii="Arial" w:cs="Arial" w:eastAsia="Arial" w:hAnsi="Arial"/>
          <w:sz w:val="18"/>
          <w:szCs w:val="18"/>
          <w:color w:val="auto"/>
        </w:rPr>
        <w:t>No dividend or other moneys payable by us on or in respect of any share shall bear interest against us. Any dividend unclaimed after a period of 12 years from the date such dividend became due for payment shall, if the Board so resolved, be forfeited and shall revert to us.</w:t>
      </w:r>
    </w:p>
    <w:p>
      <w:pPr>
        <w:spacing w:after="0" w:line="5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Dividends may be declared or paid in any currency and the board may decide the rate of exchange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20"/>
          </w:cols>
          <w:pgMar w:left="220" w:top="1440" w:right="359" w:bottom="1440" w:gutter="0" w:footer="0" w:header="0"/>
        </w:sectPr>
      </w:pPr>
    </w:p>
    <w:bookmarkStart w:id="137" w:name="page138"/>
    <w:bookmarkEnd w:id="137"/>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any currency conversions that may be required, and how any costs involved are to be met, in relation to the currency of any dividend.</w:t>
      </w:r>
    </w:p>
    <w:p>
      <w:pPr>
        <w:spacing w:after="0" w:line="225"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Any general meeting declaring a dividend may by ordinary resolution of shareholders, upon the recommendation of the board, direct payment or satisfaction of such dividend wholly or in part by the distribution of specific assets other than cash, and in particular of paid up shares or debentures of any other company. The directors may, if authorized by ordinary resolution of shareholders, offer any holders of ordinary shares the right to elect to receive in lieu of a dividend an allotment of ordinary shares credited as fully paid up, subject to such exclusions as the Board may deem necessary or desirable.</w:t>
      </w:r>
    </w:p>
    <w:p>
      <w:pPr>
        <w:spacing w:after="0" w:line="98" w:lineRule="exact"/>
        <w:rPr>
          <w:sz w:val="20"/>
          <w:szCs w:val="20"/>
          <w:color w:val="auto"/>
        </w:rPr>
      </w:pPr>
    </w:p>
    <w:p>
      <w:pPr>
        <w:ind w:left="100" w:right="20"/>
        <w:spacing w:after="0" w:line="287" w:lineRule="auto"/>
        <w:rPr>
          <w:sz w:val="20"/>
          <w:szCs w:val="20"/>
          <w:color w:val="auto"/>
        </w:rPr>
      </w:pPr>
      <w:r>
        <w:rPr>
          <w:rFonts w:ascii="Arial" w:cs="Arial" w:eastAsia="Arial" w:hAnsi="Arial"/>
          <w:sz w:val="18"/>
          <w:szCs w:val="18"/>
          <w:color w:val="auto"/>
        </w:rPr>
        <w:t>No shareholder shall be entitled to receive any dividend or other distribution in respect of any share held by him unless all calls or other sums payable by him in respect of that share have been paid.</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of Control</w:t>
      </w:r>
    </w:p>
    <w:p>
      <w:pPr>
        <w:spacing w:after="0" w:line="1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There is no specific provision in our articles of association that would have the effect of delaying, deferring or preventing a change of control.</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on Winding Up</w:t>
      </w:r>
    </w:p>
    <w:p>
      <w:pPr>
        <w:spacing w:after="0" w:line="129" w:lineRule="exact"/>
        <w:rPr>
          <w:sz w:val="20"/>
          <w:szCs w:val="20"/>
          <w:color w:val="auto"/>
        </w:rPr>
      </w:pPr>
    </w:p>
    <w:p>
      <w:pPr>
        <w:ind w:left="100" w:right="40"/>
        <w:spacing w:after="0" w:line="255" w:lineRule="auto"/>
        <w:rPr>
          <w:sz w:val="20"/>
          <w:szCs w:val="20"/>
          <w:color w:val="auto"/>
        </w:rPr>
      </w:pPr>
      <w:r>
        <w:rPr>
          <w:rFonts w:ascii="Arial" w:cs="Arial" w:eastAsia="Arial" w:hAnsi="Arial"/>
          <w:sz w:val="18"/>
          <w:szCs w:val="18"/>
          <w:color w:val="auto"/>
        </w:rPr>
        <w:t>On a winding up, the liquidator may, with the consent by a special resolution of shareholders and any other resolution of the shareholders (excluding us to the extent we are a shareholder by virtue only of our holding of shares as treasury shares) in proportion to their shareholdings in specie or in kind or sanction of the court required by the Companies Act 2006 and/or the Insolvency Act 1986, divide amongst the shareholders the whole or any part of our assets (whether they shall consist of property of the same kind or not) and may set such values as he deems fair upon any property to be divided and may determine how such division shall be carried out as between the shareholders or different classes of shareholder. The liquidator may vest the whole or any part of such assets in trustees upon such trusts for the benefit of the shareholders as the liquidator shall think fit, but no shareholder shall be compelled to accept any shares or other assets upon which there is any liability or potential liability.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Variation of Rights</w:t>
      </w:r>
    </w:p>
    <w:p>
      <w:pPr>
        <w:spacing w:after="0" w:line="142"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All or any of the rights and restrictions attached to any class of shares issued may be altered, added to or revoked with the consent in writing of the holders of not less than three-fourths in nominal value of the issued shares of that class (excluding any shares held as treasury shares) or by special resolution passed at a separate general meeting of the holders of such shares, subject to the Companies Act 2006 and the terms of their issue. The Companies Act 2006 provides a right to object to the variation of the share capital by the shareholders who did not vote in favor of the variation. Should an aggregate of 15% of the shareholders of the issued shares in question apply to the court to have the variation cancelled, the variation shall have no effect unless and until it is confirmed by the court.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Alteration to Share Capital</w:t>
      </w:r>
    </w:p>
    <w:p>
      <w:pPr>
        <w:spacing w:after="0" w:line="129" w:lineRule="exact"/>
        <w:rPr>
          <w:sz w:val="20"/>
          <w:szCs w:val="20"/>
          <w:color w:val="auto"/>
        </w:rPr>
      </w:pPr>
    </w:p>
    <w:p>
      <w:pPr>
        <w:ind w:left="100" w:right="140"/>
        <w:spacing w:after="0" w:line="259" w:lineRule="auto"/>
        <w:rPr>
          <w:sz w:val="20"/>
          <w:szCs w:val="20"/>
          <w:color w:val="auto"/>
        </w:rPr>
      </w:pPr>
      <w:r>
        <w:rPr>
          <w:rFonts w:ascii="Arial" w:cs="Arial" w:eastAsia="Arial" w:hAnsi="Arial"/>
          <w:sz w:val="18"/>
          <w:szCs w:val="18"/>
          <w:color w:val="auto"/>
        </w:rPr>
        <w:t>We may, by ordinary resolution of shareholders, consolidate and divide all or any of our share capital into shares of larger amount than our existing shares, or sub-divide our shares or any of them into shares of a smaller amount. We may, by special resolution of shareholders, confirmed by the court, reduce our share capital or any capital redemption reserve or any share premium account in any manner authorized by the Companies Act 2006. We may redeem or purchase all or any of our shares as described in "-Other U.K. Law Considerations - Purchase of Own Shares."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Preemption Rights</w:t>
      </w:r>
    </w:p>
    <w:p>
      <w:pPr>
        <w:spacing w:after="0" w:line="129" w:lineRule="exact"/>
        <w:rPr>
          <w:sz w:val="20"/>
          <w:szCs w:val="20"/>
          <w:color w:val="auto"/>
        </w:rPr>
      </w:pPr>
    </w:p>
    <w:p>
      <w:pPr>
        <w:ind w:left="100" w:right="200"/>
        <w:spacing w:after="0" w:line="287" w:lineRule="auto"/>
        <w:rPr>
          <w:sz w:val="20"/>
          <w:szCs w:val="20"/>
          <w:color w:val="auto"/>
        </w:rPr>
      </w:pPr>
      <w:r>
        <w:rPr>
          <w:rFonts w:ascii="Arial" w:cs="Arial" w:eastAsia="Arial" w:hAnsi="Arial"/>
          <w:sz w:val="18"/>
          <w:szCs w:val="18"/>
          <w:color w:val="auto"/>
        </w:rPr>
        <w:t>In certain circumstances, our shareholders may have statutory preemption rights under the Companies Act 2006 in respect of the allotment of new shares as described in "- Preemptive Rights" and "- Differences in Corporate Law - Preemptive Rights" below.</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Transfer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40"/>
          </w:cols>
          <w:pgMar w:left="220" w:top="1440" w:right="339" w:bottom="1440" w:gutter="0" w:footer="0" w:header="0"/>
        </w:sectPr>
      </w:pPr>
    </w:p>
    <w:bookmarkStart w:id="138" w:name="page139"/>
    <w:bookmarkEnd w:id="138"/>
    <w:p>
      <w:pPr>
        <w:spacing w:after="0" w:line="99" w:lineRule="exact"/>
        <w:rPr>
          <w:sz w:val="20"/>
          <w:szCs w:val="20"/>
          <w:color w:val="auto"/>
        </w:rPr>
      </w:pPr>
    </w:p>
    <w:p>
      <w:pPr>
        <w:ind w:left="100" w:right="200"/>
        <w:spacing w:after="0" w:line="268" w:lineRule="auto"/>
        <w:rPr>
          <w:sz w:val="20"/>
          <w:szCs w:val="20"/>
          <w:color w:val="auto"/>
        </w:rPr>
      </w:pPr>
      <w:r>
        <w:rPr>
          <w:rFonts w:ascii="Arial" w:cs="Arial" w:eastAsia="Arial" w:hAnsi="Arial"/>
          <w:sz w:val="18"/>
          <w:szCs w:val="18"/>
          <w:color w:val="auto"/>
        </w:rPr>
        <w:t>Any certificated shareholder may transfer all or any of his shares by an instrument of transfer in the usual common form or in any other manner which is permitted by the Companies Act 2006 and approved by the board. Any written instrument of transfer shall be signed by or on behalf of the transferor and (in the case of a partly paid share) the transferee.</w:t>
      </w:r>
    </w:p>
    <w:p>
      <w:pPr>
        <w:spacing w:after="0" w:line="90" w:lineRule="exact"/>
        <w:rPr>
          <w:sz w:val="20"/>
          <w:szCs w:val="20"/>
          <w:color w:val="auto"/>
        </w:rPr>
      </w:pPr>
    </w:p>
    <w:p>
      <w:pPr>
        <w:ind w:left="100" w:right="80"/>
        <w:spacing w:after="0" w:line="268" w:lineRule="auto"/>
        <w:rPr>
          <w:sz w:val="20"/>
          <w:szCs w:val="20"/>
          <w:color w:val="auto"/>
        </w:rPr>
      </w:pPr>
      <w:r>
        <w:rPr>
          <w:rFonts w:ascii="Arial" w:cs="Arial" w:eastAsia="Arial" w:hAnsi="Arial"/>
          <w:sz w:val="18"/>
          <w:szCs w:val="18"/>
          <w:color w:val="auto"/>
        </w:rPr>
        <w:t>All transfers of uncertificated shares shall be made in accordance with and subject to the provisions of the Uncertificated Securities Regulations 2001 and the facilities and requirements of its relevant system. The Uncertificated Securities Regulations 2001 permit shares to be issued and held in uncertificated form and transferred by means of a computer-based system.</w:t>
      </w:r>
    </w:p>
    <w:p>
      <w:pPr>
        <w:spacing w:after="0" w:line="7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board may decline to register any transfer of any share:</w:t>
      </w:r>
    </w:p>
    <w:p>
      <w:pPr>
        <w:spacing w:after="0" w:line="200" w:lineRule="exact"/>
        <w:rPr>
          <w:sz w:val="20"/>
          <w:szCs w:val="20"/>
          <w:color w:val="auto"/>
        </w:rPr>
      </w:pPr>
    </w:p>
    <w:p>
      <w:pPr>
        <w:spacing w:after="0" w:line="335" w:lineRule="exact"/>
        <w:rPr>
          <w:sz w:val="20"/>
          <w:szCs w:val="20"/>
          <w:color w:val="auto"/>
        </w:rPr>
      </w:pPr>
    </w:p>
    <w:p>
      <w:pPr>
        <w:ind w:left="420" w:hanging="309"/>
        <w:spacing w:after="0"/>
        <w:tabs>
          <w:tab w:leader="none" w:pos="420"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which is not a fully paid share;</w:t>
      </w:r>
    </w:p>
    <w:p>
      <w:pPr>
        <w:spacing w:after="0" w:line="139" w:lineRule="exact"/>
        <w:rPr>
          <w:rFonts w:ascii="Times New Roman" w:cs="Times New Roman" w:eastAsia="Times New Roman" w:hAnsi="Times New Roman"/>
          <w:sz w:val="22"/>
          <w:szCs w:val="22"/>
          <w:color w:val="auto"/>
        </w:rPr>
      </w:pPr>
    </w:p>
    <w:p>
      <w:pPr>
        <w:ind w:left="440" w:right="340" w:hanging="329"/>
        <w:spacing w:after="0" w:line="237" w:lineRule="auto"/>
        <w:tabs>
          <w:tab w:leader="none" w:pos="434"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to a person known to be a minor, bankrupt or person who is mentally disordered or a patient for the purpose of any statute relating to mental health;</w:t>
      </w:r>
    </w:p>
    <w:p>
      <w:pPr>
        <w:spacing w:after="0" w:line="139" w:lineRule="exact"/>
        <w:rPr>
          <w:rFonts w:ascii="Times New Roman" w:cs="Times New Roman" w:eastAsia="Times New Roman" w:hAnsi="Times New Roman"/>
          <w:sz w:val="22"/>
          <w:szCs w:val="22"/>
          <w:color w:val="auto"/>
        </w:rPr>
      </w:pPr>
    </w:p>
    <w:p>
      <w:pPr>
        <w:ind w:left="420" w:hanging="309"/>
        <w:spacing w:after="0"/>
        <w:tabs>
          <w:tab w:leader="none" w:pos="420"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to an entity which is not a natural or legal person;</w:t>
      </w:r>
    </w:p>
    <w:p>
      <w:pPr>
        <w:spacing w:after="0" w:line="139" w:lineRule="exact"/>
        <w:rPr>
          <w:rFonts w:ascii="Times New Roman" w:cs="Times New Roman" w:eastAsia="Times New Roman" w:hAnsi="Times New Roman"/>
          <w:sz w:val="22"/>
          <w:szCs w:val="22"/>
          <w:color w:val="auto"/>
        </w:rPr>
      </w:pPr>
    </w:p>
    <w:p>
      <w:pPr>
        <w:ind w:left="440" w:right="240" w:hanging="329"/>
        <w:spacing w:after="0" w:line="237" w:lineRule="auto"/>
        <w:tabs>
          <w:tab w:leader="none" w:pos="434"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unless any written instrument of transfer, duly stamped, is lodged with us at our registered office or such other place as the board may appoint accompanied by the certificate for the shares to which it relates;</w:t>
      </w:r>
    </w:p>
    <w:p>
      <w:pPr>
        <w:spacing w:after="0" w:line="153" w:lineRule="exact"/>
        <w:rPr>
          <w:rFonts w:ascii="Times New Roman" w:cs="Times New Roman" w:eastAsia="Times New Roman" w:hAnsi="Times New Roman"/>
          <w:sz w:val="22"/>
          <w:szCs w:val="22"/>
          <w:color w:val="auto"/>
        </w:rPr>
      </w:pPr>
    </w:p>
    <w:p>
      <w:pPr>
        <w:ind w:left="440" w:right="100" w:hanging="329"/>
        <w:spacing w:after="0" w:line="237" w:lineRule="auto"/>
        <w:tabs>
          <w:tab w:leader="none" w:pos="434"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unless there is provided such evidence as the board may reasonably require to show the right of the transferor to make the transfer and if the instrument of transfer is executed by some other person on his behalf, the authority of that person to do so;</w:t>
      </w:r>
    </w:p>
    <w:p>
      <w:pPr>
        <w:spacing w:after="0" w:line="125" w:lineRule="exact"/>
        <w:rPr>
          <w:rFonts w:ascii="Times New Roman" w:cs="Times New Roman" w:eastAsia="Times New Roman" w:hAnsi="Times New Roman"/>
          <w:sz w:val="22"/>
          <w:szCs w:val="22"/>
          <w:color w:val="auto"/>
        </w:rPr>
      </w:pPr>
    </w:p>
    <w:p>
      <w:pPr>
        <w:ind w:left="420" w:hanging="309"/>
        <w:spacing w:after="0"/>
        <w:tabs>
          <w:tab w:leader="none" w:pos="420"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where the transfer is in respect of more than one class of share; and</w:t>
      </w:r>
    </w:p>
    <w:p>
      <w:pPr>
        <w:spacing w:after="0" w:line="138" w:lineRule="exact"/>
        <w:rPr>
          <w:rFonts w:ascii="Times New Roman" w:cs="Times New Roman" w:eastAsia="Times New Roman" w:hAnsi="Times New Roman"/>
          <w:sz w:val="22"/>
          <w:szCs w:val="22"/>
          <w:color w:val="auto"/>
        </w:rPr>
      </w:pPr>
    </w:p>
    <w:p>
      <w:pPr>
        <w:ind w:left="420" w:hanging="309"/>
        <w:spacing w:after="0"/>
        <w:tabs>
          <w:tab w:leader="none" w:pos="420" w:val="left"/>
        </w:tabs>
        <w:numPr>
          <w:ilvl w:val="0"/>
          <w:numId w:val="63"/>
        </w:numPr>
        <w:rPr>
          <w:rFonts w:ascii="Times New Roman" w:cs="Times New Roman" w:eastAsia="Times New Roman" w:hAnsi="Times New Roman"/>
          <w:sz w:val="22"/>
          <w:szCs w:val="22"/>
          <w:color w:val="auto"/>
        </w:rPr>
      </w:pPr>
      <w:r>
        <w:rPr>
          <w:rFonts w:ascii="Arial" w:cs="Arial" w:eastAsia="Arial" w:hAnsi="Arial"/>
          <w:sz w:val="18"/>
          <w:szCs w:val="18"/>
          <w:color w:val="auto"/>
        </w:rPr>
        <w:t>in the case of a transfer to joint holders, the number of joint holders to whom the share is to be transferred exceeds four.</w:t>
      </w:r>
    </w:p>
    <w:p>
      <w:pPr>
        <w:spacing w:after="0" w:line="99" w:lineRule="exact"/>
        <w:rPr>
          <w:sz w:val="20"/>
          <w:szCs w:val="20"/>
          <w:color w:val="auto"/>
        </w:rPr>
      </w:pPr>
    </w:p>
    <w:p>
      <w:pPr>
        <w:ind w:left="100" w:right="440"/>
        <w:spacing w:after="0" w:line="287" w:lineRule="auto"/>
        <w:rPr>
          <w:sz w:val="20"/>
          <w:szCs w:val="20"/>
          <w:color w:val="auto"/>
        </w:rPr>
      </w:pPr>
      <w:r>
        <w:rPr>
          <w:rFonts w:ascii="Arial" w:cs="Arial" w:eastAsia="Arial" w:hAnsi="Arial"/>
          <w:sz w:val="18"/>
          <w:szCs w:val="18"/>
          <w:color w:val="auto"/>
        </w:rPr>
        <w:t>If the board declines to register a transfer it shall, as soon as practicable and in any event within two months after the date on which the transfer is lodged, send to the transferee notice of the refusal, together with reasons for the refusal.</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Meetings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 General Meetings</w:t>
      </w:r>
    </w:p>
    <w:p>
      <w:pPr>
        <w:spacing w:after="0" w:line="129" w:lineRule="exact"/>
        <w:rPr>
          <w:sz w:val="20"/>
          <w:szCs w:val="20"/>
          <w:color w:val="auto"/>
        </w:rPr>
      </w:pPr>
    </w:p>
    <w:p>
      <w:pPr>
        <w:ind w:left="100"/>
        <w:spacing w:after="0" w:line="262" w:lineRule="auto"/>
        <w:rPr>
          <w:sz w:val="20"/>
          <w:szCs w:val="20"/>
          <w:color w:val="auto"/>
        </w:rPr>
      </w:pPr>
      <w:r>
        <w:rPr>
          <w:rFonts w:ascii="Arial" w:cs="Arial" w:eastAsia="Arial" w:hAnsi="Arial"/>
          <w:sz w:val="18"/>
          <w:szCs w:val="18"/>
          <w:color w:val="auto"/>
        </w:rPr>
        <w:t>In accordance with the Companies Act 2006, we are required in each year to hold an annual general meeting in addition to any other general meetings in that year and to specify the meeting as such in the notice convening it. The annual general meeting shall be convened whenever and wherever the board sees fit, subject to the requirements of the Companies Act 2006, as described in "- Differences in Corporate Law - Annual General Meeting" and "- Differences in Corporate Law - Notice of General Meetings" below.</w:t>
      </w:r>
    </w:p>
    <w:p>
      <w:pPr>
        <w:spacing w:after="0" w:line="95" w:lineRule="exact"/>
        <w:rPr>
          <w:sz w:val="20"/>
          <w:szCs w:val="20"/>
          <w:color w:val="auto"/>
        </w:rPr>
      </w:pPr>
    </w:p>
    <w:p>
      <w:pPr>
        <w:ind w:right="120" w:firstLine="108"/>
        <w:spacing w:after="0" w:line="391" w:lineRule="auto"/>
        <w:rPr>
          <w:sz w:val="20"/>
          <w:szCs w:val="20"/>
          <w:color w:val="auto"/>
        </w:rPr>
      </w:pPr>
      <w:r>
        <w:rPr>
          <w:rFonts w:ascii="Arial" w:cs="Arial" w:eastAsia="Arial" w:hAnsi="Arial"/>
          <w:sz w:val="18"/>
          <w:szCs w:val="18"/>
          <w:color w:val="auto"/>
        </w:rPr>
        <w:t xml:space="preserve">The arrangements for the calling of general meetings are described in "- Differences in Corporate Law - Notice of General Meetings" below. </w:t>
      </w:r>
      <w:r>
        <w:rPr>
          <w:rFonts w:ascii="Arial" w:cs="Arial" w:eastAsia="Arial" w:hAnsi="Arial"/>
          <w:sz w:val="18"/>
          <w:szCs w:val="18"/>
          <w:i w:val="1"/>
          <w:iCs w:val="1"/>
          <w:color w:val="auto"/>
        </w:rPr>
        <w:t>Quorum of General Meetings</w:t>
      </w:r>
    </w:p>
    <w:p>
      <w:pPr>
        <w:spacing w:after="0" w:line="1" w:lineRule="exact"/>
        <w:rPr>
          <w:sz w:val="20"/>
          <w:szCs w:val="20"/>
          <w:color w:val="auto"/>
        </w:rPr>
      </w:pPr>
    </w:p>
    <w:p>
      <w:pPr>
        <w:jc w:val="both"/>
        <w:ind w:left="100" w:right="60"/>
        <w:spacing w:after="0" w:line="268" w:lineRule="auto"/>
        <w:rPr>
          <w:sz w:val="20"/>
          <w:szCs w:val="20"/>
          <w:color w:val="auto"/>
        </w:rPr>
      </w:pPr>
      <w:r>
        <w:rPr>
          <w:rFonts w:ascii="Arial" w:cs="Arial" w:eastAsia="Arial" w:hAnsi="Arial"/>
          <w:sz w:val="18"/>
          <w:szCs w:val="18"/>
          <w:color w:val="auto"/>
        </w:rPr>
        <w:t>No business shall be transacted at any general meeting unless a quorum is present. At least two shareholders present in person or by proxy and entitled to vote, holding or representing at least 33 1/3% of the issued and outstanding shares of the Company’s ordinary voting shares present at such general meeting in person or by proxy, shall be a quorum for all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00"/>
          </w:cols>
          <w:pgMar w:left="220" w:top="1440" w:right="379" w:bottom="1440" w:gutter="0" w:footer="0" w:header="0"/>
        </w:sectPr>
      </w:pPr>
    </w:p>
    <w:bookmarkStart w:id="139" w:name="page140"/>
    <w:bookmarkEnd w:id="139"/>
    <w:p>
      <w:pPr>
        <w:spacing w:after="0" w:line="1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 Meetings</w:t>
      </w:r>
    </w:p>
    <w:p>
      <w:pPr>
        <w:spacing w:after="0" w:line="142" w:lineRule="exact"/>
        <w:rPr>
          <w:sz w:val="20"/>
          <w:szCs w:val="20"/>
          <w:color w:val="auto"/>
        </w:rPr>
      </w:pPr>
    </w:p>
    <w:p>
      <w:pPr>
        <w:ind w:left="100" w:right="60"/>
        <w:spacing w:after="0" w:line="287" w:lineRule="auto"/>
        <w:rPr>
          <w:sz w:val="20"/>
          <w:szCs w:val="20"/>
          <w:color w:val="auto"/>
        </w:rPr>
      </w:pPr>
      <w:r>
        <w:rPr>
          <w:rFonts w:ascii="Arial" w:cs="Arial" w:eastAsia="Arial" w:hAnsi="Arial"/>
          <w:sz w:val="18"/>
          <w:szCs w:val="18"/>
          <w:color w:val="auto"/>
        </w:rPr>
        <w:t>The provisions in the Articles of Association relating to general meetings apply to every separate general meeting of the holders of a class of shares except that:</w:t>
      </w:r>
    </w:p>
    <w:p>
      <w:pPr>
        <w:spacing w:after="0" w:line="99" w:lineRule="exact"/>
        <w:rPr>
          <w:sz w:val="20"/>
          <w:szCs w:val="20"/>
          <w:color w:val="auto"/>
        </w:rPr>
      </w:pPr>
    </w:p>
    <w:p>
      <w:pPr>
        <w:ind w:left="440" w:right="100" w:hanging="332"/>
        <w:spacing w:after="0" w:line="237" w:lineRule="auto"/>
        <w:tabs>
          <w:tab w:leader="none" w:pos="435" w:val="left"/>
        </w:tabs>
        <w:numPr>
          <w:ilvl w:val="0"/>
          <w:numId w:val="64"/>
        </w:numPr>
        <w:rPr>
          <w:rFonts w:ascii="Times New Roman" w:cs="Times New Roman" w:eastAsia="Times New Roman" w:hAnsi="Times New Roman"/>
          <w:sz w:val="22"/>
          <w:szCs w:val="22"/>
          <w:color w:val="auto"/>
        </w:rPr>
      </w:pPr>
      <w:r>
        <w:rPr>
          <w:rFonts w:ascii="Arial" w:cs="Arial" w:eastAsia="Arial" w:hAnsi="Arial"/>
          <w:sz w:val="18"/>
          <w:szCs w:val="18"/>
          <w:color w:val="auto"/>
        </w:rPr>
        <w:t>the quorum for such class meeting shall be two holders in person or by proxy representing not less than 33 1/3% in nominal value of the issued shares of the class (excluding any shares held in treasury);</w:t>
      </w:r>
    </w:p>
    <w:p>
      <w:pPr>
        <w:spacing w:after="0" w:line="153" w:lineRule="exact"/>
        <w:rPr>
          <w:rFonts w:ascii="Times New Roman" w:cs="Times New Roman" w:eastAsia="Times New Roman" w:hAnsi="Times New Roman"/>
          <w:sz w:val="22"/>
          <w:szCs w:val="22"/>
          <w:color w:val="auto"/>
        </w:rPr>
      </w:pPr>
    </w:p>
    <w:p>
      <w:pPr>
        <w:ind w:left="440" w:right="260" w:hanging="332"/>
        <w:spacing w:after="0" w:line="237" w:lineRule="auto"/>
        <w:tabs>
          <w:tab w:leader="none" w:pos="435" w:val="left"/>
        </w:tabs>
        <w:numPr>
          <w:ilvl w:val="0"/>
          <w:numId w:val="64"/>
        </w:numPr>
        <w:rPr>
          <w:rFonts w:ascii="Times New Roman" w:cs="Times New Roman" w:eastAsia="Times New Roman" w:hAnsi="Times New Roman"/>
          <w:sz w:val="22"/>
          <w:szCs w:val="22"/>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139" w:lineRule="exact"/>
        <w:rPr>
          <w:rFonts w:ascii="Times New Roman" w:cs="Times New Roman" w:eastAsia="Times New Roman" w:hAnsi="Times New Roman"/>
          <w:sz w:val="22"/>
          <w:szCs w:val="22"/>
          <w:color w:val="auto"/>
        </w:rPr>
      </w:pPr>
    </w:p>
    <w:p>
      <w:pPr>
        <w:ind w:left="440" w:right="260" w:hanging="332"/>
        <w:spacing w:after="0" w:line="237" w:lineRule="auto"/>
        <w:tabs>
          <w:tab w:leader="none" w:pos="435" w:val="left"/>
        </w:tabs>
        <w:numPr>
          <w:ilvl w:val="0"/>
          <w:numId w:val="64"/>
        </w:numPr>
        <w:rPr>
          <w:rFonts w:ascii="Times New Roman" w:cs="Times New Roman" w:eastAsia="Times New Roman" w:hAnsi="Times New Roman"/>
          <w:sz w:val="22"/>
          <w:szCs w:val="22"/>
          <w:color w:val="auto"/>
        </w:rPr>
      </w:pPr>
      <w:r>
        <w:rPr>
          <w:rFonts w:ascii="Arial" w:cs="Arial" w:eastAsia="Arial" w:hAnsi="Arial"/>
          <w:sz w:val="18"/>
          <w:szCs w:val="18"/>
          <w:color w:val="auto"/>
        </w:rPr>
        <w:t>at the class meeting, a holder of shares of the class present in person or by proxy may demand a poll and shall on a poll be entitled to one vote for every share of the class held by him; and</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Number of Directors</w:t>
      </w:r>
    </w:p>
    <w:p>
      <w:pPr>
        <w:spacing w:after="0" w:line="129" w:lineRule="exact"/>
        <w:rPr>
          <w:sz w:val="20"/>
          <w:szCs w:val="20"/>
          <w:color w:val="auto"/>
        </w:rPr>
      </w:pPr>
    </w:p>
    <w:p>
      <w:pPr>
        <w:ind w:left="100" w:right="300"/>
        <w:spacing w:after="0" w:line="287" w:lineRule="auto"/>
        <w:rPr>
          <w:sz w:val="20"/>
          <w:szCs w:val="20"/>
          <w:color w:val="auto"/>
        </w:rPr>
      </w:pPr>
      <w:r>
        <w:rPr>
          <w:rFonts w:ascii="Arial" w:cs="Arial" w:eastAsia="Arial" w:hAnsi="Arial"/>
          <w:sz w:val="18"/>
          <w:szCs w:val="18"/>
          <w:color w:val="auto"/>
        </w:rPr>
        <w:t>We may not have less than two directors on the board of directors. We may, by ordinary resolution of the shareholders, vary the minimum and maximum number of directors from time to time.</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Appointment of Directors</w:t>
      </w:r>
    </w:p>
    <w:p>
      <w:pPr>
        <w:spacing w:after="0" w:line="129" w:lineRule="exact"/>
        <w:rPr>
          <w:sz w:val="20"/>
          <w:szCs w:val="20"/>
          <w:color w:val="auto"/>
        </w:rPr>
      </w:pPr>
    </w:p>
    <w:p>
      <w:pPr>
        <w:ind w:left="100" w:right="80"/>
        <w:spacing w:after="0" w:line="262" w:lineRule="auto"/>
        <w:rPr>
          <w:sz w:val="20"/>
          <w:szCs w:val="20"/>
          <w:color w:val="auto"/>
        </w:rPr>
      </w:pPr>
      <w:r>
        <w:rPr>
          <w:rFonts w:ascii="Arial" w:cs="Arial" w:eastAsia="Arial" w:hAnsi="Arial"/>
          <w:sz w:val="18"/>
          <w:szCs w:val="18"/>
          <w:color w:val="auto"/>
        </w:rPr>
        <w:t>Subject to the provisions of the Articles of Association, we may, by ordinary resolution of the shareholders, elect any person to be a director, either to fill a casual vacancy or as an addition to the existing board. However, any person that is not a director retiring from the existing board must be recommended by a shareholder not less than seven and not more than 21 days before the day of the appointment in order to be eligible for election.</w:t>
      </w:r>
    </w:p>
    <w:p>
      <w:pPr>
        <w:spacing w:after="0" w:line="82" w:lineRule="exact"/>
        <w:rPr>
          <w:sz w:val="20"/>
          <w:szCs w:val="20"/>
          <w:color w:val="auto"/>
        </w:rPr>
      </w:pPr>
    </w:p>
    <w:p>
      <w:pPr>
        <w:ind w:left="100" w:right="20"/>
        <w:spacing w:after="0" w:line="268" w:lineRule="auto"/>
        <w:rPr>
          <w:sz w:val="20"/>
          <w:szCs w:val="20"/>
          <w:color w:val="auto"/>
        </w:rPr>
      </w:pPr>
      <w:r>
        <w:rPr>
          <w:rFonts w:ascii="Arial" w:cs="Arial" w:eastAsia="Arial" w:hAnsi="Arial"/>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the maximum number fixed by or in accordance with the Articles of Association.</w:t>
      </w:r>
    </w:p>
    <w:p>
      <w:pPr>
        <w:spacing w:after="0" w:line="90"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Any director appointed by the board will hold office only until the earlier to occur of the close of the next following annual general meeting and someone being appointed in his stead at that meeting. Such a director is eligible for re-election at that meeting but shall not be taken into account in determining the directors or the number of directors who are to retire by rotation at such meeting.</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Rotation of Directors</w:t>
      </w:r>
    </w:p>
    <w:p>
      <w:pPr>
        <w:spacing w:after="0" w:line="129" w:lineRule="exact"/>
        <w:rPr>
          <w:sz w:val="20"/>
          <w:szCs w:val="20"/>
          <w:color w:val="auto"/>
        </w:rPr>
      </w:pPr>
    </w:p>
    <w:p>
      <w:pPr>
        <w:ind w:left="100" w:right="240"/>
        <w:spacing w:after="0" w:line="287" w:lineRule="auto"/>
        <w:rPr>
          <w:sz w:val="20"/>
          <w:szCs w:val="20"/>
          <w:color w:val="auto"/>
        </w:rPr>
      </w:pPr>
      <w:r>
        <w:rPr>
          <w:rFonts w:ascii="Arial" w:cs="Arial" w:eastAsia="Arial" w:hAnsi="Arial"/>
          <w:sz w:val="18"/>
          <w:szCs w:val="18"/>
          <w:color w:val="auto"/>
        </w:rPr>
        <w:t>At every annual general meeting, one-third of the directors or, if their number is not a multiple of three, then the number nearest to and not exceeding one-third, shall retire from office.</w:t>
      </w:r>
    </w:p>
    <w:p>
      <w:pPr>
        <w:spacing w:after="0" w:line="58" w:lineRule="exact"/>
        <w:rPr>
          <w:sz w:val="20"/>
          <w:szCs w:val="20"/>
          <w:color w:val="auto"/>
        </w:rPr>
      </w:pPr>
    </w:p>
    <w:p>
      <w:pPr>
        <w:jc w:val="both"/>
        <w:ind w:left="100" w:right="480"/>
        <w:spacing w:after="0" w:line="268" w:lineRule="auto"/>
        <w:rPr>
          <w:sz w:val="20"/>
          <w:szCs w:val="20"/>
          <w:color w:val="auto"/>
        </w:rPr>
      </w:pPr>
      <w:r>
        <w:rPr>
          <w:rFonts w:ascii="Arial" w:cs="Arial" w:eastAsia="Arial" w:hAnsi="Arial"/>
          <w:sz w:val="18"/>
          <w:szCs w:val="18"/>
          <w:color w:val="auto"/>
        </w:rPr>
        <w:t>The directors to retire on each occasion shall be those subject to retirement by rotation who have been longest in office since their last election, but as between persons who became or were re-elected directors on the same day those to retire shall (unless they otherwise agree amongst themselves) be determined by lot.</w:t>
      </w:r>
    </w:p>
    <w:p>
      <w:pPr>
        <w:spacing w:after="0" w:line="9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director who retires at the annual general meeting shall be eligible for re-election.</w:t>
      </w:r>
    </w:p>
    <w:p>
      <w:pPr>
        <w:spacing w:after="0" w:line="131" w:lineRule="exact"/>
        <w:rPr>
          <w:sz w:val="20"/>
          <w:szCs w:val="20"/>
          <w:color w:val="auto"/>
        </w:rPr>
      </w:pPr>
    </w:p>
    <w:p>
      <w:pPr>
        <w:jc w:val="both"/>
        <w:ind w:left="100" w:right="60"/>
        <w:spacing w:after="0" w:line="268" w:lineRule="auto"/>
        <w:rPr>
          <w:sz w:val="20"/>
          <w:szCs w:val="20"/>
          <w:color w:val="auto"/>
        </w:rPr>
      </w:pPr>
      <w:r>
        <w:rPr>
          <w:rFonts w:ascii="Arial" w:cs="Arial" w:eastAsia="Arial" w:hAnsi="Arial"/>
          <w:sz w:val="18"/>
          <w:szCs w:val="18"/>
          <w:color w:val="auto"/>
        </w:rPr>
        <w:t>The shareholders may, at the meeting at which a director retires, fill the vacated office by electing a person and in default the retiring director shall, if willing to continue to act, be deemed to have been re-elected, unless at such meeting it is expressly resolved not to fill such vacated office or unless a resolution for the re-election of such director shall have been put to the meeting and lost.</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Interests</w:t>
      </w:r>
    </w:p>
    <w:p>
      <w:pPr>
        <w:spacing w:after="0" w:line="14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directors may authorize, to the fullest extent permitted by law, any matter proposed to them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20"/>
          </w:cols>
          <w:pgMar w:left="220" w:top="1440" w:right="359" w:bottom="1440" w:gutter="0" w:footer="0" w:header="0"/>
        </w:sectPr>
      </w:pPr>
    </w:p>
    <w:bookmarkStart w:id="140" w:name="page141"/>
    <w:bookmarkEnd w:id="140"/>
    <w:p>
      <w:pPr>
        <w:spacing w:after="0" w:line="9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would otherwise result in a director infringing his duty to avoid a situation in which he has, or can have, a direct or indirect interest that conflicts, or possibly may conflict, with our interests. A director shall not, save as otherwise agreed by him, be accountable to us for any benefit which he derives from any matter authorized by the directors and any contract, transaction or arrangement relating thereto shall not be liable to be avoided on the grounds of any such benefit.</w:t>
      </w:r>
    </w:p>
    <w:p>
      <w:pPr>
        <w:spacing w:after="0" w:line="9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Subject to the requirements under sections 175, 177 and 182 of the Companies Act 2006, a director who is any way, whether directly or indirectly, interested in a proposed or existing transaction or arrangement with us shall declare the nature of his interest at a meeting of the directors.</w:t>
      </w:r>
    </w:p>
    <w:p>
      <w:pPr>
        <w:spacing w:after="0" w:line="7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the case of interests arising where a director is in any way, directly or indirectly, interested in (a) a proposed transaction or arrangement with us or (b) a transaction or arrangement that has been entered into by us and save as otherwise provided by the Articles of Association, such director shall not vote at a meeting of the board or of a committee of the board on any resolution concerning such matter in which he has a material interest (otherwise than by virtue of his interest in shares, debentures or other securities of, or otherwise in or through, us) unless his interest or duty arises only because the case falls within one or more of the following paragraphs:</w:t>
      </w:r>
    </w:p>
    <w:p>
      <w:pPr>
        <w:spacing w:after="0" w:line="125" w:lineRule="exact"/>
        <w:rPr>
          <w:sz w:val="20"/>
          <w:szCs w:val="20"/>
          <w:color w:val="auto"/>
        </w:rPr>
      </w:pPr>
    </w:p>
    <w:p>
      <w:pPr>
        <w:ind w:left="340" w:right="80" w:hanging="332"/>
        <w:spacing w:after="0" w:line="249"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to the giving of any security, guarantee or indemnity to the director in respect of money lent or obligations incurred by the director at the request of or for the benefit of us or our subsidiaries;</w:t>
      </w:r>
    </w:p>
    <w:p>
      <w:pPr>
        <w:spacing w:after="0" w:line="130" w:lineRule="exact"/>
        <w:rPr>
          <w:rFonts w:ascii="Times New Roman" w:cs="Times New Roman" w:eastAsia="Times New Roman" w:hAnsi="Times New Roman"/>
          <w:sz w:val="22"/>
          <w:szCs w:val="22"/>
          <w:color w:val="auto"/>
        </w:rPr>
      </w:pPr>
    </w:p>
    <w:p>
      <w:pPr>
        <w:ind w:left="340" w:right="380" w:hanging="332"/>
        <w:spacing w:after="0" w:line="242"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to the giving to a third party of a security or indemnity in respect of a debt or obligation of ours or any of our subsidiaries for which the director or a person connected with him has assumed responsibility in whole or part under a guarantee or indemnity or by the giving of security;</w:t>
      </w:r>
    </w:p>
    <w:p>
      <w:pPr>
        <w:spacing w:after="0" w:line="137" w:lineRule="exact"/>
        <w:rPr>
          <w:rFonts w:ascii="Times New Roman" w:cs="Times New Roman" w:eastAsia="Times New Roman" w:hAnsi="Times New Roman"/>
          <w:sz w:val="22"/>
          <w:szCs w:val="22"/>
          <w:color w:val="auto"/>
        </w:rPr>
      </w:pPr>
    </w:p>
    <w:p>
      <w:pPr>
        <w:jc w:val="both"/>
        <w:ind w:left="340" w:hanging="332"/>
        <w:spacing w:after="0" w:line="249"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his interest arises by virtue of any offer of shares or debentures or other securities by us or our subsidiaries for subscription or purchase in which offer the director is or may be entitled to participate as a holder of securities or in the director is interested as a participant in the underwriting or sub-underwriting thereof;</w:t>
      </w:r>
    </w:p>
    <w:p>
      <w:pPr>
        <w:spacing w:after="0" w:line="131" w:lineRule="exact"/>
        <w:rPr>
          <w:rFonts w:ascii="Times New Roman" w:cs="Times New Roman" w:eastAsia="Times New Roman" w:hAnsi="Times New Roman"/>
          <w:sz w:val="22"/>
          <w:szCs w:val="22"/>
          <w:color w:val="auto"/>
        </w:rPr>
      </w:pPr>
    </w:p>
    <w:p>
      <w:pPr>
        <w:ind w:left="340" w:right="160" w:hanging="332"/>
        <w:spacing w:after="0" w:line="244"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in any way to any other company in which he is interested, directly or indirectly and whether as an officer or shareholder or otherwise howsoever, provided that he and any persons connected with him do not to his knowledge hold an interest in shares representing one per cent or more of any class of the equity share capital of such company or of the voting rights available to shareholders of such company;</w:t>
      </w:r>
    </w:p>
    <w:p>
      <w:pPr>
        <w:spacing w:after="0" w:line="137" w:lineRule="exact"/>
        <w:rPr>
          <w:rFonts w:ascii="Times New Roman" w:cs="Times New Roman" w:eastAsia="Times New Roman" w:hAnsi="Times New Roman"/>
          <w:sz w:val="22"/>
          <w:szCs w:val="22"/>
          <w:color w:val="auto"/>
        </w:rPr>
      </w:pPr>
    </w:p>
    <w:p>
      <w:pPr>
        <w:ind w:left="340" w:right="720" w:hanging="332"/>
        <w:spacing w:after="0" w:line="249"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in any way to an arrangement in whole or in part for the benefit of our employees or any employees of our subsidiaries which does not award him as such any privilege or benefit not generally awarded to the employees to whom such arrangement relates;</w:t>
      </w:r>
    </w:p>
    <w:p>
      <w:pPr>
        <w:spacing w:after="0" w:line="131" w:lineRule="exact"/>
        <w:rPr>
          <w:rFonts w:ascii="Times New Roman" w:cs="Times New Roman" w:eastAsia="Times New Roman" w:hAnsi="Times New Roman"/>
          <w:sz w:val="22"/>
          <w:szCs w:val="22"/>
          <w:color w:val="auto"/>
        </w:rPr>
      </w:pPr>
    </w:p>
    <w:p>
      <w:pPr>
        <w:ind w:left="340" w:hanging="332"/>
        <w:spacing w:after="0" w:line="244"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to the adoption, modification or operation of a superannuation fund or retirement, death or disability benefits scheme or employees' share scheme under which he may benefit and which has been approved by or is subject to and conditional upon approval by the U.K. tax authorities for taxation purposes and which does not award him any privilege or benefit not awarded to the employee to whom the scheme relates; or</w:t>
      </w:r>
    </w:p>
    <w:p>
      <w:pPr>
        <w:spacing w:after="0" w:line="137" w:lineRule="exact"/>
        <w:rPr>
          <w:rFonts w:ascii="Times New Roman" w:cs="Times New Roman" w:eastAsia="Times New Roman" w:hAnsi="Times New Roman"/>
          <w:sz w:val="22"/>
          <w:szCs w:val="22"/>
          <w:color w:val="auto"/>
        </w:rPr>
      </w:pPr>
    </w:p>
    <w:p>
      <w:pPr>
        <w:ind w:left="340" w:right="20" w:hanging="332"/>
        <w:spacing w:after="0" w:line="249" w:lineRule="auto"/>
        <w:tabs>
          <w:tab w:leader="none" w:pos="335" w:val="left"/>
        </w:tabs>
        <w:numPr>
          <w:ilvl w:val="0"/>
          <w:numId w:val="65"/>
        </w:numPr>
        <w:rPr>
          <w:rFonts w:ascii="Times New Roman" w:cs="Times New Roman" w:eastAsia="Times New Roman" w:hAnsi="Times New Roman"/>
          <w:sz w:val="22"/>
          <w:szCs w:val="22"/>
          <w:color w:val="auto"/>
        </w:rPr>
      </w:pPr>
      <w:r>
        <w:rPr>
          <w:rFonts w:ascii="Arial" w:cs="Arial" w:eastAsia="Arial" w:hAnsi="Arial"/>
          <w:sz w:val="18"/>
          <w:szCs w:val="18"/>
          <w:color w:val="auto"/>
        </w:rPr>
        <w:t>the resolution relates in any way to the purchase or maintenance for the directors of insurance against any liability which by virtue of any rule of law would otherwise attach to all or any of them in respect of any negligence, default, breach of duty or breach of trust in relation to us or any of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60"/>
          </w:cols>
          <w:pgMar w:left="320" w:top="1440" w:right="419" w:bottom="1440" w:gutter="0" w:footer="0" w:header="0"/>
        </w:sectPr>
      </w:pPr>
    </w:p>
    <w:bookmarkStart w:id="141" w:name="page142"/>
    <w:bookmarkEnd w:id="141"/>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 director shall not be counted in the quorum present at a meeting in relation to a resolution on which he is not entitled to vote.</w:t>
      </w:r>
    </w:p>
    <w:p>
      <w:pPr>
        <w:spacing w:after="0" w:line="144"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If a question arises at a meeting of the board or of a committee of the board as to the right of a director to vote or be counted in the quorum, and such question is not resolved by his voluntarily agreeing to abstain from voting or not to be counted in the quorum, the question shall be determined by a majority of votes of the remaining directors present at the meeting or if there is an equality of votes, the Chairman shall have a second or casting vote and his ruling in relation to any director other than himself shall be final and conclusive except in a case where the nature or extent of the interest of the director concerned has not been fairly disclosed.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Directors' Fees and Remuneration</w:t>
      </w:r>
    </w:p>
    <w:p>
      <w:pPr>
        <w:spacing w:after="0" w:line="129" w:lineRule="exact"/>
        <w:rPr>
          <w:sz w:val="20"/>
          <w:szCs w:val="20"/>
          <w:color w:val="auto"/>
        </w:rPr>
      </w:pPr>
    </w:p>
    <w:p>
      <w:pPr>
        <w:ind w:left="100" w:right="40"/>
        <w:spacing w:after="0" w:line="268" w:lineRule="auto"/>
        <w:rPr>
          <w:sz w:val="20"/>
          <w:szCs w:val="20"/>
          <w:color w:val="auto"/>
        </w:rPr>
      </w:pPr>
      <w:r>
        <w:rPr>
          <w:rFonts w:ascii="Arial" w:cs="Arial" w:eastAsia="Arial" w:hAnsi="Arial"/>
          <w:sz w:val="18"/>
          <w:szCs w:val="18"/>
          <w:color w:val="auto"/>
        </w:rPr>
        <w:t>Each of the directors shall be paid a fee at such rate as may from time to time be determined by the board (or for the avoidance of doubt any duly authorized committee of the board) provided that the aggregate of all such fees so paid to directors shall not exceed £500,000 per annum, or such higher amount as may from time to time be determined by ordinary resolution of shareholders.</w:t>
      </w:r>
    </w:p>
    <w:p>
      <w:pPr>
        <w:spacing w:after="0" w:line="90" w:lineRule="exact"/>
        <w:rPr>
          <w:sz w:val="20"/>
          <w:szCs w:val="20"/>
          <w:color w:val="auto"/>
        </w:rPr>
      </w:pPr>
    </w:p>
    <w:p>
      <w:pPr>
        <w:ind w:left="100" w:right="60"/>
        <w:spacing w:after="0" w:line="259" w:lineRule="auto"/>
        <w:rPr>
          <w:sz w:val="20"/>
          <w:szCs w:val="20"/>
          <w:color w:val="auto"/>
        </w:rPr>
      </w:pPr>
      <w:r>
        <w:rPr>
          <w:rFonts w:ascii="Arial" w:cs="Arial" w:eastAsia="Arial" w:hAnsi="Arial"/>
          <w:sz w:val="18"/>
          <w:szCs w:val="18"/>
          <w:color w:val="auto"/>
        </w:rPr>
        <w:t>Each director may be paid his traveling, hotel and incidental expenses of attending and returning from meetings of the board or committees of the board or general meetings or separate meetings of the holders class of shares or of debentures and shall be paid all expenses properly incurred by him in the conduct of our business or in the discharge of his duties as a director. Any director who, by request, performs special or extra services which in the opinion of the board go beyond the ordinary duties of a director may be paid such extra remuneration as the board may determine.</w:t>
      </w:r>
    </w:p>
    <w:p>
      <w:pPr>
        <w:spacing w:after="0" w:line="85" w:lineRule="exact"/>
        <w:rPr>
          <w:sz w:val="20"/>
          <w:szCs w:val="20"/>
          <w:color w:val="auto"/>
        </w:rPr>
      </w:pPr>
    </w:p>
    <w:p>
      <w:pPr>
        <w:ind w:left="100" w:right="100"/>
        <w:spacing w:after="0" w:line="287" w:lineRule="auto"/>
        <w:rPr>
          <w:sz w:val="20"/>
          <w:szCs w:val="20"/>
          <w:color w:val="auto"/>
        </w:rPr>
      </w:pPr>
      <w:r>
        <w:rPr>
          <w:rFonts w:ascii="Arial" w:cs="Arial" w:eastAsia="Arial" w:hAnsi="Arial"/>
          <w:sz w:val="18"/>
          <w:szCs w:val="18"/>
          <w:color w:val="auto"/>
        </w:rPr>
        <w:t>An executive director shall receive such remuneration as the board may determine, and either in addition to or in lieu of his remuneration as a director as detailed above.</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Borrowing Powers</w:t>
      </w:r>
    </w:p>
    <w:p>
      <w:pPr>
        <w:spacing w:after="0" w:line="142" w:lineRule="exact"/>
        <w:rPr>
          <w:sz w:val="20"/>
          <w:szCs w:val="20"/>
          <w:color w:val="auto"/>
        </w:rPr>
      </w:pPr>
    </w:p>
    <w:p>
      <w:pPr>
        <w:jc w:val="both"/>
        <w:ind w:left="100" w:right="80"/>
        <w:spacing w:after="0" w:line="268" w:lineRule="auto"/>
        <w:rPr>
          <w:sz w:val="20"/>
          <w:szCs w:val="20"/>
          <w:color w:val="auto"/>
        </w:rPr>
      </w:pPr>
      <w:r>
        <w:rPr>
          <w:rFonts w:ascii="Arial" w:cs="Arial" w:eastAsia="Arial" w:hAnsi="Arial"/>
          <w:sz w:val="18"/>
          <w:szCs w:val="18"/>
          <w:color w:val="auto"/>
        </w:rPr>
        <w:t>The board may exercise all the powers to borrow money and to mortgage or charge our undertaking, property and assets (present or future) and uncalled capital or any part thereof and to issue debentures and other securities, whether outright or as collateral security for any debt, liability or obligation of us or of any third party.</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ndemnity</w:t>
      </w:r>
    </w:p>
    <w:p>
      <w:pPr>
        <w:spacing w:after="0" w:line="129" w:lineRule="exact"/>
        <w:rPr>
          <w:sz w:val="20"/>
          <w:szCs w:val="20"/>
          <w:color w:val="auto"/>
        </w:rPr>
      </w:pPr>
    </w:p>
    <w:p>
      <w:pPr>
        <w:ind w:left="100" w:right="120"/>
        <w:spacing w:after="0" w:line="262" w:lineRule="auto"/>
        <w:rPr>
          <w:sz w:val="20"/>
          <w:szCs w:val="20"/>
          <w:color w:val="auto"/>
        </w:rPr>
      </w:pPr>
      <w:r>
        <w:rPr>
          <w:rFonts w:ascii="Arial" w:cs="Arial" w:eastAsia="Arial" w:hAnsi="Arial"/>
          <w:sz w:val="18"/>
          <w:szCs w:val="18"/>
          <w:color w:val="auto"/>
        </w:rPr>
        <w:t>Every director, alternate director, other officer or auditor of our group may be indemnified against all costs, charges, expenses, losses and liabilities incurred by him in connection with any negligence, default, breach of duty or breach of trust by him in relation to us or in relation to the actual or purported execution or discharge of his duties or the exercise or purported exercise of his powers or otherwise in relation to such members of our group.</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U.K. Law Considerations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Mandatory Purchases and Acquisitions</w:t>
      </w:r>
    </w:p>
    <w:p>
      <w:pPr>
        <w:spacing w:after="0" w:line="129" w:lineRule="exact"/>
        <w:rPr>
          <w:sz w:val="20"/>
          <w:szCs w:val="20"/>
          <w:color w:val="auto"/>
        </w:rPr>
      </w:pPr>
    </w:p>
    <w:p>
      <w:pPr>
        <w:ind w:left="100" w:right="60"/>
        <w:spacing w:after="0" w:line="271" w:lineRule="auto"/>
        <w:rPr>
          <w:sz w:val="20"/>
          <w:szCs w:val="20"/>
          <w:color w:val="auto"/>
        </w:rPr>
      </w:pPr>
      <w:r>
        <w:rPr>
          <w:rFonts w:ascii="Arial" w:cs="Arial" w:eastAsia="Arial" w:hAnsi="Arial"/>
          <w:sz w:val="17"/>
          <w:szCs w:val="17"/>
          <w:color w:val="auto"/>
        </w:rPr>
        <w:t>Pursuant to Sections 979 to 991 of the Companies Act 2006, where a takeover offer has been made for us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wishes to acquire, and is entitled to so acquire, those shares on the same terms as the general offer. The offeror would do so by sending a notice to the outstanding minority shareholders telling them that it will compulsorily acquire their shares. 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00"/>
          </w:cols>
          <w:pgMar w:left="220" w:top="1440" w:right="379" w:bottom="1440" w:gutter="0" w:footer="0" w:header="0"/>
        </w:sectPr>
      </w:pPr>
    </w:p>
    <w:bookmarkStart w:id="142" w:name="page143"/>
    <w:bookmarkEnd w:id="142"/>
    <w:p>
      <w:pPr>
        <w:spacing w:after="0" w:line="99" w:lineRule="exact"/>
        <w:rPr>
          <w:sz w:val="20"/>
          <w:szCs w:val="20"/>
          <w:color w:val="auto"/>
        </w:rPr>
      </w:pPr>
    </w:p>
    <w:p>
      <w:pPr>
        <w:ind w:left="100" w:right="540"/>
        <w:spacing w:after="0" w:line="268" w:lineRule="auto"/>
        <w:rPr>
          <w:sz w:val="20"/>
          <w:szCs w:val="20"/>
          <w:color w:val="auto"/>
        </w:rPr>
      </w:pPr>
      <w:r>
        <w:rPr>
          <w:rFonts w:ascii="Arial" w:cs="Arial" w:eastAsia="Arial" w:hAnsi="Arial"/>
          <w:sz w:val="18"/>
          <w:szCs w:val="18"/>
          <w:color w:val="auto"/>
        </w:rPr>
        <w:t>us, which would hold the consideration on trust for the outstanding minority shareholders. The consideration offered to the outstanding minority shareholders whose shares are compulsorily acquired under the Companies Act 2006 must, in general, be the same as the consideration that was available under the takeover offer.</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 Out</w:t>
      </w:r>
    </w:p>
    <w:p>
      <w:pPr>
        <w:spacing w:after="0" w:line="129" w:lineRule="exact"/>
        <w:rPr>
          <w:sz w:val="20"/>
          <w:szCs w:val="20"/>
          <w:color w:val="auto"/>
        </w:rPr>
      </w:pPr>
    </w:p>
    <w:p>
      <w:pPr>
        <w:ind w:left="100" w:right="80"/>
        <w:spacing w:after="0" w:line="256" w:lineRule="auto"/>
        <w:rPr>
          <w:sz w:val="20"/>
          <w:szCs w:val="20"/>
          <w:color w:val="auto"/>
        </w:rPr>
      </w:pPr>
      <w:r>
        <w:rPr>
          <w:rFonts w:ascii="Arial" w:cs="Arial" w:eastAsia="Arial" w:hAnsi="Arial"/>
          <w:sz w:val="18"/>
          <w:szCs w:val="18"/>
          <w:color w:val="auto"/>
        </w:rPr>
        <w:t>The Companies Act 2006 also gives our minority shareholders a right to be bought out in certain circumstances by an offeror who has made a takeover offer for all of our shares. The holder of shares to which the offer relates, and who has not otherwise accepted the offer, may require the offeror to acquire his shares if, prior to the expiry of the acceptance period for such offer, (i) the offeror has acquired or unconditionally agreed to acquire not less than 90% in value of the voting shares, and (ii) not less than 90% of the voting rights carried by those shares. The offeror may impose a time limit on the rights of minority shareholders to be bought out that is not less than three months after the end of the acceptance period. If a shareholder exercises his rights to be bought out, the offeror is required to acquire those shares on the terms of this offer or on such other terms as may be agreed.</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Disclosure of Interest in Shares</w:t>
      </w:r>
    </w:p>
    <w:p>
      <w:pPr>
        <w:spacing w:after="0" w:line="142" w:lineRule="exact"/>
        <w:rPr>
          <w:sz w:val="20"/>
          <w:szCs w:val="20"/>
          <w:color w:val="auto"/>
        </w:rPr>
      </w:pPr>
    </w:p>
    <w:p>
      <w:pPr>
        <w:ind w:left="100" w:right="200"/>
        <w:spacing w:after="0" w:line="262" w:lineRule="auto"/>
        <w:rPr>
          <w:sz w:val="20"/>
          <w:szCs w:val="20"/>
          <w:color w:val="auto"/>
        </w:rPr>
      </w:pPr>
      <w:r>
        <w:rPr>
          <w:rFonts w:ascii="Arial" w:cs="Arial" w:eastAsia="Arial" w:hAnsi="Arial"/>
          <w:sz w:val="18"/>
          <w:szCs w:val="18"/>
          <w:color w:val="auto"/>
        </w:rPr>
        <w:t>Pursuant to Part 22 of the Companies Act 2006, we are empowered by notice in writing to any person whom we know or have reasonable cause to believe to be interested in our shares, or at any time during the three years immediately preceding the date on which the notice is issued has been so interested, within a reasonable time to disclose to us particulars of that person's interest and (so far as is within his knowledge) particulars of any other interest that subsists or subsisted in those shares.</w:t>
      </w:r>
    </w:p>
    <w:p>
      <w:pPr>
        <w:spacing w:after="0" w:line="82" w:lineRule="exact"/>
        <w:rPr>
          <w:sz w:val="20"/>
          <w:szCs w:val="20"/>
          <w:color w:val="auto"/>
        </w:rPr>
      </w:pPr>
    </w:p>
    <w:p>
      <w:pPr>
        <w:ind w:left="100" w:right="380"/>
        <w:spacing w:after="0" w:line="287" w:lineRule="auto"/>
        <w:rPr>
          <w:sz w:val="20"/>
          <w:szCs w:val="20"/>
          <w:color w:val="auto"/>
        </w:rPr>
      </w:pPr>
      <w:r>
        <w:rPr>
          <w:rFonts w:ascii="Arial" w:cs="Arial" w:eastAsia="Arial" w:hAnsi="Arial"/>
          <w:sz w:val="18"/>
          <w:szCs w:val="18"/>
          <w:color w:val="auto"/>
        </w:rPr>
        <w:t>Under the Articles of Association, if a person defaults in supplying us with the required particulars in relation to the shares in question, or default shares within the prescribed period, the directors may by notice direct that:</w:t>
      </w:r>
    </w:p>
    <w:p>
      <w:pPr>
        <w:spacing w:after="0" w:line="99" w:lineRule="exact"/>
        <w:rPr>
          <w:sz w:val="20"/>
          <w:szCs w:val="20"/>
          <w:color w:val="auto"/>
        </w:rPr>
      </w:pPr>
    </w:p>
    <w:p>
      <w:pPr>
        <w:ind w:left="440" w:right="180" w:hanging="332"/>
        <w:spacing w:after="0" w:line="242" w:lineRule="auto"/>
        <w:tabs>
          <w:tab w:leader="none" w:pos="435" w:val="left"/>
        </w:tabs>
        <w:numPr>
          <w:ilvl w:val="0"/>
          <w:numId w:val="66"/>
        </w:numPr>
        <w:rPr>
          <w:rFonts w:ascii="Times New Roman" w:cs="Times New Roman" w:eastAsia="Times New Roman" w:hAnsi="Times New Roman"/>
          <w:sz w:val="22"/>
          <w:szCs w:val="22"/>
          <w:color w:val="auto"/>
        </w:rPr>
      </w:pPr>
      <w:r>
        <w:rPr>
          <w:rFonts w:ascii="Arial" w:cs="Arial" w:eastAsia="Arial" w:hAnsi="Arial"/>
          <w:sz w:val="18"/>
          <w:szCs w:val="18"/>
          <w:color w:val="auto"/>
        </w:rPr>
        <w:t>in respect of the default shares, the relevant member shall not be entitled to attend or vote (either in person or by proxy) at any general meeting or of a general meeting of the holders of a class of shares or upon any poll or to exercise any right conferred by the default shares;</w:t>
      </w:r>
    </w:p>
    <w:p>
      <w:pPr>
        <w:spacing w:after="0" w:line="150" w:lineRule="exact"/>
        <w:rPr>
          <w:rFonts w:ascii="Times New Roman" w:cs="Times New Roman" w:eastAsia="Times New Roman" w:hAnsi="Times New Roman"/>
          <w:sz w:val="22"/>
          <w:szCs w:val="22"/>
          <w:color w:val="auto"/>
        </w:rPr>
      </w:pPr>
    </w:p>
    <w:p>
      <w:pPr>
        <w:ind w:left="440" w:right="20" w:hanging="332"/>
        <w:spacing w:after="0" w:line="244" w:lineRule="auto"/>
        <w:tabs>
          <w:tab w:leader="none" w:pos="435" w:val="left"/>
        </w:tabs>
        <w:numPr>
          <w:ilvl w:val="0"/>
          <w:numId w:val="66"/>
        </w:numPr>
        <w:rPr>
          <w:rFonts w:ascii="Times New Roman" w:cs="Times New Roman" w:eastAsia="Times New Roman" w:hAnsi="Times New Roman"/>
          <w:sz w:val="22"/>
          <w:szCs w:val="22"/>
          <w:color w:val="auto"/>
        </w:rPr>
      </w:pPr>
      <w:r>
        <w:rPr>
          <w:rFonts w:ascii="Arial" w:cs="Arial" w:eastAsia="Arial" w:hAnsi="Arial"/>
          <w:sz w:val="18"/>
          <w:szCs w:val="18"/>
          <w:color w:val="auto"/>
        </w:rPr>
        <w:t>where the default shares represent at least 0.25% of their class, (a) any dividend or other money payable in respect of the default shares shall be retained by us without liability to pay interest, and/or (b) no transfers by the relevant member of any default shares may be registered (unless the member himself is not in default and the member proves to the satisfaction of the Board that no person in default as regards supplying such information is interested in any of the default shares); and/or</w:t>
      </w:r>
    </w:p>
    <w:p>
      <w:pPr>
        <w:spacing w:after="0" w:line="137" w:lineRule="exact"/>
        <w:rPr>
          <w:rFonts w:ascii="Times New Roman" w:cs="Times New Roman" w:eastAsia="Times New Roman" w:hAnsi="Times New Roman"/>
          <w:sz w:val="22"/>
          <w:szCs w:val="22"/>
          <w:color w:val="auto"/>
        </w:rPr>
      </w:pPr>
    </w:p>
    <w:p>
      <w:pPr>
        <w:ind w:left="440" w:right="20" w:hanging="332"/>
        <w:spacing w:after="0" w:line="249" w:lineRule="auto"/>
        <w:tabs>
          <w:tab w:leader="none" w:pos="435" w:val="left"/>
        </w:tabs>
        <w:numPr>
          <w:ilvl w:val="0"/>
          <w:numId w:val="66"/>
        </w:numPr>
        <w:rPr>
          <w:rFonts w:ascii="Times New Roman" w:cs="Times New Roman" w:eastAsia="Times New Roman" w:hAnsi="Times New Roman"/>
          <w:sz w:val="22"/>
          <w:szCs w:val="22"/>
          <w:color w:val="auto"/>
        </w:rPr>
      </w:pPr>
      <w:r>
        <w:rPr>
          <w:rFonts w:ascii="Arial" w:cs="Arial" w:eastAsia="Arial" w:hAnsi="Arial"/>
          <w:sz w:val="18"/>
          <w:szCs w:val="18"/>
          <w:color w:val="auto"/>
        </w:rPr>
        <w:t>any shares held by the relevant member in uncertificated form shall be converted into certificated form and that member shall not after that be entitled to convert all or any shares held by him into uncertificated form (unless the member himself is not in default as regards supplying the information required and the member proves to the satisfaction of the board that, after due and careful inquiry, the member is satisfied that none of the shares he is proposing to convert into uncertificated form is a default share).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Own Shares</w:t>
      </w:r>
    </w:p>
    <w:p>
      <w:pPr>
        <w:spacing w:after="0" w:line="129" w:lineRule="exact"/>
        <w:rPr>
          <w:sz w:val="20"/>
          <w:szCs w:val="20"/>
          <w:color w:val="auto"/>
        </w:rPr>
      </w:pPr>
    </w:p>
    <w:p>
      <w:pPr>
        <w:ind w:left="100"/>
        <w:spacing w:after="0" w:line="262" w:lineRule="auto"/>
        <w:rPr>
          <w:sz w:val="20"/>
          <w:szCs w:val="20"/>
          <w:color w:val="auto"/>
        </w:rPr>
      </w:pPr>
      <w:r>
        <w:rPr>
          <w:rFonts w:ascii="Arial" w:cs="Arial" w:eastAsia="Arial" w:hAnsi="Arial"/>
          <w:sz w:val="18"/>
          <w:szCs w:val="18"/>
          <w:color w:val="auto"/>
        </w:rPr>
        <w:t>Under English law, a limited company may only purchase its own shares out of the distributable profits of the company or the proceeds of a fresh issue of shares made for the purpose of financing the purchase, provided that they are not restricted from doing so by their articles. A limited company may not purchase its own shares if, as a result of the purchase, there would no longer be any issued shares of the company other than redeemable shares or shares held as treasury shares. Shares must be fully paid in order to be repurchased.</w:t>
      </w:r>
    </w:p>
    <w:p>
      <w:pPr>
        <w:spacing w:after="0" w:line="9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Subject to the above, we may purchase our own fully paid shares otherwise than on a recognized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00"/>
          </w:cols>
          <w:pgMar w:left="220" w:top="1440" w:right="379" w:bottom="1440" w:gutter="0" w:footer="0" w:header="0"/>
        </w:sectPr>
      </w:pPr>
    </w:p>
    <w:bookmarkStart w:id="143" w:name="page144"/>
    <w:bookmarkEnd w:id="143"/>
    <w:p>
      <w:pPr>
        <w:spacing w:after="0" w:line="99" w:lineRule="exact"/>
        <w:rPr>
          <w:sz w:val="20"/>
          <w:szCs w:val="20"/>
          <w:color w:val="auto"/>
        </w:rPr>
      </w:pPr>
    </w:p>
    <w:p>
      <w:pPr>
        <w:ind w:left="100" w:right="140"/>
        <w:spacing w:after="0" w:line="262" w:lineRule="auto"/>
        <w:rPr>
          <w:sz w:val="20"/>
          <w:szCs w:val="20"/>
          <w:color w:val="auto"/>
        </w:rPr>
      </w:pPr>
      <w:r>
        <w:rPr>
          <w:rFonts w:ascii="Arial" w:cs="Arial" w:eastAsia="Arial" w:hAnsi="Arial"/>
          <w:sz w:val="18"/>
          <w:szCs w:val="18"/>
          <w:color w:val="auto"/>
        </w:rPr>
        <w:t>investment exchange pursuant to a purchase contract authorized by resolution of shareholders before the purchase takes place. Any authority will not be effective if any shareholder from whom we propose to purchase shares votes on the resolution and the resolution would not have been passed if he had not done so. The resolution authorizing the purchase must specify a date, not being later than five years after the passing of the resolution, on which the authority to purchase is to expire.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Distributions and Dividends</w:t>
      </w:r>
    </w:p>
    <w:p>
      <w:pPr>
        <w:spacing w:after="0" w:line="129" w:lineRule="exact"/>
        <w:rPr>
          <w:sz w:val="20"/>
          <w:szCs w:val="20"/>
          <w:color w:val="auto"/>
        </w:rPr>
      </w:pPr>
    </w:p>
    <w:p>
      <w:pPr>
        <w:ind w:left="100" w:right="20"/>
        <w:spacing w:after="0" w:line="257" w:lineRule="auto"/>
        <w:rPr>
          <w:sz w:val="20"/>
          <w:szCs w:val="20"/>
          <w:color w:val="auto"/>
        </w:rPr>
      </w:pPr>
      <w:r>
        <w:rPr>
          <w:rFonts w:ascii="Arial" w:cs="Arial" w:eastAsia="Arial" w:hAnsi="Arial"/>
          <w:sz w:val="18"/>
          <w:szCs w:val="18"/>
          <w:color w:val="auto"/>
        </w:rPr>
        <w:t>Under the Companies Act 2006,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us and to each of our subsidiaries that has been incorporated under English law.</w:t>
      </w:r>
    </w:p>
    <w:p>
      <w:pPr>
        <w:spacing w:after="0" w:line="88" w:lineRule="exact"/>
        <w:rPr>
          <w:sz w:val="20"/>
          <w:szCs w:val="20"/>
          <w:color w:val="auto"/>
        </w:rPr>
      </w:pPr>
    </w:p>
    <w:p>
      <w:pPr>
        <w:jc w:val="both"/>
        <w:ind w:left="100" w:right="60"/>
        <w:spacing w:after="0" w:line="268" w:lineRule="auto"/>
        <w:rPr>
          <w:sz w:val="20"/>
          <w:szCs w:val="20"/>
          <w:color w:val="auto"/>
        </w:rPr>
      </w:pPr>
      <w:r>
        <w:rPr>
          <w:rFonts w:ascii="Arial" w:cs="Arial" w:eastAsia="Arial" w:hAnsi="Arial"/>
          <w:sz w:val="18"/>
          <w:szCs w:val="18"/>
          <w:color w:val="auto"/>
        </w:rPr>
        <w:t>It is not sufficient that we, as a public company, have made a distributable profit for the purpose of making a distribution. An additional capital maintenance requirement is imposed on us to ensure that the net worth of the company is at least equal to the amount of its capital. A public company can only make a distribution:</w:t>
      </w:r>
    </w:p>
    <w:p>
      <w:pPr>
        <w:spacing w:after="0" w:line="130" w:lineRule="exact"/>
        <w:rPr>
          <w:sz w:val="20"/>
          <w:szCs w:val="20"/>
          <w:color w:val="auto"/>
        </w:rPr>
      </w:pPr>
    </w:p>
    <w:p>
      <w:pPr>
        <w:ind w:left="440" w:right="180" w:hanging="332"/>
        <w:spacing w:after="0" w:line="237" w:lineRule="auto"/>
        <w:tabs>
          <w:tab w:leader="none" w:pos="435" w:val="left"/>
        </w:tabs>
        <w:numPr>
          <w:ilvl w:val="0"/>
          <w:numId w:val="67"/>
        </w:numPr>
        <w:rPr>
          <w:rFonts w:ascii="Times New Roman" w:cs="Times New Roman" w:eastAsia="Times New Roman" w:hAnsi="Times New Roman"/>
          <w:sz w:val="22"/>
          <w:szCs w:val="22"/>
          <w:color w:val="auto"/>
        </w:rPr>
      </w:pPr>
      <w:r>
        <w:rPr>
          <w:rFonts w:ascii="Arial" w:cs="Arial" w:eastAsia="Arial" w:hAnsi="Arial"/>
          <w:sz w:val="18"/>
          <w:szCs w:val="18"/>
          <w:color w:val="auto"/>
        </w:rPr>
        <w:t>if, at the time that the distribution is made, the amount of its net assets (that is, the total excess of assets over liabilities) is not less than the total of its called up share capital and undistributable reserves; and</w:t>
      </w:r>
    </w:p>
    <w:p>
      <w:pPr>
        <w:spacing w:after="0" w:line="139" w:lineRule="exact"/>
        <w:rPr>
          <w:rFonts w:ascii="Times New Roman" w:cs="Times New Roman" w:eastAsia="Times New Roman" w:hAnsi="Times New Roman"/>
          <w:sz w:val="22"/>
          <w:szCs w:val="22"/>
          <w:color w:val="auto"/>
        </w:rPr>
      </w:pPr>
    </w:p>
    <w:p>
      <w:pPr>
        <w:ind w:left="440" w:right="200" w:hanging="332"/>
        <w:spacing w:after="0" w:line="237" w:lineRule="auto"/>
        <w:tabs>
          <w:tab w:leader="none" w:pos="435" w:val="left"/>
        </w:tabs>
        <w:numPr>
          <w:ilvl w:val="0"/>
          <w:numId w:val="67"/>
        </w:numPr>
        <w:rPr>
          <w:rFonts w:ascii="Times New Roman" w:cs="Times New Roman" w:eastAsia="Times New Roman" w:hAnsi="Times New Roman"/>
          <w:sz w:val="22"/>
          <w:szCs w:val="22"/>
          <w:color w:val="auto"/>
        </w:rPr>
      </w:pPr>
      <w:r>
        <w:rPr>
          <w:rFonts w:ascii="Arial" w:cs="Arial" w:eastAsia="Arial" w:hAnsi="Arial"/>
          <w:sz w:val="18"/>
          <w:szCs w:val="18"/>
          <w:color w:val="auto"/>
        </w:rPr>
        <w:t>if, and to the extent that, the distribution itself, at the time that it is made, does not reduce the amount of the net assets to less than that total.</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Takeovers and Mergers</w:t>
      </w:r>
    </w:p>
    <w:p>
      <w:pPr>
        <w:spacing w:after="0" w:line="129" w:lineRule="exact"/>
        <w:rPr>
          <w:sz w:val="20"/>
          <w:szCs w:val="20"/>
          <w:color w:val="auto"/>
        </w:rPr>
      </w:pPr>
    </w:p>
    <w:p>
      <w:pPr>
        <w:ind w:left="100"/>
        <w:spacing w:after="0" w:line="262" w:lineRule="auto"/>
        <w:rPr>
          <w:sz w:val="20"/>
          <w:szCs w:val="20"/>
          <w:color w:val="auto"/>
        </w:rPr>
      </w:pPr>
      <w:r>
        <w:rPr>
          <w:rFonts w:ascii="Arial" w:cs="Arial" w:eastAsia="Arial" w:hAnsi="Arial"/>
          <w:sz w:val="18"/>
          <w:szCs w:val="18"/>
          <w:color w:val="auto"/>
        </w:rPr>
        <w:t>Following our delisting from AIM, the U.K. Panel on Takeovers and Mergers has confirmed to us that the U.K. City Code on Takeovers and Mergers or the Code will not apply to us. However, we may become subject to the Code in the future if any changes to the board composition results in the majority of our directors being resident in the United Kingdom, Channel Islands or the Isle of Man. We have incorporated certain takeover protections in our articles of association so that we are able to defend ourselves and our shareholders from hostile takeovers.</w:t>
      </w:r>
    </w:p>
    <w:p>
      <w:pPr>
        <w:spacing w:after="0" w:line="82"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Differences in Corporate Law</w:t>
      </w:r>
    </w:p>
    <w:p>
      <w:pPr>
        <w:spacing w:after="0" w:line="146" w:lineRule="exact"/>
        <w:rPr>
          <w:sz w:val="20"/>
          <w:szCs w:val="20"/>
          <w:color w:val="auto"/>
        </w:rPr>
      </w:pPr>
    </w:p>
    <w:p>
      <w:pPr>
        <w:ind w:left="100" w:right="80"/>
        <w:spacing w:after="0" w:line="262" w:lineRule="auto"/>
        <w:rPr>
          <w:sz w:val="20"/>
          <w:szCs w:val="20"/>
          <w:color w:val="auto"/>
        </w:rPr>
      </w:pPr>
      <w:r>
        <w:rPr>
          <w:rFonts w:ascii="Arial" w:cs="Arial" w:eastAsia="Arial" w:hAnsi="Arial"/>
          <w:sz w:val="18"/>
          <w:szCs w:val="18"/>
          <w:i w:val="1"/>
          <w:iCs w:val="1"/>
          <w:color w:val="auto"/>
        </w:rPr>
        <w:t>The applicable provisions of the Companies Act 2006 differ from laws applicable to U.S. corporations and their shareholders. Set forth below is a summary of certain differences between the provisions of the Companies Act 2006 applicable to us and the General Corporation Law of the State of Delaware relating to shareholders' rights and protections. This summary is not intended to be a complete discussion of the respective rights and it is qualified in its entirety by reference to Delaware law and English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40"/>
          </w:cols>
          <w:pgMar w:left="220" w:top="1440" w:right="339" w:bottom="1440" w:gutter="0" w:footer="0" w:header="0"/>
        </w:sectPr>
      </w:pPr>
    </w:p>
    <w:bookmarkStart w:id="144" w:name="page145"/>
    <w:bookmarkEnd w:id="14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3360"/>
        <w:spacing w:after="0"/>
        <w:tabs>
          <w:tab w:leader="none" w:pos="8660" w:val="left"/>
        </w:tabs>
        <w:rPr>
          <w:sz w:val="20"/>
          <w:szCs w:val="20"/>
          <w:color w:val="auto"/>
        </w:rPr>
      </w:pPr>
      <w:r>
        <w:rPr>
          <w:rFonts w:ascii="Arial" w:cs="Arial" w:eastAsia="Arial" w:hAnsi="Arial"/>
          <w:sz w:val="16"/>
          <w:szCs w:val="16"/>
          <w:b w:val="1"/>
          <w:bCs w:val="1"/>
          <w:color w:val="auto"/>
        </w:rPr>
        <w:t>England and Wales</w:t>
      </w:r>
      <w:r>
        <w:rPr>
          <w:sz w:val="20"/>
          <w:szCs w:val="20"/>
          <w:color w:val="auto"/>
        </w:rPr>
        <w:tab/>
      </w:r>
      <w:r>
        <w:rPr>
          <w:rFonts w:ascii="Arial" w:cs="Arial" w:eastAsia="Arial" w:hAnsi="Arial"/>
          <w:sz w:val="15"/>
          <w:szCs w:val="15"/>
          <w:b w:val="1"/>
          <w:bCs w:val="1"/>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20955</wp:posOffset>
            </wp:positionV>
            <wp:extent cx="62579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1">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ectPr>
          <w:pgSz w:w="11900" w:h="16838" w:orient="portrait"/>
          <w:cols w:equalWidth="0" w:num="1">
            <w:col w:w="11000"/>
          </w:cols>
          <w:pgMar w:left="320" w:top="1440" w:right="579" w:bottom="1440" w:gutter="0" w:footer="0" w:header="0"/>
        </w:sectPr>
      </w:pPr>
    </w:p>
    <w:p>
      <w:pPr>
        <w:spacing w:after="0" w:line="296" w:lineRule="exact"/>
        <w:rPr>
          <w:sz w:val="20"/>
          <w:szCs w:val="20"/>
          <w:color w:val="auto"/>
        </w:rPr>
      </w:pPr>
    </w:p>
    <w:p>
      <w:pPr>
        <w:ind w:left="20"/>
        <w:spacing w:after="0"/>
        <w:tabs>
          <w:tab w:leader="none" w:pos="1380" w:val="left"/>
        </w:tabs>
        <w:rPr>
          <w:sz w:val="20"/>
          <w:szCs w:val="20"/>
          <w:color w:val="auto"/>
        </w:rPr>
      </w:pPr>
      <w:r>
        <w:rPr>
          <w:rFonts w:ascii="Arial" w:cs="Arial" w:eastAsia="Arial" w:hAnsi="Arial"/>
          <w:sz w:val="16"/>
          <w:szCs w:val="16"/>
          <w:color w:val="auto"/>
        </w:rPr>
        <w:t>Number of</w:t>
      </w:r>
      <w:r>
        <w:rPr>
          <w:sz w:val="20"/>
          <w:szCs w:val="20"/>
          <w:color w:val="auto"/>
        </w:rPr>
        <w:tab/>
      </w:r>
      <w:r>
        <w:rPr>
          <w:rFonts w:ascii="Arial" w:cs="Arial" w:eastAsia="Arial" w:hAnsi="Arial"/>
          <w:sz w:val="16"/>
          <w:szCs w:val="16"/>
          <w:color w:val="auto"/>
        </w:rPr>
        <w:t>Under the Companies Act 2006, a public limited company must have at</w:t>
      </w:r>
    </w:p>
    <w:p>
      <w:pPr>
        <w:ind w:left="20"/>
        <w:spacing w:after="0" w:line="211" w:lineRule="auto"/>
        <w:tabs>
          <w:tab w:leader="none" w:pos="138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least two directors and the number of directors may be fixed by or in the</w:t>
      </w:r>
    </w:p>
    <w:p>
      <w:pPr>
        <w:jc w:val="center"/>
        <w:ind w:left="240"/>
        <w:spacing w:after="0"/>
        <w:rPr>
          <w:sz w:val="20"/>
          <w:szCs w:val="20"/>
          <w:color w:val="auto"/>
        </w:rPr>
      </w:pPr>
      <w:r>
        <w:rPr>
          <w:rFonts w:ascii="Arial" w:cs="Arial" w:eastAsia="Arial" w:hAnsi="Arial"/>
          <w:sz w:val="16"/>
          <w:szCs w:val="16"/>
          <w:color w:val="auto"/>
        </w:rPr>
        <w:t>manner provided in a company’s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534924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2">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Under Delaware law, a corporation must have at least one director and the number of directors shall be fixed by or in the manner provided in the bylaws.</w:t>
      </w:r>
    </w:p>
    <w:p>
      <w:pPr>
        <w:spacing w:after="0" w:line="200" w:lineRule="exact"/>
        <w:rPr>
          <w:sz w:val="20"/>
          <w:szCs w:val="20"/>
          <w:color w:val="auto"/>
        </w:rPr>
      </w:pPr>
    </w:p>
    <w:p>
      <w:pPr>
        <w:sectPr>
          <w:pgSz w:w="11900" w:h="16838" w:orient="portrait"/>
          <w:cols w:equalWidth="0" w:num="2">
            <w:col w:w="6540" w:space="300"/>
            <w:col w:w="4160"/>
          </w:cols>
          <w:pgMar w:left="320" w:top="1440" w:right="5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000"/>
          </w:cols>
          <w:pgMar w:left="320" w:top="1440" w:right="579" w:bottom="1440" w:gutter="0" w:footer="0" w:header="0"/>
          <w:type w:val="continuous"/>
        </w:sectPr>
      </w:pPr>
    </w:p>
    <w:bookmarkStart w:id="145" w:name="page146"/>
    <w:bookmarkEnd w:id="145"/>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1500" w:val="left"/>
        </w:tabs>
        <w:rPr>
          <w:sz w:val="20"/>
          <w:szCs w:val="20"/>
          <w:color w:val="auto"/>
        </w:rPr>
      </w:pPr>
      <w:r>
        <w:rPr>
          <w:rFonts w:ascii="Arial" w:cs="Arial" w:eastAsia="Arial" w:hAnsi="Arial"/>
          <w:sz w:val="16"/>
          <w:szCs w:val="16"/>
          <w:color w:val="auto"/>
        </w:rPr>
        <w:t>Removal of</w:t>
      </w:r>
      <w:r>
        <w:rPr>
          <w:sz w:val="20"/>
          <w:szCs w:val="20"/>
          <w:color w:val="auto"/>
        </w:rPr>
        <w:tab/>
      </w:r>
      <w:r>
        <w:rPr>
          <w:rFonts w:ascii="Arial" w:cs="Arial" w:eastAsia="Arial" w:hAnsi="Arial"/>
          <w:sz w:val="16"/>
          <w:szCs w:val="16"/>
          <w:color w:val="auto"/>
        </w:rPr>
        <w:t>Under the Companies Act 2006, shareholders may remove a</w:t>
      </w:r>
    </w:p>
    <w:p>
      <w:pPr>
        <w:ind w:left="20"/>
        <w:spacing w:after="0" w:line="211" w:lineRule="auto"/>
        <w:tabs>
          <w:tab w:leader="none" w:pos="1500" w:val="left"/>
        </w:tabs>
        <w:rPr>
          <w:sz w:val="20"/>
          <w:szCs w:val="20"/>
          <w:color w:val="auto"/>
        </w:rPr>
      </w:pPr>
      <w:r>
        <w:rPr>
          <w:rFonts w:ascii="Arial" w:cs="Arial" w:eastAsia="Arial" w:hAnsi="Arial"/>
          <w:sz w:val="16"/>
          <w:szCs w:val="16"/>
          <w:color w:val="auto"/>
        </w:rPr>
        <w:t>Directors</w:t>
      </w:r>
      <w:r>
        <w:rPr>
          <w:sz w:val="20"/>
          <w:szCs w:val="20"/>
          <w:color w:val="auto"/>
        </w:rPr>
        <w:tab/>
      </w:r>
      <w:r>
        <w:rPr>
          <w:rFonts w:ascii="Arial" w:cs="Arial" w:eastAsia="Arial" w:hAnsi="Arial"/>
          <w:sz w:val="16"/>
          <w:szCs w:val="16"/>
          <w:color w:val="auto"/>
        </w:rPr>
        <w:t>director without cause by an ordinary resolution (which is passed by</w:t>
      </w:r>
    </w:p>
    <w:p>
      <w:pPr>
        <w:ind w:left="1520"/>
        <w:spacing w:after="0" w:line="216" w:lineRule="auto"/>
        <w:rPr>
          <w:sz w:val="20"/>
          <w:szCs w:val="20"/>
          <w:color w:val="auto"/>
        </w:rPr>
      </w:pPr>
      <w:r>
        <w:rPr>
          <w:rFonts w:ascii="Arial" w:cs="Arial" w:eastAsia="Arial" w:hAnsi="Arial"/>
          <w:sz w:val="16"/>
          <w:szCs w:val="16"/>
          <w:color w:val="auto"/>
        </w:rPr>
        <w:t>a simple majority of those voting in person or by proxy at a general meeting) irrespective of any provisions of any service contract the director has with the company, provided 28 clear days’ notice of the resolution has been given to the company and its shareholders. On receipt of notice of an intended resolution to remove a director, the company must forthwith send a copy of the notice to the director concerned. Certain other procedural requirements under the Companies Act 2006 must also be followed such as allowing the director to make representations against his or her removal either at the meeting or in writing.</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60"/>
        <w:spacing w:after="0" w:line="216" w:lineRule="auto"/>
        <w:rPr>
          <w:sz w:val="20"/>
          <w:szCs w:val="20"/>
          <w:color w:val="auto"/>
        </w:rPr>
      </w:pPr>
      <w:r>
        <w:rPr>
          <w:rFonts w:ascii="Arial" w:cs="Arial" w:eastAsia="Arial" w:hAnsi="Arial"/>
          <w:sz w:val="16"/>
          <w:szCs w:val="16"/>
          <w:color w:val="auto"/>
        </w:rPr>
        <w:t>Under Delaware law, any director or the entire board of directors may be removed, with or without cause, by the holders of a majority of the shares then entitled to vote at an election of directors, except (a) unless the certificate of incorporation provides otherwise, in the case of a corporation whose board of directors is classified, shareholders may effect such removal only for cause, or (b) in the case of a corporation having cumulative voting, if less than the entire board of directors is to be removed, no director may be removed without cause if the votes cast against his removal would be sufficient to elect him if then cumulatively voted at an election of the entire board of directors, or, if there are classes of directors, at an election of the class of directors of which he is a part.</w:t>
      </w:r>
    </w:p>
    <w:p>
      <w:pPr>
        <w:spacing w:after="0" w:line="7" w:lineRule="exact"/>
        <w:rPr>
          <w:sz w:val="20"/>
          <w:szCs w:val="20"/>
          <w:color w:val="auto"/>
        </w:rPr>
      </w:pPr>
    </w:p>
    <w:p>
      <w:pPr>
        <w:sectPr>
          <w:pgSz w:w="11900" w:h="16838" w:orient="portrait"/>
          <w:cols w:equalWidth="0" w:num="2">
            <w:col w:w="6380" w:space="100"/>
            <w:col w:w="4720"/>
          </w:cols>
          <w:pgMar w:left="320" w:top="1440" w:right="379" w:bottom="1440" w:gutter="0" w:footer="0" w:header="0"/>
        </w:sectPr>
      </w:pPr>
    </w:p>
    <w:p>
      <w:pPr>
        <w:ind w:left="20"/>
        <w:spacing w:after="0" w:line="251" w:lineRule="auto"/>
        <w:rPr>
          <w:sz w:val="20"/>
          <w:szCs w:val="20"/>
          <w:color w:val="auto"/>
        </w:rPr>
      </w:pPr>
      <w:r>
        <w:rPr>
          <w:rFonts w:ascii="Arial" w:cs="Arial" w:eastAsia="Arial" w:hAnsi="Arial"/>
          <w:sz w:val="16"/>
          <w:szCs w:val="16"/>
          <w:color w:val="auto"/>
        </w:rPr>
        <w:t>Vacancies on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 w:right="180"/>
        <w:spacing w:after="0" w:line="251" w:lineRule="auto"/>
        <w:rPr>
          <w:sz w:val="20"/>
          <w:szCs w:val="20"/>
          <w:color w:val="auto"/>
        </w:rPr>
      </w:pPr>
      <w:r>
        <w:rPr>
          <w:rFonts w:ascii="Arial" w:cs="Arial" w:eastAsia="Arial" w:hAnsi="Arial"/>
          <w:sz w:val="16"/>
          <w:szCs w:val="16"/>
          <w:color w:val="auto"/>
        </w:rPr>
        <w:t>Annual General Meeting</w:t>
      </w:r>
    </w:p>
    <w:p>
      <w:pPr>
        <w:spacing w:after="0" w:line="3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General Meeting</w:t>
      </w:r>
    </w:p>
    <w:p>
      <w:pPr>
        <w:spacing w:after="0" w:line="20" w:lineRule="exact"/>
        <w:rPr>
          <w:sz w:val="20"/>
          <w:szCs w:val="20"/>
          <w:color w:val="auto"/>
        </w:rPr>
      </w:pPr>
      <w:r>
        <w:rPr>
          <w:sz w:val="20"/>
          <w:szCs w:val="20"/>
          <w:color w:val="auto"/>
        </w:rPr>
        <w:br w:type="column"/>
      </w:r>
    </w:p>
    <w:p>
      <w:pPr>
        <w:ind w:right="100"/>
        <w:spacing w:after="0" w:line="222" w:lineRule="auto"/>
        <w:rPr>
          <w:sz w:val="20"/>
          <w:szCs w:val="20"/>
          <w:color w:val="auto"/>
        </w:rPr>
      </w:pPr>
      <w:r>
        <w:rPr>
          <w:rFonts w:ascii="Arial" w:cs="Arial" w:eastAsia="Arial" w:hAnsi="Arial"/>
          <w:sz w:val="16"/>
          <w:szCs w:val="16"/>
          <w:color w:val="auto"/>
        </w:rPr>
        <w:t>Under English law, the procedure by which directors, other than a company’s initial directors, are appointed is generally set out in a company’s articles of association, provided that where two or more persons are appointed as directors of a public limited company by resolution of the shareholders, resolutions appointing each director must be voted on individually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Under the Companies Act 2006, a public limited company must hold an annual general meeting in each six</w:t>
      </w:r>
      <w:r>
        <w:rPr>
          <w:rFonts w:ascii="Times New Roman" w:cs="Times New Roman" w:eastAsia="Times New Roman" w:hAnsi="Times New Roman"/>
          <w:sz w:val="16"/>
          <w:szCs w:val="16"/>
          <w:color w:val="auto"/>
        </w:rPr>
        <w:t>-</w:t>
      </w:r>
      <w:r>
        <w:rPr>
          <w:rFonts w:ascii="Arial" w:cs="Arial" w:eastAsia="Arial" w:hAnsi="Arial"/>
          <w:sz w:val="16"/>
          <w:szCs w:val="16"/>
          <w:color w:val="auto"/>
        </w:rPr>
        <w:t>month period following the company’s annual accounting reference date.</w:t>
      </w:r>
    </w:p>
    <w:p>
      <w:pPr>
        <w:spacing w:after="0" w:line="4"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Under the Companies Act 2006, a general meeting of the shareholders of a public limited company may be called by the directors.</w:t>
      </w:r>
    </w:p>
    <w:p>
      <w:pPr>
        <w:spacing w:after="0" w:line="20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Shareholders holding at least 5% of the paid</w:t>
      </w:r>
      <w:r>
        <w:rPr>
          <w:rFonts w:ascii="Times New Roman" w:cs="Times New Roman" w:eastAsia="Times New Roman" w:hAnsi="Times New Roman"/>
          <w:sz w:val="16"/>
          <w:szCs w:val="16"/>
          <w:color w:val="auto"/>
        </w:rPr>
        <w:t>-</w:t>
      </w:r>
      <w:r>
        <w:rPr>
          <w:rFonts w:ascii="Arial" w:cs="Arial" w:eastAsia="Arial" w:hAnsi="Arial"/>
          <w:sz w:val="16"/>
          <w:szCs w:val="16"/>
          <w:color w:val="auto"/>
        </w:rPr>
        <w:t>up capital of the company carrying voting rights at general meetings (excluding nay paid up capital held as treasury shares) can require the directors to call a general meeting and, if the directors fail to do so within a certain period, may themselves convene a general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378460</wp:posOffset>
            </wp:positionV>
            <wp:extent cx="5349240"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3">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1" w:right="20"/>
        <w:spacing w:after="0" w:line="263" w:lineRule="auto"/>
        <w:rPr>
          <w:sz w:val="20"/>
          <w:szCs w:val="20"/>
          <w:color w:val="auto"/>
        </w:rPr>
      </w:pPr>
      <w:r>
        <w:rPr>
          <w:rFonts w:ascii="Arial" w:cs="Arial" w:eastAsia="Arial" w:hAnsi="Arial"/>
          <w:sz w:val="16"/>
          <w:szCs w:val="16"/>
          <w:color w:val="auto"/>
        </w:rPr>
        <w:t>Under Delaware law, vacancies and newly created directorships may be filled by a majority of the directors then in office (even though less than a quorum) or by a sole remaining director unless</w:t>
      </w:r>
    </w:p>
    <w:p>
      <w:pPr>
        <w:spacing w:after="0" w:line="1" w:lineRule="exact"/>
        <w:rPr>
          <w:sz w:val="20"/>
          <w:szCs w:val="20"/>
          <w:color w:val="auto"/>
        </w:rPr>
      </w:pPr>
    </w:p>
    <w:p>
      <w:pPr>
        <w:ind w:left="1" w:hanging="1"/>
        <w:spacing w:after="0" w:line="256" w:lineRule="auto"/>
        <w:tabs>
          <w:tab w:leader="none" w:pos="244" w:val="left"/>
        </w:tabs>
        <w:numPr>
          <w:ilvl w:val="0"/>
          <w:numId w:val="68"/>
        </w:numPr>
        <w:rPr>
          <w:rFonts w:ascii="Arial" w:cs="Arial" w:eastAsia="Arial" w:hAnsi="Arial"/>
          <w:sz w:val="16"/>
          <w:szCs w:val="16"/>
          <w:color w:val="auto"/>
        </w:rPr>
      </w:pPr>
      <w:r>
        <w:rPr>
          <w:rFonts w:ascii="Arial" w:cs="Arial" w:eastAsia="Arial" w:hAnsi="Arial"/>
          <w:sz w:val="16"/>
          <w:szCs w:val="16"/>
          <w:color w:val="auto"/>
        </w:rPr>
        <w:t>otherwise provided in the certificate of incorporation or by</w:t>
      </w:r>
      <w:r>
        <w:rPr>
          <w:rFonts w:ascii="Times New Roman" w:cs="Times New Roman" w:eastAsia="Times New Roman" w:hAnsi="Times New Roman"/>
          <w:sz w:val="16"/>
          <w:szCs w:val="16"/>
          <w:color w:val="auto"/>
        </w:rPr>
        <w:t>-</w:t>
      </w:r>
      <w:r>
        <w:rPr>
          <w:rFonts w:ascii="Arial" w:cs="Arial" w:eastAsia="Arial" w:hAnsi="Arial"/>
          <w:sz w:val="16"/>
          <w:szCs w:val="16"/>
          <w:color w:val="auto"/>
        </w:rPr>
        <w:t>laws of the corporation or (b) the certificate of incorporation directs that a particular class of stock is to elect such director, in which case a majority of the other directors elected by such class, or a sole remaining director elected by such class, will fill such vacancy.</w:t>
      </w:r>
    </w:p>
    <w:p>
      <w:pPr>
        <w:spacing w:after="0" w:line="5" w:lineRule="exact"/>
        <w:rPr>
          <w:sz w:val="20"/>
          <w:szCs w:val="20"/>
          <w:color w:val="auto"/>
        </w:rPr>
      </w:pPr>
    </w:p>
    <w:p>
      <w:pPr>
        <w:ind w:left="1" w:right="60"/>
        <w:spacing w:after="0" w:line="228" w:lineRule="auto"/>
        <w:rPr>
          <w:sz w:val="20"/>
          <w:szCs w:val="20"/>
          <w:color w:val="auto"/>
        </w:rPr>
      </w:pPr>
      <w:r>
        <w:rPr>
          <w:rFonts w:ascii="Arial" w:cs="Arial" w:eastAsia="Arial" w:hAnsi="Arial"/>
          <w:sz w:val="16"/>
          <w:szCs w:val="16"/>
          <w:color w:val="auto"/>
        </w:rPr>
        <w:t>Under Delaware law, the annual meeting of stockholders shall be held at such place, on such date and at such time as may be designated from time to time by the board of directors or as provided in the certificate of incorporation or by the bylaws.</w:t>
      </w:r>
    </w:p>
    <w:p>
      <w:pPr>
        <w:spacing w:after="0" w:line="3" w:lineRule="exact"/>
        <w:rPr>
          <w:sz w:val="20"/>
          <w:szCs w:val="20"/>
          <w:color w:val="auto"/>
        </w:rPr>
      </w:pPr>
    </w:p>
    <w:p>
      <w:pPr>
        <w:ind w:left="1"/>
        <w:spacing w:after="0" w:line="228" w:lineRule="auto"/>
        <w:rPr>
          <w:sz w:val="20"/>
          <w:szCs w:val="20"/>
          <w:color w:val="auto"/>
        </w:rPr>
      </w:pPr>
      <w:r>
        <w:rPr>
          <w:rFonts w:ascii="Arial" w:cs="Arial" w:eastAsia="Arial" w:hAnsi="Arial"/>
          <w:sz w:val="16"/>
          <w:szCs w:val="16"/>
          <w:color w:val="auto"/>
        </w:rPr>
        <w:t>Under Delaware law, special meetings of the stockholders may be called by the board of directors or by such person or persons as may be authorized by the certificate of incorporation or by the bylaws.</w:t>
      </w:r>
    </w:p>
    <w:p>
      <w:pPr>
        <w:spacing w:after="0" w:line="1348" w:lineRule="exact"/>
        <w:rPr>
          <w:sz w:val="20"/>
          <w:szCs w:val="20"/>
          <w:color w:val="auto"/>
        </w:rPr>
      </w:pPr>
    </w:p>
    <w:p>
      <w:pPr>
        <w:sectPr>
          <w:pgSz w:w="11900" w:h="16838" w:orient="portrait"/>
          <w:cols w:equalWidth="0" w:num="3">
            <w:col w:w="1340" w:space="180"/>
            <w:col w:w="4880" w:space="79"/>
            <w:col w:w="4721"/>
          </w:cols>
          <w:pgMar w:left="320" w:top="1440" w:right="3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00"/>
          </w:cols>
          <w:pgMar w:left="320" w:top="1440" w:right="379" w:bottom="1440" w:gutter="0" w:footer="0" w:header="0"/>
          <w:type w:val="continuous"/>
        </w:sectPr>
      </w:pPr>
    </w:p>
    <w:bookmarkStart w:id="146" w:name="page147"/>
    <w:bookmarkEnd w:id="146"/>
    <w:p>
      <w:pPr>
        <w:spacing w:after="0" w:line="200" w:lineRule="exact"/>
        <w:rPr>
          <w:sz w:val="20"/>
          <w:szCs w:val="20"/>
          <w:color w:val="auto"/>
        </w:rPr>
      </w:pP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color w:val="auto"/>
        </w:rPr>
        <w:t>Notice of General Under the Companies Act 2006, 21 clear days’ notice must be given</w:t>
      </w:r>
    </w:p>
    <w:p>
      <w:pPr>
        <w:ind w:left="1340" w:hanging="1319"/>
        <w:spacing w:after="0" w:line="214" w:lineRule="auto"/>
        <w:tabs>
          <w:tab w:leader="none" w:pos="1320" w:val="left"/>
        </w:tabs>
        <w:rPr>
          <w:sz w:val="20"/>
          <w:szCs w:val="20"/>
          <w:color w:val="auto"/>
        </w:rPr>
      </w:pPr>
      <w:r>
        <w:rPr>
          <w:rFonts w:ascii="Arial" w:cs="Arial" w:eastAsia="Arial" w:hAnsi="Arial"/>
          <w:sz w:val="16"/>
          <w:szCs w:val="16"/>
          <w:color w:val="auto"/>
        </w:rPr>
        <w:t>Meetings</w:t>
      </w:r>
      <w:r>
        <w:rPr>
          <w:sz w:val="20"/>
          <w:szCs w:val="20"/>
          <w:color w:val="auto"/>
        </w:rPr>
        <w:tab/>
      </w:r>
      <w:r>
        <w:rPr>
          <w:rFonts w:ascii="Arial" w:cs="Arial" w:eastAsia="Arial" w:hAnsi="Arial"/>
          <w:sz w:val="16"/>
          <w:szCs w:val="16"/>
          <w:color w:val="auto"/>
        </w:rPr>
        <w:t>for an annual general meeting and any resolutions to be proposed at the meeting. Subject to a company’s articles of association providing for a longer period, at least 14 clear days’ notice is required for any other general meeting. In addition, certain matters, such as the removal of directors or auditors, require special notice, which is 28 clear days’ notice. The shareholders of a company may in all cases consent to a shorter notice period, the proportion of shareholders’ consent required being 100% of those entitled to attend and vote in the case of an annual general meeting and, in the case of any other general meeting, a majority in number of the members having a right to attend and vote at the meeting, being a majority who together hold not less than 95% in nominal value of the shares giving a right to attend and vote at the meeting.</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right="60"/>
        <w:spacing w:after="0" w:line="222" w:lineRule="auto"/>
        <w:rPr>
          <w:sz w:val="20"/>
          <w:szCs w:val="20"/>
          <w:color w:val="auto"/>
        </w:rPr>
      </w:pPr>
      <w:r>
        <w:rPr>
          <w:rFonts w:ascii="Arial" w:cs="Arial" w:eastAsia="Arial" w:hAnsi="Arial"/>
          <w:sz w:val="16"/>
          <w:szCs w:val="16"/>
          <w:color w:val="auto"/>
        </w:rPr>
        <w:t>Under Delaware law, unless otherwise provided in the certificate of incorporation or bylaws, written notice of any meeting of the stockholders must be given to each stockholder entitled to vote at the meeting not less than ten nor more than 60 days before the date of the meeting and shall specify the place, date, hour, and purpose or purposes of the meeting.</w:t>
      </w:r>
    </w:p>
    <w:p>
      <w:pPr>
        <w:spacing w:after="0" w:line="1294" w:lineRule="exact"/>
        <w:rPr>
          <w:sz w:val="20"/>
          <w:szCs w:val="20"/>
          <w:color w:val="auto"/>
        </w:rPr>
      </w:pPr>
    </w:p>
    <w:p>
      <w:pPr>
        <w:sectPr>
          <w:pgSz w:w="11900" w:h="16838" w:orient="portrait"/>
          <w:cols w:equalWidth="0" w:num="2">
            <w:col w:w="6240" w:space="40"/>
            <w:col w:w="4940"/>
          </w:cols>
          <w:pgMar w:left="320" w:top="1440" w:right="359" w:bottom="1440" w:gutter="0" w:footer="0" w:header="0"/>
        </w:sectPr>
      </w:pPr>
    </w:p>
    <w:p>
      <w:pPr>
        <w:ind w:left="20"/>
        <w:spacing w:after="0"/>
        <w:tabs>
          <w:tab w:leader="none" w:pos="1320" w:val="left"/>
        </w:tabs>
        <w:rPr>
          <w:sz w:val="20"/>
          <w:szCs w:val="20"/>
          <w:color w:val="auto"/>
        </w:rPr>
      </w:pPr>
      <w:r>
        <w:rPr>
          <w:rFonts w:ascii="Arial" w:cs="Arial" w:eastAsia="Arial" w:hAnsi="Arial"/>
          <w:sz w:val="16"/>
          <w:szCs w:val="16"/>
          <w:color w:val="auto"/>
        </w:rPr>
        <w:t>Proxy</w:t>
      </w:r>
      <w:r>
        <w:rPr>
          <w:sz w:val="20"/>
          <w:szCs w:val="20"/>
          <w:color w:val="auto"/>
        </w:rPr>
        <w:tab/>
      </w:r>
      <w:r>
        <w:rPr>
          <w:rFonts w:ascii="Arial" w:cs="Arial" w:eastAsia="Arial" w:hAnsi="Arial"/>
          <w:sz w:val="16"/>
          <w:szCs w:val="16"/>
          <w:color w:val="auto"/>
        </w:rPr>
        <w:t>Under the Companies Act 2006, at any meeting of shareholders, a</w:t>
      </w:r>
    </w:p>
    <w:p>
      <w:pPr>
        <w:ind w:left="1340" w:right="140"/>
        <w:spacing w:after="0" w:line="235" w:lineRule="auto"/>
        <w:rPr>
          <w:sz w:val="20"/>
          <w:szCs w:val="20"/>
          <w:color w:val="auto"/>
        </w:rPr>
      </w:pPr>
      <w:r>
        <w:rPr>
          <w:rFonts w:ascii="Arial" w:cs="Arial" w:eastAsia="Arial" w:hAnsi="Arial"/>
          <w:sz w:val="16"/>
          <w:szCs w:val="16"/>
          <w:color w:val="auto"/>
        </w:rPr>
        <w:t>shareholder may designate another person to attend, speak and vote at the meeting on their behalf by proxy.</w:t>
      </w:r>
    </w:p>
    <w:p>
      <w:pPr>
        <w:spacing w:after="0" w:line="20" w:lineRule="exact"/>
        <w:rPr>
          <w:sz w:val="20"/>
          <w:szCs w:val="20"/>
          <w:color w:val="auto"/>
        </w:rPr>
      </w:pPr>
      <w:r>
        <w:rPr>
          <w:sz w:val="20"/>
          <w:szCs w:val="20"/>
          <w:color w:val="auto"/>
        </w:rPr>
        <w:br w:type="column"/>
      </w:r>
    </w:p>
    <w:p>
      <w:pPr>
        <w:ind w:right="120"/>
        <w:spacing w:after="0" w:line="222" w:lineRule="auto"/>
        <w:rPr>
          <w:sz w:val="20"/>
          <w:szCs w:val="20"/>
          <w:color w:val="auto"/>
        </w:rPr>
      </w:pPr>
      <w:r>
        <w:rPr>
          <w:rFonts w:ascii="Arial" w:cs="Arial" w:eastAsia="Arial" w:hAnsi="Arial"/>
          <w:sz w:val="16"/>
          <w:szCs w:val="16"/>
          <w:color w:val="auto"/>
        </w:rPr>
        <w:t>Under Delaware law, at any meeting of stockholders, a stockholder may designate another person to act for such stockholder by proxy, but no such proxy shall be voted or acted upon after three years from its date, unless the proxy provides for a longer period. A director of a Delaware corporation may not issue a proxy representing the director’s voting rights as a director.</w:t>
      </w:r>
    </w:p>
    <w:p>
      <w:pPr>
        <w:spacing w:after="0" w:line="1" w:lineRule="exact"/>
        <w:rPr>
          <w:sz w:val="20"/>
          <w:szCs w:val="20"/>
          <w:color w:val="auto"/>
        </w:rPr>
      </w:pPr>
    </w:p>
    <w:p>
      <w:pPr>
        <w:sectPr>
          <w:pgSz w:w="11900" w:h="16838" w:orient="portrait"/>
          <w:cols w:equalWidth="0" w:num="2">
            <w:col w:w="6080" w:space="200"/>
            <w:col w:w="49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line="281" w:lineRule="auto"/>
        <w:rPr>
          <w:sz w:val="20"/>
          <w:szCs w:val="20"/>
          <w:color w:val="auto"/>
        </w:rPr>
      </w:pPr>
      <w:r>
        <w:rPr>
          <w:rFonts w:ascii="Arial" w:cs="Arial" w:eastAsia="Arial" w:hAnsi="Arial"/>
          <w:sz w:val="16"/>
          <w:szCs w:val="16"/>
          <w:color w:val="auto"/>
        </w:rPr>
        <w:t>Pre</w:t>
      </w:r>
      <w:r>
        <w:rPr>
          <w:rFonts w:ascii="Times New Roman" w:cs="Times New Roman" w:eastAsia="Times New Roman" w:hAnsi="Times New Roman"/>
          <w:sz w:val="16"/>
          <w:szCs w:val="16"/>
          <w:color w:val="auto"/>
        </w:rPr>
        <w:t>-</w:t>
      </w:r>
      <w:r>
        <w:rPr>
          <w:rFonts w:ascii="Arial" w:cs="Arial" w:eastAsia="Arial" w:hAnsi="Arial"/>
          <w:sz w:val="16"/>
          <w:szCs w:val="16"/>
          <w:color w:val="auto"/>
        </w:rPr>
        <w:t>emptive Rights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Arial" w:cs="Arial" w:eastAsia="Arial" w:hAnsi="Arial"/>
          <w:sz w:val="16"/>
          <w:szCs w:val="16"/>
          <w:color w:val="auto"/>
        </w:rPr>
        <w:t>Under the Companies Act 2006, “equity securities”, being (i) shares  Under Delaware law, shareholders have no preemptive rights to</w:t>
      </w:r>
    </w:p>
    <w:p>
      <w:pPr>
        <w:spacing w:after="0" w:line="211" w:lineRule="auto"/>
        <w:rPr>
          <w:sz w:val="20"/>
          <w:szCs w:val="20"/>
          <w:color w:val="auto"/>
        </w:rPr>
      </w:pPr>
      <w:r>
        <w:rPr>
          <w:rFonts w:ascii="Arial" w:cs="Arial" w:eastAsia="Arial" w:hAnsi="Arial"/>
          <w:sz w:val="16"/>
          <w:szCs w:val="16"/>
          <w:color w:val="auto"/>
        </w:rPr>
        <w:t>in the company other than shares that, with respect to dividends and subscribe to additional issues of stock or to any security convertible</w:t>
      </w:r>
    </w:p>
    <w:p>
      <w:pPr>
        <w:spacing w:after="0" w:line="212" w:lineRule="auto"/>
        <w:rPr>
          <w:sz w:val="20"/>
          <w:szCs w:val="20"/>
          <w:color w:val="auto"/>
        </w:rPr>
      </w:pPr>
      <w:r>
        <w:rPr>
          <w:rFonts w:ascii="Arial" w:cs="Arial" w:eastAsia="Arial" w:hAnsi="Arial"/>
          <w:sz w:val="16"/>
          <w:szCs w:val="16"/>
          <w:color w:val="auto"/>
        </w:rPr>
        <w:t>capital, carry a right to participate only up to a specified amount in a into such stock unless, and except to the extent that, such rights are</w:t>
      </w:r>
    </w:p>
    <w:p>
      <w:pPr>
        <w:spacing w:after="0" w:line="211" w:lineRule="auto"/>
        <w:tabs>
          <w:tab w:leader="none" w:pos="4920" w:val="left"/>
        </w:tabs>
        <w:rPr>
          <w:sz w:val="20"/>
          <w:szCs w:val="20"/>
          <w:color w:val="auto"/>
        </w:rPr>
      </w:pPr>
      <w:r>
        <w:rPr>
          <w:rFonts w:ascii="Arial" w:cs="Arial" w:eastAsia="Arial" w:hAnsi="Arial"/>
          <w:sz w:val="16"/>
          <w:szCs w:val="16"/>
          <w:color w:val="auto"/>
        </w:rPr>
        <w:t>distribution (“ordinary shares”) or (ii) rights to subscribe for, or to</w:t>
      </w:r>
      <w:r>
        <w:rPr>
          <w:sz w:val="20"/>
          <w:szCs w:val="20"/>
          <w:color w:val="auto"/>
        </w:rPr>
        <w:tab/>
      </w:r>
      <w:r>
        <w:rPr>
          <w:rFonts w:ascii="Arial" w:cs="Arial" w:eastAsia="Arial" w:hAnsi="Arial"/>
          <w:sz w:val="16"/>
          <w:szCs w:val="16"/>
          <w:color w:val="auto"/>
        </w:rPr>
        <w:t>expressly provided for in the certificate of incorporation.</w:t>
      </w:r>
    </w:p>
    <w:p>
      <w:pPr>
        <w:spacing w:after="0" w:line="211" w:lineRule="auto"/>
        <w:rPr>
          <w:sz w:val="20"/>
          <w:szCs w:val="20"/>
          <w:color w:val="auto"/>
        </w:rPr>
      </w:pPr>
      <w:r>
        <w:rPr>
          <w:rFonts w:ascii="Arial" w:cs="Arial" w:eastAsia="Arial" w:hAnsi="Arial"/>
          <w:sz w:val="16"/>
          <w:szCs w:val="16"/>
          <w:color w:val="auto"/>
        </w:rPr>
        <w:t>convert securities into, ordinary shares, proposed to be allotted for</w:t>
      </w:r>
    </w:p>
    <w:p>
      <w:pPr>
        <w:spacing w:after="0" w:line="212" w:lineRule="auto"/>
        <w:rPr>
          <w:sz w:val="20"/>
          <w:szCs w:val="20"/>
          <w:color w:val="auto"/>
        </w:rPr>
      </w:pPr>
      <w:r>
        <w:rPr>
          <w:rFonts w:ascii="Arial" w:cs="Arial" w:eastAsia="Arial" w:hAnsi="Arial"/>
          <w:sz w:val="16"/>
          <w:szCs w:val="16"/>
          <w:color w:val="auto"/>
        </w:rPr>
        <w:t>cash must be offered first to the existing equity shareholders in the</w:t>
      </w:r>
    </w:p>
    <w:p>
      <w:pPr>
        <w:spacing w:after="0" w:line="211" w:lineRule="auto"/>
        <w:rPr>
          <w:sz w:val="20"/>
          <w:szCs w:val="20"/>
          <w:color w:val="auto"/>
        </w:rPr>
      </w:pPr>
      <w:r>
        <w:rPr>
          <w:rFonts w:ascii="Arial" w:cs="Arial" w:eastAsia="Arial" w:hAnsi="Arial"/>
          <w:sz w:val="16"/>
          <w:szCs w:val="16"/>
          <w:color w:val="auto"/>
        </w:rPr>
        <w:t>company in proportion to the respective nominal value of their</w:t>
      </w:r>
    </w:p>
    <w:p>
      <w:pPr>
        <w:spacing w:after="0" w:line="211" w:lineRule="auto"/>
        <w:rPr>
          <w:sz w:val="20"/>
          <w:szCs w:val="20"/>
          <w:color w:val="auto"/>
        </w:rPr>
      </w:pPr>
      <w:r>
        <w:rPr>
          <w:rFonts w:ascii="Arial" w:cs="Arial" w:eastAsia="Arial" w:hAnsi="Arial"/>
          <w:sz w:val="16"/>
          <w:szCs w:val="16"/>
          <w:color w:val="auto"/>
        </w:rPr>
        <w:t>holdings, unless an exception applies or a special resolution to the</w:t>
      </w:r>
    </w:p>
    <w:p>
      <w:pPr>
        <w:spacing w:after="0" w:line="212" w:lineRule="auto"/>
        <w:rPr>
          <w:sz w:val="20"/>
          <w:szCs w:val="20"/>
          <w:color w:val="auto"/>
        </w:rPr>
      </w:pPr>
      <w:r>
        <w:rPr>
          <w:rFonts w:ascii="Arial" w:cs="Arial" w:eastAsia="Arial" w:hAnsi="Arial"/>
          <w:sz w:val="16"/>
          <w:szCs w:val="16"/>
          <w:color w:val="auto"/>
        </w:rPr>
        <w:t>contrary has been passed by shareholders in a general meeting or</w:t>
      </w:r>
    </w:p>
    <w:p>
      <w:pPr>
        <w:spacing w:after="0" w:line="211" w:lineRule="auto"/>
        <w:rPr>
          <w:sz w:val="20"/>
          <w:szCs w:val="20"/>
          <w:color w:val="auto"/>
        </w:rPr>
      </w:pPr>
      <w:r>
        <w:rPr>
          <w:rFonts w:ascii="Arial" w:cs="Arial" w:eastAsia="Arial" w:hAnsi="Arial"/>
          <w:sz w:val="16"/>
          <w:szCs w:val="16"/>
          <w:color w:val="auto"/>
        </w:rPr>
        <w:t>the articles of association provide otherwise in each case in</w:t>
      </w:r>
    </w:p>
    <w:p>
      <w:pPr>
        <w:spacing w:after="0"/>
        <w:rPr>
          <w:sz w:val="20"/>
          <w:szCs w:val="20"/>
          <w:color w:val="auto"/>
        </w:rPr>
      </w:pPr>
      <w:r>
        <w:rPr>
          <w:rFonts w:ascii="Arial" w:cs="Arial" w:eastAsia="Arial" w:hAnsi="Arial"/>
          <w:sz w:val="16"/>
          <w:szCs w:val="16"/>
          <w:color w:val="auto"/>
        </w:rPr>
        <w:t>accordance with the provisions of the Companies Act 2006.</w:t>
      </w:r>
    </w:p>
    <w:p>
      <w:pPr>
        <w:spacing w:after="0" w:line="16" w:lineRule="exact"/>
        <w:rPr>
          <w:sz w:val="20"/>
          <w:szCs w:val="20"/>
          <w:color w:val="auto"/>
        </w:rPr>
      </w:pPr>
    </w:p>
    <w:p>
      <w:pPr>
        <w:sectPr>
          <w:pgSz w:w="11900" w:h="16838" w:orient="portrait"/>
          <w:cols w:equalWidth="0" w:num="2">
            <w:col w:w="900" w:space="440"/>
            <w:col w:w="9880"/>
          </w:cols>
          <w:pgMar w:left="320" w:top="1440" w:right="35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Authority to Allot</w:t>
      </w:r>
    </w:p>
    <w:p>
      <w:pPr>
        <w:spacing w:after="0" w:line="20" w:lineRule="exact"/>
        <w:rPr>
          <w:sz w:val="20"/>
          <w:szCs w:val="20"/>
          <w:color w:val="auto"/>
        </w:rPr>
      </w:pPr>
      <w:r>
        <w:rPr>
          <w:sz w:val="20"/>
          <w:szCs w:val="20"/>
          <w:color w:val="auto"/>
        </w:rPr>
        <w:br w:type="column"/>
      </w:r>
    </w:p>
    <w:p>
      <w:pPr>
        <w:spacing w:after="0" w:line="221" w:lineRule="auto"/>
        <w:rPr>
          <w:sz w:val="20"/>
          <w:szCs w:val="20"/>
          <w:color w:val="auto"/>
        </w:rPr>
      </w:pPr>
      <w:r>
        <w:rPr>
          <w:rFonts w:ascii="Arial" w:cs="Arial" w:eastAsia="Arial" w:hAnsi="Arial"/>
          <w:sz w:val="16"/>
          <w:szCs w:val="16"/>
          <w:color w:val="auto"/>
        </w:rPr>
        <w:t>Under the Companies Act 2006, the directors of a company must not allot shares or grant of rights to subscribe for or to convert any security into shares unless an exception applies or an ordinary resolution to the contrary has been passed by shareholders in a general meeting or the articles of association provide otherwise in each case in accordance with the provisions of the Companies Act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584835</wp:posOffset>
            </wp:positionV>
            <wp:extent cx="534924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4">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8" w:lineRule="auto"/>
        <w:rPr>
          <w:sz w:val="20"/>
          <w:szCs w:val="20"/>
          <w:color w:val="auto"/>
        </w:rPr>
      </w:pPr>
      <w:r>
        <w:rPr>
          <w:rFonts w:ascii="Arial" w:cs="Arial" w:eastAsia="Arial" w:hAnsi="Arial"/>
          <w:sz w:val="16"/>
          <w:szCs w:val="16"/>
          <w:color w:val="auto"/>
        </w:rPr>
        <w:t>Under Delaware law, if the corporation’s charter or certificate of incorporation so provides, the board of directors has the power to authorize the issuance of stock. It may authorize capital stock to be issued for consideration consisting of cash, any tangible or intangible property or any benefit to the corporation or any combination thereof. It may determine the amount of such consideration by approving a formula. In the absence of actual fraud in the transaction, the judgment of the directors as to the value of such consideration is conclusive.</w:t>
      </w:r>
    </w:p>
    <w:p>
      <w:pPr>
        <w:spacing w:after="0" w:line="200" w:lineRule="exact"/>
        <w:rPr>
          <w:sz w:val="20"/>
          <w:szCs w:val="20"/>
          <w:color w:val="auto"/>
        </w:rPr>
      </w:pPr>
    </w:p>
    <w:p>
      <w:pPr>
        <w:sectPr>
          <w:pgSz w:w="11900" w:h="16838" w:orient="portrait"/>
          <w:cols w:equalWidth="0" w:num="3">
            <w:col w:w="1200" w:space="140"/>
            <w:col w:w="4760" w:space="180"/>
            <w:col w:w="49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20"/>
          </w:cols>
          <w:pgMar w:left="320" w:top="1440" w:right="359" w:bottom="1440" w:gutter="0" w:footer="0" w:header="0"/>
          <w:type w:val="continuous"/>
        </w:sectPr>
      </w:pPr>
    </w:p>
    <w:bookmarkStart w:id="147" w:name="page148"/>
    <w:bookmarkEnd w:id="147"/>
    <w:p>
      <w:pPr>
        <w:spacing w:after="0" w:line="191" w:lineRule="auto"/>
        <w:framePr w:w="620" w:h="147" w:wrap="auto" w:vAnchor="page" w:hAnchor="page" w:x="6780" w:y="7216"/>
        <w:rPr>
          <w:rFonts w:ascii="Arial" w:cs="Arial" w:eastAsia="Arial" w:hAnsi="Arial"/>
          <w:sz w:val="16"/>
          <w:szCs w:val="16"/>
          <w:color w:val="auto"/>
        </w:rPr>
      </w:pPr>
      <w:r>
        <w:rPr>
          <w:rFonts w:ascii="Arial" w:cs="Arial" w:eastAsia="Arial" w:hAnsi="Arial"/>
          <w:sz w:val="16"/>
          <w:szCs w:val="16"/>
          <w:color w:val="auto"/>
        </w:rPr>
        <w:t>benefit.</w:t>
      </w:r>
    </w:p>
    <w:p>
      <w:pPr>
        <w:spacing w:after="0" w:line="191" w:lineRule="auto"/>
        <w:framePr w:w="3020" w:h="147" w:wrap="auto" w:vAnchor="page" w:hAnchor="page" w:x="6780" w:y="6500"/>
        <w:rPr>
          <w:rFonts w:ascii="Arial" w:cs="Arial" w:eastAsia="Arial" w:hAnsi="Arial"/>
          <w:sz w:val="16"/>
          <w:szCs w:val="16"/>
          <w:color w:val="auto"/>
        </w:rPr>
      </w:pPr>
      <w:r>
        <w:rPr>
          <w:rFonts w:ascii="Arial" w:cs="Arial" w:eastAsia="Arial" w:hAnsi="Arial"/>
          <w:sz w:val="16"/>
          <w:szCs w:val="16"/>
          <w:color w:val="auto"/>
        </w:rPr>
        <w:t>misconduct or a knowing violation of law;</w:t>
      </w:r>
    </w:p>
    <w:p>
      <w:pPr>
        <w:spacing w:after="0" w:line="191" w:lineRule="auto"/>
        <w:framePr w:w="4400" w:h="147" w:wrap="auto" w:vAnchor="page" w:hAnchor="page" w:x="6780" w:y="5353"/>
        <w:rPr>
          <w:rFonts w:ascii="Arial" w:cs="Arial" w:eastAsia="Arial" w:hAnsi="Arial"/>
          <w:sz w:val="16"/>
          <w:szCs w:val="16"/>
          <w:color w:val="auto"/>
        </w:rPr>
      </w:pPr>
      <w:r>
        <w:rPr>
          <w:rFonts w:ascii="Arial" w:cs="Arial" w:eastAsia="Arial" w:hAnsi="Arial"/>
          <w:sz w:val="16"/>
          <w:szCs w:val="16"/>
          <w:color w:val="auto"/>
        </w:rPr>
        <w:t>In addition, no provision can limit the liability of an officer for:</w:t>
      </w:r>
    </w:p>
    <w:p>
      <w:pPr>
        <w:spacing w:after="0" w:line="191" w:lineRule="auto"/>
        <w:framePr w:w="2040" w:h="147" w:wrap="auto" w:vAnchor="page" w:hAnchor="page" w:x="1700" w:y="7216"/>
        <w:rPr>
          <w:rFonts w:ascii="Arial" w:cs="Arial" w:eastAsia="Arial" w:hAnsi="Arial"/>
          <w:sz w:val="16"/>
          <w:szCs w:val="16"/>
          <w:color w:val="auto"/>
        </w:rPr>
      </w:pPr>
      <w:r>
        <w:rPr>
          <w:rFonts w:ascii="Arial" w:cs="Arial" w:eastAsia="Arial" w:hAnsi="Arial"/>
          <w:sz w:val="16"/>
          <w:szCs w:val="16"/>
          <w:color w:val="auto"/>
        </w:rPr>
        <w:t>occupational pension plan).</w:t>
      </w:r>
    </w:p>
    <w:p>
      <w:pPr>
        <w:spacing w:after="0" w:line="190" w:lineRule="auto"/>
        <w:framePr w:w="4920" w:h="147" w:wrap="auto" w:vAnchor="page" w:hAnchor="page" w:x="1700" w:y="6635"/>
        <w:rPr>
          <w:rFonts w:ascii="Arial" w:cs="Arial" w:eastAsia="Arial" w:hAnsi="Arial"/>
          <w:sz w:val="13"/>
          <w:szCs w:val="13"/>
          <w:color w:val="auto"/>
        </w:rPr>
      </w:pPr>
      <w:r>
        <w:rPr>
          <w:rFonts w:ascii="Arial" w:cs="Arial" w:eastAsia="Arial" w:hAnsi="Arial"/>
          <w:sz w:val="13"/>
          <w:szCs w:val="13"/>
          <w:color w:val="auto"/>
        </w:rPr>
        <w:t>proceedings in which he is convicted); and (c) provide a “qualifying</w:t>
      </w:r>
      <w:r>
        <w:rPr>
          <w:rFonts w:ascii="Times New Roman" w:cs="Times New Roman" w:eastAsia="Times New Roman" w:hAnsi="Times New Roman"/>
          <w:sz w:val="16"/>
          <w:szCs w:val="16"/>
          <w:color w:val="auto"/>
        </w:rPr>
        <w:t>•</w:t>
      </w:r>
    </w:p>
    <w:p>
      <w:pPr>
        <w:spacing w:after="0" w:line="180" w:lineRule="auto"/>
        <w:framePr w:w="4600" w:h="147" w:wrap="auto" w:vAnchor="page" w:hAnchor="page" w:x="1700" w:y="6824"/>
        <w:rPr>
          <w:rFonts w:ascii="Arial" w:cs="Arial" w:eastAsia="Arial" w:hAnsi="Arial"/>
          <w:sz w:val="16"/>
          <w:szCs w:val="16"/>
          <w:color w:val="auto"/>
        </w:rPr>
      </w:pPr>
      <w:r>
        <w:rPr>
          <w:rFonts w:ascii="Arial" w:cs="Arial" w:eastAsia="Arial" w:hAnsi="Arial"/>
          <w:sz w:val="16"/>
          <w:szCs w:val="16"/>
          <w:color w:val="auto"/>
        </w:rPr>
        <w:t>pension scheme indemnity” (being an indemnity against liability</w:t>
      </w:r>
    </w:p>
    <w:p>
      <w:pPr>
        <w:spacing w:after="0" w:line="180" w:lineRule="auto"/>
        <w:framePr w:w="3560" w:h="147" w:wrap="auto" w:vAnchor="page" w:hAnchor="page" w:x="6540" w:y="6757"/>
        <w:rPr>
          <w:rFonts w:ascii="Arial" w:cs="Arial" w:eastAsia="Arial" w:hAnsi="Arial"/>
          <w:sz w:val="17"/>
          <w:szCs w:val="17"/>
          <w:color w:val="auto"/>
          <w:vertAlign w:val="superscript"/>
        </w:rPr>
      </w:pPr>
      <w:r>
        <w:rPr>
          <w:rFonts w:ascii="Arial" w:cs="Arial" w:eastAsia="Arial" w:hAnsi="Arial"/>
          <w:sz w:val="17"/>
          <w:szCs w:val="17"/>
          <w:color w:val="auto"/>
          <w:vertAlign w:val="superscript"/>
        </w:rPr>
        <w:t>any action by or in the right of the corporation; or</w:t>
      </w:r>
    </w:p>
    <w:p>
      <w:pPr>
        <w:spacing w:after="0" w:line="187" w:lineRule="auto"/>
        <w:framePr w:w="9740" w:h="189" w:wrap="auto" w:vAnchor="page" w:hAnchor="page" w:x="1700" w:y="6971"/>
        <w:rPr>
          <w:rFonts w:ascii="Arial" w:cs="Arial" w:eastAsia="Arial" w:hAnsi="Arial"/>
          <w:sz w:val="16"/>
          <w:szCs w:val="16"/>
          <w:color w:val="auto"/>
          <w:vertAlign w:val="superscript"/>
        </w:rPr>
      </w:pPr>
      <w:r>
        <w:rPr>
          <w:rFonts w:ascii="Arial" w:cs="Arial" w:eastAsia="Arial" w:hAnsi="Arial"/>
          <w:sz w:val="16"/>
          <w:szCs w:val="16"/>
          <w:color w:val="auto"/>
          <w:vertAlign w:val="superscript"/>
        </w:rPr>
        <w:t>incurred in connection with the company’s activities as trustee of an</w:t>
      </w:r>
      <w:r>
        <w:rPr>
          <w:rFonts w:ascii="Times New Roman" w:cs="Times New Roman" w:eastAsia="Times New Roman" w:hAnsi="Times New Roman"/>
          <w:sz w:val="21"/>
          <w:szCs w:val="21"/>
          <w:color w:val="auto"/>
          <w:vertAlign w:val="superscript"/>
        </w:rPr>
        <w:t>•</w:t>
      </w:r>
      <w:r>
        <w:rPr>
          <w:rFonts w:ascii="Arial" w:cs="Arial" w:eastAsia="Arial" w:hAnsi="Arial"/>
          <w:sz w:val="16"/>
          <w:szCs w:val="16"/>
          <w:color w:val="auto"/>
          <w:vertAlign w:val="superscript"/>
        </w:rPr>
        <w:t>any transaction from which the officer derives an improper personal</w:t>
      </w:r>
    </w:p>
    <w:p>
      <w:pPr>
        <w:spacing w:after="0" w:line="183" w:lineRule="auto"/>
        <w:framePr w:w="9200" w:h="336" w:wrap="auto" w:vAnchor="page" w:hAnchor="page" w:x="1700" w:y="6244"/>
        <w:rPr>
          <w:rFonts w:ascii="Arial" w:cs="Arial" w:eastAsia="Arial" w:hAnsi="Arial"/>
          <w:sz w:val="13"/>
          <w:szCs w:val="13"/>
          <w:color w:val="auto"/>
          <w:vertAlign w:val="superscript"/>
        </w:rPr>
      </w:pPr>
      <w:r>
        <w:rPr>
          <w:rFonts w:ascii="Arial" w:cs="Arial" w:eastAsia="Arial" w:hAnsi="Arial"/>
          <w:sz w:val="13"/>
          <w:szCs w:val="13"/>
          <w:color w:val="auto"/>
          <w:vertAlign w:val="superscript"/>
        </w:rPr>
        <w:t xml:space="preserve">(being an indemnity against liability incurred by the director to a </w:t>
      </w:r>
      <w:r>
        <w:rPr>
          <w:rFonts w:ascii="Times New Roman" w:cs="Times New Roman" w:eastAsia="Times New Roman" w:hAnsi="Times New Roman"/>
          <w:sz w:val="25"/>
          <w:szCs w:val="25"/>
          <w:color w:val="auto"/>
          <w:vertAlign w:val="subscript"/>
        </w:rPr>
        <w:t>•</w:t>
      </w:r>
      <w:r>
        <w:rPr>
          <w:rFonts w:ascii="Arial" w:cs="Arial" w:eastAsia="Arial" w:hAnsi="Arial"/>
          <w:sz w:val="20"/>
          <w:szCs w:val="20"/>
          <w:color w:val="auto"/>
          <w:vertAlign w:val="subscript"/>
        </w:rPr>
        <w:t>acts or omissions not in good faith or that involve intentional</w:t>
      </w:r>
      <w:r>
        <w:rPr>
          <w:rFonts w:ascii="Arial" w:cs="Arial" w:eastAsia="Arial" w:hAnsi="Arial"/>
          <w:sz w:val="13"/>
          <w:szCs w:val="13"/>
          <w:color w:val="auto"/>
          <w:vertAlign w:val="superscript"/>
        </w:rPr>
        <w:t xml:space="preserve"> person other than the company or an associated company or criminal</w:t>
      </w:r>
    </w:p>
    <w:p>
      <w:pPr>
        <w:spacing w:after="0" w:line="191" w:lineRule="auto"/>
        <w:framePr w:w="4680" w:h="147" w:wrap="auto" w:vAnchor="page" w:hAnchor="page" w:x="1700" w:y="5663"/>
        <w:rPr>
          <w:rFonts w:ascii="Arial" w:cs="Arial" w:eastAsia="Arial" w:hAnsi="Arial"/>
          <w:sz w:val="16"/>
          <w:szCs w:val="16"/>
          <w:color w:val="auto"/>
          <w:vertAlign w:val="superscript"/>
        </w:rPr>
      </w:pPr>
      <w:r>
        <w:rPr>
          <w:rFonts w:ascii="Arial" w:cs="Arial" w:eastAsia="Arial" w:hAnsi="Arial"/>
          <w:sz w:val="16"/>
          <w:szCs w:val="16"/>
          <w:color w:val="auto"/>
          <w:vertAlign w:val="superscript"/>
        </w:rPr>
        <w:t>except as permitted by the Companies Act 2006, which provides</w:t>
      </w:r>
    </w:p>
    <w:p>
      <w:pPr>
        <w:spacing w:after="0" w:line="220" w:lineRule="auto"/>
        <w:framePr w:w="9520" w:h="392" w:wrap="auto" w:vAnchor="page" w:hAnchor="page" w:x="1700" w:y="5810"/>
        <w:rPr>
          <w:rFonts w:ascii="Arial" w:cs="Arial" w:eastAsia="Arial" w:hAnsi="Arial"/>
          <w:sz w:val="16"/>
          <w:szCs w:val="16"/>
          <w:color w:val="auto"/>
          <w:vertAlign w:val="superscript"/>
        </w:rPr>
      </w:pPr>
      <w:r>
        <w:rPr>
          <w:rFonts w:ascii="Arial" w:cs="Arial" w:eastAsia="Arial" w:hAnsi="Arial"/>
          <w:sz w:val="16"/>
          <w:szCs w:val="16"/>
          <w:color w:val="auto"/>
          <w:vertAlign w:val="superscript"/>
        </w:rPr>
        <w:t>exceptions for the company to (a) purchase and maintain insurance</w:t>
      </w:r>
      <w:r>
        <w:rPr>
          <w:rFonts w:ascii="Times New Roman" w:cs="Times New Roman" w:eastAsia="Times New Roman" w:hAnsi="Times New Roman"/>
          <w:sz w:val="21"/>
          <w:szCs w:val="21"/>
          <w:color w:val="auto"/>
          <w:vertAlign w:val="superscript"/>
        </w:rPr>
        <w:t>•</w:t>
      </w:r>
      <w:r>
        <w:rPr>
          <w:rFonts w:ascii="Arial" w:cs="Arial" w:eastAsia="Arial" w:hAnsi="Arial"/>
          <w:sz w:val="16"/>
          <w:szCs w:val="16"/>
          <w:color w:val="auto"/>
          <w:vertAlign w:val="superscript"/>
        </w:rPr>
        <w:t>any breach of the officer’s duty of loyalty to the corporation or its against such liability; (b) provide a “qualifying third party indemnity” stockholders;</w:t>
      </w:r>
    </w:p>
    <w:p>
      <w:pPr>
        <w:spacing w:after="0" w:line="218" w:lineRule="auto"/>
        <w:framePr w:w="4940" w:h="336" w:wrap="auto" w:vAnchor="page" w:hAnchor="page" w:x="1700" w:y="5272"/>
        <w:rPr>
          <w:rFonts w:ascii="Arial" w:cs="Arial" w:eastAsia="Arial" w:hAnsi="Arial"/>
          <w:sz w:val="16"/>
          <w:szCs w:val="16"/>
          <w:color w:val="auto"/>
          <w:vertAlign w:val="superscript"/>
        </w:rPr>
      </w:pPr>
      <w:r>
        <w:rPr>
          <w:rFonts w:ascii="Arial" w:cs="Arial" w:eastAsia="Arial" w:hAnsi="Arial"/>
          <w:sz w:val="16"/>
          <w:szCs w:val="16"/>
          <w:color w:val="auto"/>
          <w:vertAlign w:val="superscript"/>
        </w:rPr>
        <w:t>connection with any negligence, default, breach of duty or breach of trust in relation to the company of which he is a director is also void</w:t>
      </w:r>
    </w:p>
    <w:p>
      <w:pPr>
        <w:spacing w:after="0" w:line="191" w:lineRule="auto"/>
        <w:framePr w:w="2200" w:h="147" w:wrap="auto" w:vAnchor="page" w:hAnchor="page" w:x="6780" w:y="4462"/>
        <w:rPr>
          <w:rFonts w:ascii="Arial" w:cs="Arial" w:eastAsia="Arial" w:hAnsi="Arial"/>
          <w:sz w:val="16"/>
          <w:szCs w:val="16"/>
          <w:color w:val="auto"/>
          <w:vertAlign w:val="superscript"/>
        </w:rPr>
      </w:pPr>
      <w:r>
        <w:rPr>
          <w:rFonts w:ascii="Arial" w:cs="Arial" w:eastAsia="Arial" w:hAnsi="Arial"/>
          <w:sz w:val="16"/>
          <w:szCs w:val="16"/>
          <w:color w:val="auto"/>
          <w:vertAlign w:val="superscript"/>
        </w:rPr>
        <w:t>purchases or redemptions; or</w:t>
      </w:r>
    </w:p>
    <w:p>
      <w:pPr>
        <w:spacing w:after="0" w:line="190" w:lineRule="auto"/>
        <w:framePr w:w="9840" w:h="192" w:wrap="auto" w:vAnchor="page" w:hAnchor="page" w:x="1700" w:y="4659"/>
        <w:rPr>
          <w:rFonts w:ascii="Arial" w:cs="Arial" w:eastAsia="Arial" w:hAnsi="Arial"/>
          <w:sz w:val="16"/>
          <w:szCs w:val="16"/>
          <w:color w:val="auto"/>
          <w:vertAlign w:val="superscript"/>
        </w:rPr>
      </w:pPr>
      <w:r>
        <w:rPr>
          <w:rFonts w:ascii="Arial" w:cs="Arial" w:eastAsia="Arial" w:hAnsi="Arial"/>
          <w:sz w:val="16"/>
          <w:szCs w:val="16"/>
          <w:color w:val="auto"/>
          <w:vertAlign w:val="superscript"/>
        </w:rPr>
        <w:t>Any provision by which a company directly or indirectly provides an</w:t>
      </w:r>
      <w:r>
        <w:rPr>
          <w:rFonts w:ascii="Times New Roman" w:cs="Times New Roman" w:eastAsia="Times New Roman" w:hAnsi="Times New Roman"/>
          <w:sz w:val="21"/>
          <w:szCs w:val="21"/>
          <w:color w:val="auto"/>
          <w:vertAlign w:val="superscript"/>
        </w:rPr>
        <w:t>•</w:t>
      </w:r>
      <w:r>
        <w:rPr>
          <w:rFonts w:ascii="Arial" w:cs="Arial" w:eastAsia="Arial" w:hAnsi="Arial"/>
          <w:sz w:val="16"/>
          <w:szCs w:val="16"/>
          <w:color w:val="auto"/>
          <w:vertAlign w:val="superscript"/>
        </w:rPr>
        <w:t>any transaction from which the director derives an improper personal</w:t>
      </w:r>
    </w:p>
    <w:p>
      <w:pPr>
        <w:spacing w:after="0" w:line="189" w:lineRule="auto"/>
        <w:framePr w:w="5700" w:h="336" w:wrap="auto" w:vAnchor="page" w:hAnchor="page" w:x="1700" w:y="4880"/>
        <w:rPr>
          <w:rFonts w:ascii="Arial" w:cs="Arial" w:eastAsia="Arial" w:hAnsi="Arial"/>
          <w:sz w:val="13"/>
          <w:szCs w:val="13"/>
          <w:color w:val="auto"/>
          <w:vertAlign w:val="superscript"/>
        </w:rPr>
      </w:pPr>
      <w:r>
        <w:rPr>
          <w:rFonts w:ascii="Arial" w:cs="Arial" w:eastAsia="Arial" w:hAnsi="Arial"/>
          <w:sz w:val="13"/>
          <w:szCs w:val="13"/>
          <w:color w:val="auto"/>
          <w:vertAlign w:val="superscript"/>
        </w:rPr>
        <w:t xml:space="preserve">indemnity, to any extent, for a director of the company or of an </w:t>
      </w:r>
      <w:r>
        <w:rPr>
          <w:rFonts w:ascii="Arial" w:cs="Arial" w:eastAsia="Arial" w:hAnsi="Arial"/>
          <w:sz w:val="24"/>
          <w:szCs w:val="24"/>
          <w:color w:val="auto"/>
          <w:vertAlign w:val="subscript"/>
        </w:rPr>
        <w:t>benefit.</w:t>
      </w:r>
      <w:r>
        <w:rPr>
          <w:rFonts w:ascii="Arial" w:cs="Arial" w:eastAsia="Arial" w:hAnsi="Arial"/>
          <w:sz w:val="13"/>
          <w:szCs w:val="13"/>
          <w:color w:val="auto"/>
          <w:vertAlign w:val="superscript"/>
        </w:rPr>
        <w:t xml:space="preserve"> associated company against any liability attaching to him in</w:t>
      </w:r>
    </w:p>
    <w:p>
      <w:pPr>
        <w:spacing w:after="0" w:line="182" w:lineRule="auto"/>
        <w:framePr w:w="4620" w:h="192" w:wrap="auto" w:vAnchor="page" w:hAnchor="page" w:x="6460" w:y="4213"/>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vertAlign w:val="superscript"/>
        </w:rPr>
        <w:t>•</w:t>
      </w:r>
      <w:r>
        <w:rPr>
          <w:rFonts w:ascii="Arial" w:cs="Arial" w:eastAsia="Arial" w:hAnsi="Arial"/>
          <w:sz w:val="16"/>
          <w:szCs w:val="16"/>
          <w:color w:val="auto"/>
          <w:vertAlign w:val="superscript"/>
        </w:rPr>
        <w:t>intentional or negligent payment of unlawful dividends or stock</w:t>
      </w:r>
    </w:p>
    <w:p>
      <w:pPr>
        <w:spacing w:after="0" w:line="191" w:lineRule="auto"/>
        <w:framePr w:w="3020" w:h="147" w:wrap="auto" w:vAnchor="page" w:hAnchor="page" w:x="6780" w:y="4003"/>
        <w:rPr>
          <w:rFonts w:ascii="Arial" w:cs="Arial" w:eastAsia="Arial" w:hAnsi="Arial"/>
          <w:sz w:val="16"/>
          <w:szCs w:val="16"/>
          <w:color w:val="auto"/>
          <w:vertAlign w:val="superscript"/>
        </w:rPr>
      </w:pPr>
      <w:r>
        <w:rPr>
          <w:rFonts w:ascii="Arial" w:cs="Arial" w:eastAsia="Arial" w:hAnsi="Arial"/>
          <w:sz w:val="16"/>
          <w:szCs w:val="16"/>
          <w:color w:val="auto"/>
          <w:vertAlign w:val="superscript"/>
        </w:rPr>
        <w:t>misconduct or a knowing violation of law;</w:t>
      </w:r>
    </w:p>
    <w:p>
      <w:pPr>
        <w:spacing w:after="0" w:line="200" w:lineRule="exact"/>
        <w:rPr>
          <w:rFonts w:ascii="Arial" w:cs="Arial" w:eastAsia="Arial" w:hAnsi="Arial"/>
          <w:sz w:val="16"/>
          <w:szCs w:val="16"/>
          <w:color w:val="auto"/>
          <w:vertAlign w:val="superscript"/>
        </w:rPr>
      </w:pPr>
    </w:p>
    <w:p>
      <w:pPr>
        <w:spacing w:after="0" w:line="214" w:lineRule="exact"/>
        <w:rPr>
          <w:rFonts w:ascii="Arial" w:cs="Arial" w:eastAsia="Arial" w:hAnsi="Arial"/>
          <w:sz w:val="16"/>
          <w:szCs w:val="16"/>
          <w:color w:val="auto"/>
          <w:vertAlign w:val="superscript"/>
        </w:rPr>
      </w:pPr>
    </w:p>
    <w:p>
      <w:pPr>
        <w:ind w:left="20"/>
        <w:spacing w:after="0" w:line="234" w:lineRule="auto"/>
        <w:rPr>
          <w:sz w:val="20"/>
          <w:szCs w:val="20"/>
          <w:color w:val="auto"/>
        </w:rPr>
      </w:pPr>
      <w:r>
        <w:rPr>
          <w:rFonts w:ascii="Arial" w:cs="Arial" w:eastAsia="Arial" w:hAnsi="Arial"/>
          <w:sz w:val="16"/>
          <w:szCs w:val="16"/>
          <w:color w:val="auto"/>
        </w:rPr>
        <w:t>Liability of Directors and Officers</w:t>
      </w:r>
    </w:p>
    <w:p>
      <w:pPr>
        <w:spacing w:after="0" w:line="20" w:lineRule="exact"/>
        <w:rPr>
          <w:rFonts w:ascii="Arial" w:cs="Arial" w:eastAsia="Arial" w:hAnsi="Arial"/>
          <w:sz w:val="16"/>
          <w:szCs w:val="16"/>
          <w:color w:val="auto"/>
          <w:vertAlign w:val="superscript"/>
        </w:rPr>
      </w:pPr>
      <w:r>
        <w:rPr>
          <w:rFonts w:ascii="Arial" w:cs="Arial" w:eastAsia="Arial" w:hAnsi="Arial"/>
          <w:sz w:val="16"/>
          <w:szCs w:val="16"/>
          <w:color w:val="auto"/>
          <w:vertAlign w:val="superscript"/>
        </w:rPr>
        <w:br w:type="column"/>
      </w:r>
    </w:p>
    <w:p>
      <w:pPr>
        <w:spacing w:after="0" w:line="200" w:lineRule="exact"/>
        <w:rPr>
          <w:rFonts w:ascii="Arial" w:cs="Arial" w:eastAsia="Arial" w:hAnsi="Arial"/>
          <w:sz w:val="16"/>
          <w:szCs w:val="16"/>
          <w:color w:val="auto"/>
          <w:vertAlign w:val="superscript"/>
        </w:rPr>
      </w:pPr>
    </w:p>
    <w:p>
      <w:pPr>
        <w:spacing w:after="0" w:line="207"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Under Delaware law, a corporation’s certificate of incorporation</w:t>
      </w:r>
    </w:p>
    <w:p>
      <w:pPr>
        <w:spacing w:after="0" w:line="31"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may include a provision eliminating or limiting the personal</w:t>
      </w:r>
    </w:p>
    <w:p>
      <w:pPr>
        <w:spacing w:after="0" w:line="9"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liability of a director or certain officers to the corporation and its</w:t>
      </w:r>
    </w:p>
    <w:p>
      <w:pPr>
        <w:spacing w:after="0" w:line="15"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stockholders for damages arising from a breach of fiduciary duty</w:t>
      </w:r>
    </w:p>
    <w:p>
      <w:pPr>
        <w:spacing w:after="0" w:line="9"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as a director or officer, as applicable. However, no provision can</w:t>
      </w:r>
    </w:p>
    <w:p>
      <w:pPr>
        <w:spacing w:after="0" w:line="5" w:lineRule="exact"/>
        <w:rPr>
          <w:rFonts w:ascii="Arial" w:cs="Arial" w:eastAsia="Arial" w:hAnsi="Arial"/>
          <w:sz w:val="16"/>
          <w:szCs w:val="16"/>
          <w:color w:val="auto"/>
          <w:vertAlign w:val="superscript"/>
        </w:rPr>
      </w:pPr>
    </w:p>
    <w:p>
      <w:pPr>
        <w:ind w:left="5080"/>
        <w:spacing w:after="0"/>
        <w:rPr>
          <w:sz w:val="20"/>
          <w:szCs w:val="20"/>
          <w:color w:val="auto"/>
        </w:rPr>
      </w:pPr>
      <w:r>
        <w:rPr>
          <w:rFonts w:ascii="Arial" w:cs="Arial" w:eastAsia="Arial" w:hAnsi="Arial"/>
          <w:sz w:val="16"/>
          <w:szCs w:val="16"/>
          <w:color w:val="auto"/>
        </w:rPr>
        <w:t>limit the liability of a director for:</w:t>
      </w:r>
    </w:p>
    <w:p>
      <w:pPr>
        <w:spacing w:after="0" w:line="197" w:lineRule="exact"/>
        <w:rPr>
          <w:rFonts w:ascii="Arial" w:cs="Arial" w:eastAsia="Arial" w:hAnsi="Arial"/>
          <w:sz w:val="16"/>
          <w:szCs w:val="16"/>
          <w:color w:val="auto"/>
          <w:vertAlign w:val="superscript"/>
        </w:rPr>
      </w:pPr>
    </w:p>
    <w:tbl>
      <w:tblPr>
        <w:tblLayout w:type="fixed"/>
        <w:tblInd w:w="0" w:type="dxa"/>
        <w:tblCellMar>
          <w:top w:w="0" w:type="dxa"/>
          <w:left w:w="0" w:type="dxa"/>
          <w:bottom w:w="0" w:type="dxa"/>
          <w:right w:w="0" w:type="dxa"/>
        </w:tblCellMar>
      </w:tblPr>
      <w:tr>
        <w:trPr>
          <w:trHeight w:val="184"/>
        </w:trPr>
        <w:tc>
          <w:tcPr>
            <w:tcW w:w="5060" w:type="dxa"/>
            <w:vAlign w:val="bottom"/>
            <w:gridSpan w:val="2"/>
          </w:tcPr>
          <w:p>
            <w:pPr>
              <w:spacing w:after="0"/>
              <w:rPr>
                <w:sz w:val="20"/>
                <w:szCs w:val="20"/>
                <w:color w:val="auto"/>
              </w:rPr>
            </w:pPr>
            <w:r>
              <w:rPr>
                <w:rFonts w:ascii="Arial" w:cs="Arial" w:eastAsia="Arial" w:hAnsi="Arial"/>
                <w:sz w:val="16"/>
                <w:szCs w:val="16"/>
                <w:color w:val="auto"/>
              </w:rPr>
              <w:t>Under the Companies Act 2006, any provision, whether contained in a</w:t>
            </w:r>
          </w:p>
        </w:tc>
        <w:tc>
          <w:tcPr>
            <w:tcW w:w="4480" w:type="dxa"/>
            <w:vAlign w:val="bottom"/>
          </w:tcPr>
          <w:p>
            <w:pPr>
              <w:spacing w:after="0"/>
              <w:rPr>
                <w:sz w:val="16"/>
                <w:szCs w:val="16"/>
                <w:color w:val="auto"/>
              </w:rPr>
            </w:pPr>
          </w:p>
        </w:tc>
      </w:tr>
      <w:tr>
        <w:trPr>
          <w:trHeight w:val="203"/>
        </w:trPr>
        <w:tc>
          <w:tcPr>
            <w:tcW w:w="9540" w:type="dxa"/>
            <w:vAlign w:val="bottom"/>
            <w:gridSpan w:val="3"/>
          </w:tcPr>
          <w:p>
            <w:pPr>
              <w:spacing w:after="0" w:line="203" w:lineRule="exact"/>
              <w:rPr>
                <w:sz w:val="20"/>
                <w:szCs w:val="20"/>
                <w:color w:val="auto"/>
              </w:rPr>
            </w:pPr>
            <w:r>
              <w:rPr>
                <w:rFonts w:ascii="Arial" w:cs="Arial" w:eastAsia="Arial" w:hAnsi="Arial"/>
                <w:sz w:val="23"/>
                <w:szCs w:val="23"/>
                <w:color w:val="auto"/>
                <w:vertAlign w:val="subscript"/>
              </w:rPr>
              <w:t>company’s articles of association or any contract or otherwise, that</w:t>
            </w:r>
            <w:r>
              <w:rPr>
                <w:rFonts w:ascii="Times New Roman" w:cs="Times New Roman" w:eastAsia="Times New Roman" w:hAnsi="Times New Roman"/>
                <w:sz w:val="17"/>
                <w:szCs w:val="17"/>
                <w:color w:val="auto"/>
              </w:rPr>
              <w:t>•</w:t>
            </w:r>
            <w:r>
              <w:rPr>
                <w:rFonts w:ascii="Arial" w:cs="Arial" w:eastAsia="Arial" w:hAnsi="Arial"/>
                <w:sz w:val="13"/>
                <w:szCs w:val="13"/>
                <w:color w:val="auto"/>
              </w:rPr>
              <w:t>any breach of the director’s duty of loyalty to the corporation or its</w:t>
            </w:r>
          </w:p>
        </w:tc>
      </w:tr>
      <w:tr>
        <w:trPr>
          <w:trHeight w:val="189"/>
        </w:trPr>
        <w:tc>
          <w:tcPr>
            <w:tcW w:w="5060" w:type="dxa"/>
            <w:vAlign w:val="bottom"/>
            <w:gridSpan w:val="2"/>
          </w:tcPr>
          <w:p>
            <w:pPr>
              <w:spacing w:after="0"/>
              <w:rPr>
                <w:sz w:val="20"/>
                <w:szCs w:val="20"/>
                <w:color w:val="auto"/>
              </w:rPr>
            </w:pPr>
            <w:r>
              <w:rPr>
                <w:rFonts w:ascii="Arial" w:cs="Arial" w:eastAsia="Arial" w:hAnsi="Arial"/>
                <w:sz w:val="16"/>
                <w:szCs w:val="16"/>
                <w:color w:val="auto"/>
              </w:rPr>
              <w:t>purports to exempt a director of a company, to any extent, from any</w:t>
            </w:r>
          </w:p>
        </w:tc>
        <w:tc>
          <w:tcPr>
            <w:tcW w:w="4480" w:type="dxa"/>
            <w:vAlign w:val="bottom"/>
          </w:tcPr>
          <w:p>
            <w:pPr>
              <w:ind w:left="20"/>
              <w:spacing w:after="0"/>
              <w:rPr>
                <w:sz w:val="20"/>
                <w:szCs w:val="20"/>
                <w:color w:val="auto"/>
              </w:rPr>
            </w:pPr>
            <w:r>
              <w:rPr>
                <w:rFonts w:ascii="Arial" w:cs="Arial" w:eastAsia="Arial" w:hAnsi="Arial"/>
                <w:sz w:val="16"/>
                <w:szCs w:val="16"/>
                <w:color w:val="auto"/>
              </w:rPr>
              <w:t>stockholders;</w:t>
            </w:r>
          </w:p>
        </w:tc>
      </w:tr>
      <w:tr>
        <w:trPr>
          <w:trHeight w:val="245"/>
        </w:trPr>
        <w:tc>
          <w:tcPr>
            <w:tcW w:w="4680" w:type="dxa"/>
            <w:vAlign w:val="bottom"/>
          </w:tcPr>
          <w:p>
            <w:pPr>
              <w:spacing w:after="0"/>
              <w:rPr>
                <w:sz w:val="20"/>
                <w:szCs w:val="20"/>
                <w:color w:val="auto"/>
              </w:rPr>
            </w:pPr>
            <w:r>
              <w:rPr>
                <w:rFonts w:ascii="Arial" w:cs="Arial" w:eastAsia="Arial" w:hAnsi="Arial"/>
                <w:sz w:val="16"/>
                <w:szCs w:val="16"/>
                <w:color w:val="auto"/>
              </w:rPr>
              <w:t>liability that would otherwise attach to him in connection with any</w:t>
            </w:r>
          </w:p>
        </w:tc>
        <w:tc>
          <w:tcPr>
            <w:tcW w:w="4860" w:type="dxa"/>
            <w:vAlign w:val="bottom"/>
            <w:gridSpan w:val="2"/>
          </w:tcPr>
          <w:p>
            <w:pPr>
              <w:ind w:left="80"/>
              <w:spacing w:after="0" w:line="245" w:lineRule="exact"/>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acts or omissions not in good faith or that involve intentional</w:t>
            </w:r>
          </w:p>
        </w:tc>
      </w:tr>
    </w:tbl>
    <w:p>
      <w:pPr>
        <w:spacing w:after="0" w:line="190" w:lineRule="auto"/>
        <w:rPr>
          <w:sz w:val="20"/>
          <w:szCs w:val="20"/>
          <w:color w:val="auto"/>
        </w:rPr>
      </w:pPr>
      <w:r>
        <w:rPr>
          <w:rFonts w:ascii="Arial" w:cs="Arial" w:eastAsia="Arial" w:hAnsi="Arial"/>
          <w:sz w:val="15"/>
          <w:szCs w:val="15"/>
          <w:color w:val="auto"/>
        </w:rPr>
        <w:t>negligence, default, breach of duty or breach of trust in relation to the</w:t>
      </w:r>
    </w:p>
    <w:p>
      <w:pPr>
        <w:spacing w:after="0" w:line="36" w:lineRule="exact"/>
        <w:rPr>
          <w:rFonts w:ascii="Arial" w:cs="Arial" w:eastAsia="Arial" w:hAnsi="Arial"/>
          <w:sz w:val="16"/>
          <w:szCs w:val="16"/>
          <w:color w:val="auto"/>
          <w:vertAlign w:val="superscript"/>
        </w:rPr>
      </w:pPr>
    </w:p>
    <w:p>
      <w:pPr>
        <w:spacing w:after="0"/>
        <w:rPr>
          <w:sz w:val="20"/>
          <w:szCs w:val="20"/>
          <w:color w:val="auto"/>
        </w:rPr>
      </w:pPr>
      <w:r>
        <w:rPr>
          <w:rFonts w:ascii="Arial" w:cs="Arial" w:eastAsia="Arial" w:hAnsi="Arial"/>
          <w:sz w:val="16"/>
          <w:szCs w:val="16"/>
          <w:color w:val="auto"/>
        </w:rPr>
        <w:t>company is void.</w:t>
      </w:r>
    </w:p>
    <w:p>
      <w:pPr>
        <w:spacing w:after="0" w:line="20" w:lineRule="exact"/>
        <w:rPr>
          <w:rFonts w:ascii="Arial" w:cs="Arial" w:eastAsia="Arial" w:hAnsi="Arial"/>
          <w:sz w:val="16"/>
          <w:szCs w:val="16"/>
          <w:color w:val="auto"/>
          <w:vertAlign w:val="superscript"/>
        </w:rPr>
      </w:pPr>
      <w:r>
        <w:rPr>
          <w:rFonts w:ascii="Arial" w:cs="Arial" w:eastAsia="Arial" w:hAnsi="Arial"/>
          <w:sz w:val="16"/>
          <w:szCs w:val="16"/>
          <w:color w:val="auto"/>
          <w:vertAlign w:val="superscript"/>
        </w:rPr>
        <w:drawing>
          <wp:anchor simplePos="0" relativeHeight="251657728" behindDoc="1" locked="0" layoutInCell="0" allowOverlap="1">
            <wp:simplePos x="0" y="0"/>
            <wp:positionH relativeFrom="column">
              <wp:posOffset>-895985</wp:posOffset>
            </wp:positionH>
            <wp:positionV relativeFrom="paragraph">
              <wp:posOffset>2292350</wp:posOffset>
            </wp:positionV>
            <wp:extent cx="534924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5">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rFonts w:ascii="Arial" w:cs="Arial" w:eastAsia="Arial" w:hAnsi="Arial"/>
          <w:sz w:val="16"/>
          <w:szCs w:val="16"/>
          <w:color w:val="auto"/>
          <w:vertAlign w:val="superscript"/>
        </w:rPr>
      </w:pPr>
    </w:p>
    <w:p>
      <w:pPr>
        <w:sectPr>
          <w:pgSz w:w="11900" w:h="16838" w:orient="portrait"/>
          <w:cols w:equalWidth="0" w:num="2">
            <w:col w:w="980" w:space="440"/>
            <w:col w:w="9680"/>
          </w:cols>
          <w:pgMar w:left="320" w:top="1440" w:right="479" w:bottom="1440" w:gutter="0" w:footer="0" w:header="0"/>
        </w:sect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200" w:lineRule="exact"/>
        <w:rPr>
          <w:rFonts w:ascii="Arial" w:cs="Arial" w:eastAsia="Arial" w:hAnsi="Arial"/>
          <w:sz w:val="16"/>
          <w:szCs w:val="16"/>
          <w:color w:val="auto"/>
          <w:vertAlign w:val="superscript"/>
        </w:rPr>
      </w:pPr>
    </w:p>
    <w:p>
      <w:pPr>
        <w:spacing w:after="0" w:line="394" w:lineRule="exact"/>
        <w:rPr>
          <w:rFonts w:ascii="Arial" w:cs="Arial" w:eastAsia="Arial" w:hAnsi="Arial"/>
          <w:sz w:val="16"/>
          <w:szCs w:val="16"/>
          <w:color w:val="auto"/>
          <w:vertAlign w:val="superscript"/>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00"/>
          </w:cols>
          <w:pgMar w:left="320" w:top="1440" w:right="479" w:bottom="1440" w:gutter="0" w:footer="0" w:header="0"/>
          <w:type w:val="continuous"/>
        </w:sectPr>
      </w:pPr>
    </w:p>
    <w:bookmarkStart w:id="148" w:name="page149"/>
    <w:bookmarkEnd w:id="148"/>
    <w:p>
      <w:pPr>
        <w:jc w:val="both"/>
        <w:spacing w:after="0" w:line="228" w:lineRule="auto"/>
        <w:framePr w:w="4400" w:h="525" w:wrap="auto" w:vAnchor="page" w:hAnchor="page" w:x="7120" w:y="9295"/>
        <w:rPr>
          <w:rFonts w:ascii="Arial" w:cs="Arial" w:eastAsia="Arial" w:hAnsi="Arial"/>
          <w:sz w:val="16"/>
          <w:szCs w:val="16"/>
          <w:color w:val="auto"/>
        </w:rPr>
      </w:pPr>
      <w:r>
        <w:rPr>
          <w:rFonts w:ascii="Arial" w:cs="Arial" w:eastAsia="Arial" w:hAnsi="Arial"/>
          <w:sz w:val="16"/>
          <w:szCs w:val="16"/>
          <w:color w:val="auto"/>
        </w:rPr>
        <w:t>provides for more or less than one vote per share, a majority of the votes of the outstanding stock of a corporation entitled to vote on the matter.</w:t>
      </w:r>
    </w:p>
    <w:p>
      <w:pPr>
        <w:spacing w:after="0" w:line="191" w:lineRule="auto"/>
        <w:framePr w:w="3860" w:h="147" w:wrap="auto" w:vAnchor="page" w:hAnchor="page" w:x="7120" w:y="9092"/>
        <w:rPr>
          <w:rFonts w:ascii="Arial" w:cs="Arial" w:eastAsia="Arial" w:hAnsi="Arial"/>
          <w:sz w:val="16"/>
          <w:szCs w:val="16"/>
          <w:color w:val="auto"/>
        </w:rPr>
      </w:pPr>
      <w:r>
        <w:rPr>
          <w:rFonts w:ascii="Arial" w:cs="Arial" w:eastAsia="Arial" w:hAnsi="Arial"/>
          <w:sz w:val="16"/>
          <w:szCs w:val="16"/>
          <w:color w:val="auto"/>
        </w:rPr>
        <w:t>outstanding stock or, if the certificate of incorporation</w:t>
      </w:r>
    </w:p>
    <w:p>
      <w:pPr>
        <w:spacing w:after="0" w:line="200" w:lineRule="exact"/>
        <w:rPr>
          <w:rFonts w:ascii="Arial" w:cs="Arial" w:eastAsia="Arial" w:hAnsi="Arial"/>
          <w:sz w:val="16"/>
          <w:szCs w:val="16"/>
          <w:color w:val="auto"/>
        </w:rPr>
      </w:pPr>
    </w:p>
    <w:p>
      <w:pPr>
        <w:spacing w:after="0" w:line="208" w:lineRule="exact"/>
        <w:rPr>
          <w:rFonts w:ascii="Arial" w:cs="Arial" w:eastAsia="Arial" w:hAnsi="Arial"/>
          <w:sz w:val="16"/>
          <w:szCs w:val="16"/>
          <w:color w:val="auto"/>
        </w:rPr>
      </w:pPr>
    </w:p>
    <w:p>
      <w:pPr>
        <w:ind w:left="20"/>
        <w:spacing w:after="0"/>
        <w:rPr>
          <w:sz w:val="20"/>
          <w:szCs w:val="20"/>
          <w:color w:val="auto"/>
        </w:rPr>
      </w:pPr>
      <w:r>
        <w:rPr>
          <w:rFonts w:ascii="Arial" w:cs="Arial" w:eastAsia="Arial" w:hAnsi="Arial"/>
          <w:sz w:val="16"/>
          <w:szCs w:val="16"/>
          <w:color w:val="auto"/>
        </w:rPr>
        <w:t>Voting</w:t>
      </w:r>
    </w:p>
    <w:p>
      <w:pPr>
        <w:ind w:left="20"/>
        <w:spacing w:after="0"/>
        <w:rPr>
          <w:sz w:val="20"/>
          <w:szCs w:val="20"/>
          <w:color w:val="auto"/>
        </w:rPr>
      </w:pPr>
      <w:r>
        <w:rPr>
          <w:rFonts w:ascii="Arial" w:cs="Arial" w:eastAsia="Arial" w:hAnsi="Arial"/>
          <w:sz w:val="16"/>
          <w:szCs w:val="16"/>
          <w:color w:val="auto"/>
        </w:rPr>
        <w:t>Rights</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ind w:right="60"/>
        <w:spacing w:after="0" w:line="258" w:lineRule="auto"/>
        <w:rPr>
          <w:sz w:val="20"/>
          <w:szCs w:val="20"/>
          <w:color w:val="auto"/>
        </w:rPr>
      </w:pPr>
      <w:r>
        <w:rPr>
          <w:rFonts w:ascii="Arial" w:cs="Arial" w:eastAsia="Arial" w:hAnsi="Arial"/>
          <w:sz w:val="16"/>
          <w:szCs w:val="16"/>
          <w:color w:val="auto"/>
        </w:rPr>
        <w:t>Under English law, unless a poll is demanded by the shareholders of a company or is required by the chairman of the meeting or the company’s articles of association, shareholders shall vote on all resolutions on a show of hands. Under the Companies Act 2006, a poll may be demanded by (a) not fewer than five shareholders having the right to vote on the resolution; (b) any shareholder(s) representing not less than 10% of the total voting rights of all the shareholders having the right to vote on the resolution (excluding any voting rights attaching to treasury shares); or (c) any shareholder(s) holding shares in the company conferring a right to vote on the resolution (excluding any voting rights attaching to treasury shares) being shares on which an aggregate sum has been paid up equal to not less than 10% of the total sum paid up on all the shares conferring that right. A company’s articles of association may provide more extensive rights for shareholders to call a poll.</w:t>
      </w:r>
    </w:p>
    <w:p>
      <w:pPr>
        <w:spacing w:after="0" w:line="205" w:lineRule="exact"/>
        <w:rPr>
          <w:rFonts w:ascii="Arial" w:cs="Arial" w:eastAsia="Arial" w:hAnsi="Arial"/>
          <w:sz w:val="16"/>
          <w:szCs w:val="16"/>
          <w:color w:val="auto"/>
        </w:rPr>
      </w:pPr>
    </w:p>
    <w:p>
      <w:pPr>
        <w:spacing w:after="0" w:line="259" w:lineRule="auto"/>
        <w:rPr>
          <w:sz w:val="20"/>
          <w:szCs w:val="20"/>
          <w:color w:val="auto"/>
        </w:rPr>
      </w:pPr>
      <w:r>
        <w:rPr>
          <w:rFonts w:ascii="Arial" w:cs="Arial" w:eastAsia="Arial" w:hAnsi="Arial"/>
          <w:sz w:val="16"/>
          <w:szCs w:val="16"/>
          <w:color w:val="auto"/>
        </w:rPr>
        <w:t>Under English law, an ordinary resolution is passed on a show of hands if it is approved by a simple majority (more than 50%) of the votes cast by shareholders present (in person or by proxy) and entitled to vote. If a poll is demanded, an ordinary resolution is passed if it is approved by holders representing a simple majority of the total voting rights of shareholders present, in person or by proxy, who, being entitled to vote, vote on the resolution. Special resolutions require the affirmative vote of not less than 75% of the votes cast by shareholders present, in person or by proxy, at the meeting.</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-603885</wp:posOffset>
            </wp:positionH>
            <wp:positionV relativeFrom="paragraph">
              <wp:posOffset>377825</wp:posOffset>
            </wp:positionV>
            <wp:extent cx="534924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6">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394" w:lineRule="exact"/>
        <w:rPr>
          <w:rFonts w:ascii="Arial" w:cs="Arial" w:eastAsia="Arial" w:hAnsi="Arial"/>
          <w:sz w:val="16"/>
          <w:szCs w:val="16"/>
          <w:color w:val="auto"/>
        </w:rPr>
      </w:pPr>
    </w:p>
    <w:p>
      <w:pPr>
        <w:spacing w:after="0" w:line="228" w:lineRule="auto"/>
        <w:rPr>
          <w:sz w:val="20"/>
          <w:szCs w:val="20"/>
          <w:color w:val="auto"/>
        </w:rPr>
      </w:pPr>
      <w:r>
        <w:rPr>
          <w:rFonts w:ascii="Arial" w:cs="Arial" w:eastAsia="Arial" w:hAnsi="Arial"/>
          <w:sz w:val="16"/>
          <w:szCs w:val="16"/>
          <w:color w:val="auto"/>
        </w:rPr>
        <w:t>Delaware law provides that, unless otherwise provided in the certificate of incorporation, each stockholder is entitled to one vote for each share of capital stock held by such stockholder.</w:t>
      </w:r>
    </w:p>
    <w:p>
      <w:pPr>
        <w:spacing w:after="0" w:line="3482" w:lineRule="exact"/>
        <w:rPr>
          <w:rFonts w:ascii="Arial" w:cs="Arial" w:eastAsia="Arial" w:hAnsi="Arial"/>
          <w:sz w:val="16"/>
          <w:szCs w:val="16"/>
          <w:color w:val="auto"/>
        </w:rPr>
      </w:pPr>
    </w:p>
    <w:p>
      <w:pPr>
        <w:sectPr>
          <w:pgSz w:w="11900" w:h="16838" w:orient="portrait"/>
          <w:cols w:equalWidth="0" w:num="3">
            <w:col w:w="480" w:space="480"/>
            <w:col w:w="6480" w:space="60"/>
            <w:col w:w="3660"/>
          </w:cols>
          <w:pgMar w:left="320" w:top="1440" w:right="419" w:bottom="1440" w:gutter="0" w:footer="0" w:header="0"/>
        </w:sect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9" w:lineRule="exact"/>
        <w:rPr>
          <w:rFonts w:ascii="Arial" w:cs="Arial" w:eastAsia="Arial" w:hAnsi="Arial"/>
          <w:sz w:val="16"/>
          <w:szCs w:val="16"/>
          <w:color w:val="auto"/>
        </w:rPr>
      </w:pPr>
    </w:p>
    <w:p>
      <w:pPr>
        <w:ind w:left="20"/>
        <w:spacing w:after="0" w:line="251" w:lineRule="auto"/>
        <w:rPr>
          <w:sz w:val="20"/>
          <w:szCs w:val="20"/>
          <w:color w:val="auto"/>
        </w:rPr>
      </w:pPr>
      <w:r>
        <w:rPr>
          <w:rFonts w:ascii="Arial" w:cs="Arial" w:eastAsia="Arial" w:hAnsi="Arial"/>
          <w:sz w:val="16"/>
          <w:szCs w:val="16"/>
          <w:color w:val="auto"/>
        </w:rPr>
        <w:t>Shareholder Vote on Certain Transactions</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spacing w:after="0" w:line="265" w:lineRule="auto"/>
        <w:rPr>
          <w:sz w:val="20"/>
          <w:szCs w:val="20"/>
          <w:color w:val="auto"/>
        </w:rPr>
      </w:pPr>
      <w:r>
        <w:rPr>
          <w:rFonts w:ascii="Arial" w:cs="Arial" w:eastAsia="Arial" w:hAnsi="Arial"/>
          <w:sz w:val="16"/>
          <w:szCs w:val="16"/>
          <w:color w:val="auto"/>
        </w:rPr>
        <w:t>The Companies Act 2006 provides for schemes of arrangement, which are arrangements or compromises between a company and any class of shareholders or creditors and used in certain types of reconstructions, amalgamations, capital reorganizations or takeovers. These arrangements require:</w:t>
      </w:r>
    </w:p>
    <w:p>
      <w:pPr>
        <w:spacing w:after="0" w:line="20" w:lineRule="exact"/>
        <w:rPr>
          <w:rFonts w:ascii="Arial" w:cs="Arial" w:eastAsia="Arial" w:hAnsi="Arial"/>
          <w:sz w:val="16"/>
          <w:szCs w:val="16"/>
          <w:color w:val="auto"/>
        </w:rPr>
      </w:pPr>
      <w:r>
        <w:rPr>
          <w:rFonts w:ascii="Arial" w:cs="Arial" w:eastAsia="Arial" w:hAnsi="Arial"/>
          <w:sz w:val="16"/>
          <w:szCs w:val="16"/>
          <w:color w:val="auto"/>
        </w:rPr>
        <w:br w:type="column"/>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93" w:lineRule="exact"/>
        <w:rPr>
          <w:rFonts w:ascii="Arial" w:cs="Arial" w:eastAsia="Arial" w:hAnsi="Arial"/>
          <w:sz w:val="16"/>
          <w:szCs w:val="16"/>
          <w:color w:val="auto"/>
        </w:rPr>
      </w:pPr>
    </w:p>
    <w:p>
      <w:pPr>
        <w:ind w:right="100"/>
        <w:spacing w:after="0" w:line="265" w:lineRule="auto"/>
        <w:rPr>
          <w:sz w:val="20"/>
          <w:szCs w:val="20"/>
          <w:color w:val="auto"/>
        </w:rPr>
      </w:pPr>
      <w:r>
        <w:rPr>
          <w:rFonts w:ascii="Arial" w:cs="Arial" w:eastAsia="Arial" w:hAnsi="Arial"/>
          <w:sz w:val="16"/>
          <w:szCs w:val="16"/>
          <w:color w:val="auto"/>
        </w:rPr>
        <w:t>Generally, under Delaware law, unless the certificate of incorporation provides for the vote of a larger portion of the stock, completion of a merger, consolidation, sale, lease or exchange of all or substantially all of a corporation’s assets or dissolution requires:</w:t>
      </w:r>
    </w:p>
    <w:p>
      <w:pPr>
        <w:spacing w:after="0" w:line="199" w:lineRule="exact"/>
        <w:rPr>
          <w:rFonts w:ascii="Arial" w:cs="Arial" w:eastAsia="Arial" w:hAnsi="Arial"/>
          <w:sz w:val="16"/>
          <w:szCs w:val="16"/>
          <w:color w:val="auto"/>
        </w:rPr>
      </w:pPr>
    </w:p>
    <w:p>
      <w:pPr>
        <w:sectPr>
          <w:pgSz w:w="11900" w:h="16838" w:orient="portrait"/>
          <w:cols w:equalWidth="0" w:num="3">
            <w:col w:w="1520" w:space="360"/>
            <w:col w:w="4760" w:space="200"/>
            <w:col w:w="4320"/>
          </w:cols>
          <w:pgMar w:left="320" w:top="1440" w:right="419" w:bottom="1440" w:gutter="0" w:footer="0" w:header="0"/>
          <w:type w:val="continuous"/>
        </w:sect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the approval at a shareholders’ or creditors’ meeting convened by order</w:t>
      </w:r>
      <w:r>
        <w:rPr>
          <w:rFonts w:ascii="Times New Roman" w:cs="Times New Roman" w:eastAsia="Times New Roman" w:hAnsi="Times New Roman"/>
          <w:sz w:val="22"/>
          <w:szCs w:val="22"/>
          <w:color w:val="auto"/>
        </w:rPr>
        <w:t>•</w:t>
      </w:r>
      <w:r>
        <w:rPr>
          <w:rFonts w:ascii="Arial" w:cs="Arial" w:eastAsia="Arial" w:hAnsi="Arial"/>
          <w:sz w:val="16"/>
          <w:szCs w:val="16"/>
          <w:color w:val="auto"/>
        </w:rPr>
        <w:t>the approval of the board of directors; and</w:t>
      </w:r>
    </w:p>
    <w:p>
      <w:pPr>
        <w:ind w:left="1880"/>
        <w:spacing w:after="0" w:line="196" w:lineRule="auto"/>
        <w:rPr>
          <w:sz w:val="20"/>
          <w:szCs w:val="20"/>
          <w:color w:val="auto"/>
        </w:rPr>
      </w:pPr>
      <w:r>
        <w:rPr>
          <w:rFonts w:ascii="Arial" w:cs="Arial" w:eastAsia="Arial" w:hAnsi="Arial"/>
          <w:sz w:val="12"/>
          <w:szCs w:val="12"/>
          <w:color w:val="auto"/>
        </w:rPr>
        <w:t xml:space="preserve">of the court, of a majority in number of shareholders or creditors </w:t>
      </w:r>
      <w:r>
        <w:rPr>
          <w:rFonts w:ascii="Times New Roman" w:cs="Times New Roman" w:eastAsia="Times New Roman" w:hAnsi="Times New Roman"/>
          <w:sz w:val="22"/>
          <w:szCs w:val="22"/>
          <w:color w:val="auto"/>
          <w:vertAlign w:val="subscript"/>
        </w:rPr>
        <w:t>•</w:t>
      </w:r>
      <w:r>
        <w:rPr>
          <w:rFonts w:ascii="Arial" w:cs="Arial" w:eastAsia="Arial" w:hAnsi="Arial"/>
          <w:sz w:val="18"/>
          <w:szCs w:val="18"/>
          <w:color w:val="auto"/>
          <w:vertAlign w:val="subscript"/>
        </w:rPr>
        <w:t>approval by the vote of the holders of a majority of the</w:t>
      </w:r>
    </w:p>
    <w:p>
      <w:pPr>
        <w:spacing w:after="0" w:line="1" w:lineRule="exact"/>
        <w:rPr>
          <w:rFonts w:ascii="Arial" w:cs="Arial" w:eastAsia="Arial" w:hAnsi="Arial"/>
          <w:sz w:val="16"/>
          <w:szCs w:val="16"/>
          <w:color w:val="auto"/>
        </w:rPr>
      </w:pPr>
    </w:p>
    <w:p>
      <w:pPr>
        <w:ind w:left="1880" w:right="4520"/>
        <w:spacing w:after="0" w:line="256" w:lineRule="auto"/>
        <w:rPr>
          <w:sz w:val="20"/>
          <w:szCs w:val="20"/>
          <w:color w:val="auto"/>
        </w:rPr>
      </w:pPr>
      <w:r>
        <w:rPr>
          <w:rFonts w:ascii="Arial" w:cs="Arial" w:eastAsia="Arial" w:hAnsi="Arial"/>
          <w:sz w:val="16"/>
          <w:szCs w:val="16"/>
          <w:color w:val="auto"/>
        </w:rPr>
        <w:t>representing 75% in value of the capital held by, or debt owed to, the class of shareholders or creditors, or class thereof present and voting, either in person or by proxy; and</w:t>
      </w:r>
    </w:p>
    <w:p>
      <w:pPr>
        <w:spacing w:after="0" w:line="1" w:lineRule="exact"/>
        <w:rPr>
          <w:rFonts w:ascii="Arial" w:cs="Arial" w:eastAsia="Arial" w:hAnsi="Arial"/>
          <w:sz w:val="16"/>
          <w:szCs w:val="16"/>
          <w:color w:val="auto"/>
        </w:rPr>
      </w:pPr>
    </w:p>
    <w:p>
      <w:pPr>
        <w:ind w:left="1560"/>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the approval of the court.</w:t>
      </w:r>
    </w:p>
    <w:p>
      <w:pPr>
        <w:spacing w:after="0" w:line="20" w:lineRule="exact"/>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5349240"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7">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77" w:lineRule="exact"/>
        <w:rPr>
          <w:rFonts w:ascii="Arial" w:cs="Arial" w:eastAsia="Arial" w:hAnsi="Arial"/>
          <w:sz w:val="16"/>
          <w:szCs w:val="16"/>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60"/>
          </w:cols>
          <w:pgMar w:left="320" w:top="1440" w:right="419" w:bottom="1440" w:gutter="0" w:footer="0" w:header="0"/>
          <w:type w:val="continuous"/>
        </w:sectPr>
      </w:pPr>
    </w:p>
    <w:bookmarkStart w:id="149" w:name="page150"/>
    <w:bookmarkEnd w:id="149"/>
    <w:p>
      <w:pPr>
        <w:spacing w:after="0" w:line="182" w:lineRule="auto"/>
        <w:framePr w:w="3140" w:h="192" w:wrap="auto" w:vAnchor="page" w:hAnchor="page" w:x="1340" w:y="6562"/>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a duty to declare any interest that he has,</w:t>
      </w:r>
    </w:p>
    <w:p>
      <w:pPr>
        <w:spacing w:after="0" w:line="200" w:lineRule="exact"/>
        <w:rPr>
          <w:rFonts w:ascii="Times New Roman" w:cs="Times New Roman" w:eastAsia="Times New Roman" w:hAnsi="Times New Roman"/>
          <w:sz w:val="22"/>
          <w:szCs w:val="22"/>
          <w:color w:val="auto"/>
        </w:rPr>
      </w:pPr>
    </w:p>
    <w:p>
      <w:pPr>
        <w:spacing w:after="0" w:line="214" w:lineRule="exact"/>
        <w:rPr>
          <w:rFonts w:ascii="Times New Roman" w:cs="Times New Roman" w:eastAsia="Times New Roman" w:hAnsi="Times New Roman"/>
          <w:sz w:val="22"/>
          <w:szCs w:val="22"/>
          <w:color w:val="auto"/>
        </w:rPr>
      </w:pPr>
    </w:p>
    <w:p>
      <w:pPr>
        <w:jc w:val="both"/>
        <w:ind w:left="20"/>
        <w:spacing w:after="0" w:line="234" w:lineRule="auto"/>
        <w:rPr>
          <w:sz w:val="20"/>
          <w:szCs w:val="20"/>
          <w:color w:val="auto"/>
        </w:rPr>
      </w:pPr>
      <w:r>
        <w:rPr>
          <w:rFonts w:ascii="Arial" w:cs="Arial" w:eastAsia="Arial" w:hAnsi="Arial"/>
          <w:sz w:val="16"/>
          <w:szCs w:val="16"/>
          <w:color w:val="auto"/>
        </w:rPr>
        <w:t>Standard of Conduct for Directors</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br w:type="column"/>
      </w:r>
    </w:p>
    <w:p>
      <w:pPr>
        <w:spacing w:after="0" w:line="200" w:lineRule="exact"/>
        <w:rPr>
          <w:rFonts w:ascii="Times New Roman" w:cs="Times New Roman" w:eastAsia="Times New Roman" w:hAnsi="Times New Roman"/>
          <w:sz w:val="22"/>
          <w:szCs w:val="22"/>
          <w:color w:val="auto"/>
        </w:rPr>
      </w:pPr>
    </w:p>
    <w:p>
      <w:pPr>
        <w:spacing w:after="0" w:line="207" w:lineRule="exact"/>
        <w:rPr>
          <w:rFonts w:ascii="Times New Roman" w:cs="Times New Roman" w:eastAsia="Times New Roman" w:hAnsi="Times New Roman"/>
          <w:sz w:val="22"/>
          <w:szCs w:val="22"/>
          <w:color w:val="auto"/>
        </w:rPr>
      </w:pPr>
    </w:p>
    <w:p>
      <w:pPr>
        <w:ind w:left="320"/>
        <w:spacing w:after="0" w:line="263" w:lineRule="auto"/>
        <w:rPr>
          <w:sz w:val="20"/>
          <w:szCs w:val="20"/>
          <w:color w:val="auto"/>
        </w:rPr>
      </w:pPr>
      <w:r>
        <w:rPr>
          <w:rFonts w:ascii="Arial" w:cs="Arial" w:eastAsia="Arial" w:hAnsi="Arial"/>
          <w:sz w:val="16"/>
          <w:szCs w:val="16"/>
          <w:color w:val="auto"/>
        </w:rPr>
        <w:t>Under English law, a director owes various statutory and fiduciary duties to the company, including:</w:t>
      </w:r>
    </w:p>
    <w:p>
      <w:pPr>
        <w:spacing w:after="0" w:line="1" w:lineRule="exact"/>
        <w:rPr>
          <w:rFonts w:ascii="Times New Roman" w:cs="Times New Roman" w:eastAsia="Times New Roman" w:hAnsi="Times New Roman"/>
          <w:sz w:val="22"/>
          <w:szCs w:val="22"/>
          <w:color w:val="auto"/>
        </w:rPr>
      </w:pPr>
    </w:p>
    <w:p>
      <w:pPr>
        <w:ind w:left="320" w:right="100" w:hanging="323"/>
        <w:spacing w:after="0" w:line="229" w:lineRule="auto"/>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to act in the way he considers, in good faith,</w:t>
      </w:r>
      <w:r>
        <w:rPr>
          <w:rFonts w:ascii="Times New Roman" w:cs="Times New Roman" w:eastAsia="Times New Roman" w:hAnsi="Times New Roman"/>
          <w:sz w:val="22"/>
          <w:szCs w:val="22"/>
          <w:color w:val="auto"/>
        </w:rPr>
        <w:t xml:space="preserve"> </w:t>
      </w:r>
      <w:r>
        <w:rPr>
          <w:rFonts w:ascii="Arial" w:cs="Arial" w:eastAsia="Arial" w:hAnsi="Arial"/>
          <w:sz w:val="16"/>
          <w:szCs w:val="16"/>
          <w:color w:val="auto"/>
        </w:rPr>
        <w:t>would be most likely to promote the success of the company for the benefit of its members as a whole;</w:t>
      </w:r>
    </w:p>
    <w:p>
      <w:pPr>
        <w:spacing w:after="0" w:line="3" w:lineRule="exact"/>
        <w:rPr>
          <w:rFonts w:ascii="Times New Roman" w:cs="Times New Roman" w:eastAsia="Times New Roman" w:hAnsi="Times New Roman"/>
          <w:sz w:val="22"/>
          <w:szCs w:val="22"/>
          <w:color w:val="auto"/>
        </w:rPr>
      </w:pPr>
    </w:p>
    <w:p>
      <w:pPr>
        <w:ind w:left="320" w:right="240" w:hanging="323"/>
        <w:spacing w:after="0" w:line="233" w:lineRule="auto"/>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to avoid a situation in which he has, or can</w:t>
      </w:r>
      <w:r>
        <w:rPr>
          <w:rFonts w:ascii="Times New Roman" w:cs="Times New Roman" w:eastAsia="Times New Roman" w:hAnsi="Times New Roman"/>
          <w:sz w:val="22"/>
          <w:szCs w:val="22"/>
          <w:color w:val="auto"/>
        </w:rPr>
        <w:t xml:space="preserve"> </w:t>
      </w:r>
      <w:r>
        <w:rPr>
          <w:rFonts w:ascii="Arial" w:cs="Arial" w:eastAsia="Arial" w:hAnsi="Arial"/>
          <w:sz w:val="16"/>
          <w:szCs w:val="16"/>
          <w:color w:val="auto"/>
        </w:rPr>
        <w:t>have, a direct or indirect interest that conflicts, or possibly conflicts, with the interests of the company;</w:t>
      </w:r>
    </w:p>
    <w:p>
      <w:pPr>
        <w:spacing w:after="0" w:line="1" w:lineRule="exact"/>
        <w:rPr>
          <w:rFonts w:ascii="Times New Roman" w:cs="Times New Roman" w:eastAsia="Times New Roman" w:hAnsi="Times New Roman"/>
          <w:sz w:val="22"/>
          <w:szCs w:val="22"/>
          <w:color w:val="auto"/>
        </w:rPr>
      </w:pPr>
    </w:p>
    <w:p>
      <w:pPr>
        <w:ind w:left="320" w:right="100" w:hanging="323"/>
        <w:spacing w:after="0" w:line="230" w:lineRule="auto"/>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to act in accordance with the company’s</w:t>
      </w:r>
      <w:r>
        <w:rPr>
          <w:rFonts w:ascii="Times New Roman" w:cs="Times New Roman" w:eastAsia="Times New Roman" w:hAnsi="Times New Roman"/>
          <w:sz w:val="22"/>
          <w:szCs w:val="22"/>
          <w:color w:val="auto"/>
        </w:rPr>
        <w:t xml:space="preserve"> </w:t>
      </w:r>
      <w:r>
        <w:rPr>
          <w:rFonts w:ascii="Arial" w:cs="Arial" w:eastAsia="Arial" w:hAnsi="Arial"/>
          <w:sz w:val="16"/>
          <w:szCs w:val="16"/>
          <w:color w:val="auto"/>
        </w:rPr>
        <w:t>constitution and only exercise his powers for the purposes for which they are conferred;</w:t>
      </w:r>
    </w:p>
    <w:p>
      <w:pPr>
        <w:spacing w:after="0" w:line="1"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to exercise independent judgment;</w:t>
      </w:r>
    </w:p>
    <w:p>
      <w:pPr>
        <w:spacing w:after="0" w:line="16" w:lineRule="exact"/>
        <w:rPr>
          <w:rFonts w:ascii="Times New Roman" w:cs="Times New Roman" w:eastAsia="Times New Roman" w:hAnsi="Times New Roman"/>
          <w:sz w:val="22"/>
          <w:szCs w:val="22"/>
          <w:color w:val="auto"/>
        </w:rPr>
      </w:pPr>
    </w:p>
    <w:p>
      <w:pPr>
        <w:ind w:left="320" w:right="640" w:hanging="323"/>
        <w:spacing w:after="0" w:line="211" w:lineRule="auto"/>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to exercise reasonable care, skill and</w:t>
      </w:r>
      <w:r>
        <w:rPr>
          <w:rFonts w:ascii="Times New Roman" w:cs="Times New Roman" w:eastAsia="Times New Roman" w:hAnsi="Times New Roman"/>
          <w:sz w:val="22"/>
          <w:szCs w:val="22"/>
          <w:color w:val="auto"/>
        </w:rPr>
        <w:t xml:space="preserve"> </w:t>
      </w:r>
      <w:r>
        <w:rPr>
          <w:rFonts w:ascii="Arial" w:cs="Arial" w:eastAsia="Arial" w:hAnsi="Arial"/>
          <w:sz w:val="16"/>
          <w:szCs w:val="16"/>
          <w:color w:val="auto"/>
        </w:rPr>
        <w:t>diligence;</w:t>
      </w:r>
    </w:p>
    <w:p>
      <w:pPr>
        <w:spacing w:after="0" w:line="1"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not to accept benefits from a third party</w:t>
      </w:r>
    </w:p>
    <w:p>
      <w:pPr>
        <w:spacing w:after="0" w:line="5" w:lineRule="exact"/>
        <w:rPr>
          <w:rFonts w:ascii="Times New Roman" w:cs="Times New Roman" w:eastAsia="Times New Roman" w:hAnsi="Times New Roman"/>
          <w:sz w:val="22"/>
          <w:szCs w:val="22"/>
          <w:color w:val="auto"/>
        </w:rPr>
      </w:pPr>
    </w:p>
    <w:p>
      <w:pPr>
        <w:ind w:left="320" w:right="20"/>
        <w:spacing w:after="0" w:line="248" w:lineRule="auto"/>
        <w:rPr>
          <w:sz w:val="20"/>
          <w:szCs w:val="20"/>
          <w:color w:val="auto"/>
        </w:rPr>
      </w:pPr>
      <w:r>
        <w:rPr>
          <w:rFonts w:ascii="Arial" w:cs="Arial" w:eastAsia="Arial" w:hAnsi="Arial"/>
          <w:sz w:val="16"/>
          <w:szCs w:val="16"/>
          <w:color w:val="auto"/>
        </w:rPr>
        <w:t>conferred by reason of his being a director or doing, or not doing, anything as a director; and</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br w:type="column"/>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28" w:lineRule="exact"/>
        <w:rPr>
          <w:rFonts w:ascii="Times New Roman" w:cs="Times New Roman" w:eastAsia="Times New Roman" w:hAnsi="Times New Roman"/>
          <w:sz w:val="22"/>
          <w:szCs w:val="22"/>
          <w:color w:val="auto"/>
        </w:rPr>
      </w:pPr>
    </w:p>
    <w:p>
      <w:pPr>
        <w:ind w:right="20"/>
        <w:spacing w:after="0" w:line="270" w:lineRule="auto"/>
        <w:rPr>
          <w:sz w:val="20"/>
          <w:szCs w:val="20"/>
          <w:color w:val="auto"/>
        </w:rPr>
      </w:pPr>
      <w:r>
        <w:rPr>
          <w:rFonts w:ascii="Arial" w:cs="Arial" w:eastAsia="Arial" w:hAnsi="Arial"/>
          <w:sz w:val="16"/>
          <w:szCs w:val="16"/>
          <w:color w:val="auto"/>
        </w:rPr>
        <w:t>Delaware law does not contain specific provisions setting forth the standard of conduct of a director. The scope of the fiduciary duties of directors is generally determined by the courts of the State of Delaware. In general, directors have a duty to act without self</w:t>
      </w:r>
      <w:r>
        <w:rPr>
          <w:rFonts w:ascii="Times New Roman" w:cs="Times New Roman" w:eastAsia="Times New Roman" w:hAnsi="Times New Roman"/>
          <w:sz w:val="16"/>
          <w:szCs w:val="16"/>
          <w:color w:val="auto"/>
        </w:rPr>
        <w:t>-</w:t>
      </w:r>
      <w:r>
        <w:rPr>
          <w:rFonts w:ascii="Arial" w:cs="Arial" w:eastAsia="Arial" w:hAnsi="Arial"/>
          <w:sz w:val="16"/>
          <w:szCs w:val="16"/>
          <w:color w:val="auto"/>
        </w:rPr>
        <w:t>interest, on a well</w:t>
      </w:r>
      <w:r>
        <w:rPr>
          <w:rFonts w:ascii="Times New Roman" w:cs="Times New Roman" w:eastAsia="Times New Roman" w:hAnsi="Times New Roman"/>
          <w:sz w:val="16"/>
          <w:szCs w:val="16"/>
          <w:color w:val="auto"/>
        </w:rPr>
        <w:t>-</w:t>
      </w:r>
      <w:r>
        <w:rPr>
          <w:rFonts w:ascii="Arial" w:cs="Arial" w:eastAsia="Arial" w:hAnsi="Arial"/>
          <w:sz w:val="16"/>
          <w:szCs w:val="16"/>
          <w:color w:val="auto"/>
        </w:rPr>
        <w:t>informed basis and in a manner they reasonably believe to be in the best interest of the</w:t>
      </w:r>
    </w:p>
    <w:p>
      <w:pPr>
        <w:spacing w:after="0" w:line="7" w:lineRule="exact"/>
        <w:rPr>
          <w:rFonts w:ascii="Times New Roman" w:cs="Times New Roman" w:eastAsia="Times New Roman" w:hAnsi="Times New Roman"/>
          <w:sz w:val="22"/>
          <w:szCs w:val="22"/>
          <w:color w:val="auto"/>
        </w:rPr>
      </w:pPr>
    </w:p>
    <w:p>
      <w:pPr>
        <w:spacing w:after="0" w:line="257" w:lineRule="auto"/>
        <w:rPr>
          <w:sz w:val="20"/>
          <w:szCs w:val="20"/>
          <w:color w:val="auto"/>
        </w:rPr>
      </w:pPr>
      <w:r>
        <w:rPr>
          <w:rFonts w:ascii="Arial" w:cs="Arial" w:eastAsia="Arial" w:hAnsi="Arial"/>
          <w:sz w:val="16"/>
          <w:szCs w:val="16"/>
          <w:color w:val="auto"/>
        </w:rPr>
        <w:t>stockholders. Directors of a Delaware corporation owe fiduciary duties of care and loyalty to the corporation and to its shareholders. The duty of care generally requires that a director act in good faith, with the care that an ordinarily prudent person would exercise under similar circumstances. Under this duty, a director must inform himself of all material information reasonably available regarding a significant transaction. The duty of loyalty requires that a director act in a manner he reasonably believes to be in the best interests of the corporation. He must not use his corporate position for personal gain or advantage. In general, but subject to certain exceptions, actions of a director are presumed to have been made on an informed basis, in good faith and in the honest belief that the action taken was in the best interests of the corporation. However, this presumption may be rebutted by evidence of a breach of one of the fiduciary duties. Delaware courts have also imposed a heightened standard of conduct upon directors of a Delaware corporation who take any action designed to defeat a threatened change in control of the corporation.</w:t>
      </w:r>
    </w:p>
    <w:p>
      <w:pPr>
        <w:spacing w:after="0" w:line="219" w:lineRule="exact"/>
        <w:rPr>
          <w:rFonts w:ascii="Times New Roman" w:cs="Times New Roman" w:eastAsia="Times New Roman" w:hAnsi="Times New Roman"/>
          <w:sz w:val="22"/>
          <w:szCs w:val="22"/>
          <w:color w:val="auto"/>
        </w:rPr>
      </w:pPr>
    </w:p>
    <w:p>
      <w:pPr>
        <w:sectPr>
          <w:pgSz w:w="11900" w:h="16838" w:orient="portrait"/>
          <w:cols w:equalWidth="0" w:num="3">
            <w:col w:w="860" w:space="200"/>
            <w:col w:w="3380" w:space="60"/>
            <w:col w:w="6700"/>
          </w:cols>
          <w:pgMar w:left="320" w:top="1440" w:right="379" w:bottom="1440" w:gutter="0" w:footer="0" w:header="0"/>
        </w:sectPr>
      </w:pPr>
    </w:p>
    <w:p>
      <w:pPr>
        <w:ind w:left="4500"/>
        <w:spacing w:after="0"/>
        <w:rPr>
          <w:sz w:val="20"/>
          <w:szCs w:val="20"/>
          <w:color w:val="auto"/>
        </w:rPr>
      </w:pPr>
      <w:r>
        <w:rPr>
          <w:rFonts w:ascii="Arial" w:cs="Arial" w:eastAsia="Arial" w:hAnsi="Arial"/>
          <w:sz w:val="16"/>
          <w:szCs w:val="16"/>
          <w:color w:val="auto"/>
        </w:rPr>
        <w:t>In addition, under Delaware law, when the board of directors of a Delaware corporation</w:t>
      </w:r>
    </w:p>
    <w:p>
      <w:pPr>
        <w:spacing w:after="0" w:line="21" w:lineRule="exact"/>
        <w:rPr>
          <w:rFonts w:ascii="Times New Roman" w:cs="Times New Roman" w:eastAsia="Times New Roman" w:hAnsi="Times New Roman"/>
          <w:sz w:val="22"/>
          <w:szCs w:val="22"/>
          <w:color w:val="auto"/>
        </w:rPr>
      </w:pPr>
    </w:p>
    <w:p>
      <w:pPr>
        <w:ind w:left="1380" w:right="660"/>
        <w:spacing w:after="0" w:line="254" w:lineRule="auto"/>
        <w:rPr>
          <w:sz w:val="20"/>
          <w:szCs w:val="20"/>
          <w:color w:val="auto"/>
        </w:rPr>
      </w:pPr>
      <w:r>
        <w:rPr>
          <w:rFonts w:ascii="Arial" w:cs="Arial" w:eastAsia="Arial" w:hAnsi="Arial"/>
          <w:sz w:val="16"/>
          <w:szCs w:val="16"/>
          <w:color w:val="auto"/>
        </w:rPr>
        <w:t>whether directly or indirectly, in a proposed approves the sale or break</w:t>
      </w:r>
      <w:r>
        <w:rPr>
          <w:rFonts w:ascii="Times New Roman" w:cs="Times New Roman" w:eastAsia="Times New Roman" w:hAnsi="Times New Roman"/>
          <w:sz w:val="16"/>
          <w:szCs w:val="16"/>
          <w:color w:val="auto"/>
        </w:rPr>
        <w:t>-</w:t>
      </w:r>
      <w:r>
        <w:rPr>
          <w:rFonts w:ascii="Arial" w:cs="Arial" w:eastAsia="Arial" w:hAnsi="Arial"/>
          <w:sz w:val="16"/>
          <w:szCs w:val="16"/>
          <w:color w:val="auto"/>
        </w:rPr>
        <w:t>up of a corporation, the board of directors may, in certain or existing transaction or arrangement with circumstances, have a duty to obtain the highest value reasonably available to the</w:t>
      </w:r>
    </w:p>
    <w:p>
      <w:pPr>
        <w:spacing w:after="0" w:line="1" w:lineRule="exact"/>
        <w:rPr>
          <w:rFonts w:ascii="Times New Roman" w:cs="Times New Roman" w:eastAsia="Times New Roman" w:hAnsi="Times New Roman"/>
          <w:sz w:val="22"/>
          <w:szCs w:val="22"/>
          <w:color w:val="auto"/>
        </w:rPr>
      </w:pPr>
    </w:p>
    <w:p>
      <w:pPr>
        <w:ind w:left="1380"/>
        <w:spacing w:after="0"/>
        <w:tabs>
          <w:tab w:leader="none" w:pos="4480" w:val="left"/>
        </w:tabs>
        <w:rPr>
          <w:sz w:val="20"/>
          <w:szCs w:val="20"/>
          <w:color w:val="auto"/>
        </w:rPr>
      </w:pPr>
      <w:r>
        <w:rPr>
          <w:rFonts w:ascii="Arial" w:cs="Arial" w:eastAsia="Arial" w:hAnsi="Arial"/>
          <w:sz w:val="16"/>
          <w:szCs w:val="16"/>
          <w:color w:val="auto"/>
        </w:rPr>
        <w:t>the company</w:t>
      </w:r>
      <w:r>
        <w:rPr>
          <w:sz w:val="20"/>
          <w:szCs w:val="20"/>
          <w:color w:val="auto"/>
        </w:rPr>
        <w:tab/>
      </w:r>
      <w:r>
        <w:rPr>
          <w:rFonts w:ascii="Arial" w:cs="Arial" w:eastAsia="Arial" w:hAnsi="Arial"/>
          <w:sz w:val="16"/>
          <w:szCs w:val="16"/>
          <w:color w:val="auto"/>
        </w:rPr>
        <w:t>shareholders.</w:t>
      </w:r>
    </w:p>
    <w:p>
      <w:pPr>
        <w:spacing w:after="0" w:line="20" w:lineRule="exact"/>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column">
              <wp:posOffset>5080</wp:posOffset>
            </wp:positionH>
            <wp:positionV relativeFrom="paragraph">
              <wp:posOffset>396240</wp:posOffset>
            </wp:positionV>
            <wp:extent cx="5349240"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8">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88" w:lineRule="exact"/>
        <w:rPr>
          <w:rFonts w:ascii="Times New Roman" w:cs="Times New Roman" w:eastAsia="Times New Roman" w:hAnsi="Times New Roman"/>
          <w:sz w:val="22"/>
          <w:szCs w:val="22"/>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00"/>
          </w:cols>
          <w:pgMar w:left="320" w:top="1440" w:right="379" w:bottom="1440" w:gutter="0" w:footer="0" w:header="0"/>
          <w:type w:val="continuous"/>
        </w:sectPr>
      </w:pPr>
    </w:p>
    <w:bookmarkStart w:id="150" w:name="page151"/>
    <w:bookmarkEnd w:id="150"/>
    <w:p>
      <w:pPr>
        <w:spacing w:after="0" w:line="200" w:lineRule="exact"/>
        <w:rPr>
          <w:sz w:val="20"/>
          <w:szCs w:val="20"/>
          <w:color w:val="auto"/>
        </w:rPr>
      </w:pPr>
    </w:p>
    <w:p>
      <w:pPr>
        <w:spacing w:after="0" w:line="214" w:lineRule="exact"/>
        <w:rPr>
          <w:sz w:val="20"/>
          <w:szCs w:val="20"/>
          <w:color w:val="auto"/>
        </w:rPr>
      </w:pPr>
    </w:p>
    <w:p>
      <w:pPr>
        <w:ind w:left="1560" w:hanging="1524"/>
        <w:spacing w:after="0" w:line="218" w:lineRule="auto"/>
        <w:tabs>
          <w:tab w:leader="none" w:pos="1540" w:val="left"/>
        </w:tabs>
        <w:rPr>
          <w:sz w:val="20"/>
          <w:szCs w:val="20"/>
          <w:color w:val="auto"/>
        </w:rPr>
      </w:pPr>
      <w:r>
        <w:rPr>
          <w:rFonts w:ascii="Arial" w:cs="Arial" w:eastAsia="Arial" w:hAnsi="Arial"/>
          <w:sz w:val="16"/>
          <w:szCs w:val="16"/>
          <w:color w:val="auto"/>
        </w:rPr>
        <w:t>Stockholder Suits</w:t>
      </w:r>
      <w:r>
        <w:rPr>
          <w:sz w:val="20"/>
          <w:szCs w:val="20"/>
          <w:color w:val="auto"/>
        </w:rPr>
        <w:tab/>
      </w:r>
      <w:r>
        <w:rPr>
          <w:rFonts w:ascii="Arial" w:cs="Arial" w:eastAsia="Arial" w:hAnsi="Arial"/>
          <w:sz w:val="16"/>
          <w:szCs w:val="16"/>
          <w:color w:val="auto"/>
        </w:rPr>
        <w:t>Under English law, generally, the company, rather than its shareholders, is the proper claimant in an action in respect of a wrong done to the company or where there is an irregularity in the company’s internal management. Notwithstanding this general position, the Companies Act 2006 provides that (i) a court may allow a shareholder to bring a derivative claim (that is, an action in respect of and on behalf of the company) in respect of a cause of action arising from a director’s negligence, default, breach of duty or breach of trust and (ii) a shareholder may bring a claim for a court order where the company’s affairs have been or are being conducted in a manner that is unfairly prejudicial to some of its shareholders.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7" w:lineRule="exact"/>
        <w:rPr>
          <w:sz w:val="20"/>
          <w:szCs w:val="20"/>
          <w:color w:val="auto"/>
        </w:rPr>
      </w:pPr>
    </w:p>
    <w:p>
      <w:pPr>
        <w:spacing w:after="0" w:line="263" w:lineRule="auto"/>
        <w:rPr>
          <w:sz w:val="20"/>
          <w:szCs w:val="20"/>
          <w:color w:val="auto"/>
        </w:rPr>
      </w:pPr>
      <w:r>
        <w:rPr>
          <w:rFonts w:ascii="Arial" w:cs="Arial" w:eastAsia="Arial" w:hAnsi="Arial"/>
          <w:sz w:val="16"/>
          <w:szCs w:val="16"/>
          <w:color w:val="auto"/>
        </w:rPr>
        <w:t>Under Delaware law, a stockholder may initiate a derivative action to enforce a right of a corporation if the corporation fails to enforce the right itself. The</w:t>
      </w:r>
    </w:p>
    <w:p>
      <w:pPr>
        <w:spacing w:after="0" w:line="1"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complaint must:</w:t>
      </w:r>
      <w:r>
        <w:rPr>
          <w:rFonts w:ascii="Times New Roman" w:cs="Times New Roman" w:eastAsia="Times New Roman" w:hAnsi="Times New Roman"/>
          <w:sz w:val="21"/>
          <w:szCs w:val="21"/>
          <w:color w:val="auto"/>
        </w:rPr>
        <w:t>•</w:t>
      </w:r>
      <w:r>
        <w:rPr>
          <w:rFonts w:ascii="Arial" w:cs="Arial" w:eastAsia="Arial" w:hAnsi="Arial"/>
          <w:sz w:val="16"/>
          <w:szCs w:val="16"/>
          <w:color w:val="auto"/>
        </w:rPr>
        <w:t>state that the plaintiff was a stockholder at the time of the transaction of which the plaintiff complains or that the plaintiffs shares thereafter devolved on the plaintiff by operation of law; and</w:t>
      </w:r>
    </w:p>
    <w:p>
      <w:pPr>
        <w:spacing w:after="0" w:line="3" w:lineRule="exact"/>
        <w:rPr>
          <w:sz w:val="20"/>
          <w:szCs w:val="20"/>
          <w:color w:val="auto"/>
        </w:rPr>
      </w:pPr>
    </w:p>
    <w:p>
      <w:pPr>
        <w:ind w:right="40"/>
        <w:spacing w:after="0" w:line="225" w:lineRule="auto"/>
        <w:rPr>
          <w:sz w:val="20"/>
          <w:szCs w:val="20"/>
          <w:color w:val="auto"/>
        </w:rPr>
      </w:pPr>
      <w:r>
        <w:rPr>
          <w:rFonts w:ascii="Times New Roman" w:cs="Times New Roman" w:eastAsia="Times New Roman" w:hAnsi="Times New Roman"/>
          <w:sz w:val="22"/>
          <w:szCs w:val="22"/>
          <w:color w:val="auto"/>
        </w:rPr>
        <w:t>•</w:t>
      </w:r>
      <w:r>
        <w:rPr>
          <w:rFonts w:ascii="Arial" w:cs="Arial" w:eastAsia="Arial" w:hAnsi="Arial"/>
          <w:sz w:val="16"/>
          <w:szCs w:val="16"/>
          <w:color w:val="auto"/>
        </w:rPr>
        <w:t>allege with particularity the efforts made by the</w:t>
      </w:r>
      <w:r>
        <w:rPr>
          <w:rFonts w:ascii="Times New Roman" w:cs="Times New Roman" w:eastAsia="Times New Roman" w:hAnsi="Times New Roman"/>
          <w:sz w:val="22"/>
          <w:szCs w:val="22"/>
          <w:color w:val="auto"/>
        </w:rPr>
        <w:t xml:space="preserve"> </w:t>
      </w:r>
      <w:r>
        <w:rPr>
          <w:rFonts w:ascii="Arial" w:cs="Arial" w:eastAsia="Arial" w:hAnsi="Arial"/>
          <w:sz w:val="16"/>
          <w:szCs w:val="16"/>
          <w:color w:val="auto"/>
        </w:rPr>
        <w:t>plaintiff to obtain the action the plaintiff desires from the directors and the reasons for the plaintiff’s</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 xml:space="preserve">failure to obtain the action; or </w:t>
      </w:r>
      <w:r>
        <w:rPr>
          <w:rFonts w:ascii="Times New Roman" w:cs="Times New Roman" w:eastAsia="Times New Roman" w:hAnsi="Times New Roman"/>
          <w:sz w:val="21"/>
          <w:szCs w:val="21"/>
          <w:color w:val="auto"/>
        </w:rPr>
        <w:t>•</w:t>
      </w:r>
      <w:r>
        <w:rPr>
          <w:rFonts w:ascii="Arial" w:cs="Arial" w:eastAsia="Arial" w:hAnsi="Arial"/>
          <w:sz w:val="16"/>
          <w:szCs w:val="16"/>
          <w:color w:val="auto"/>
        </w:rPr>
        <w:t>state the reasons for not making the effort.</w:t>
      </w:r>
    </w:p>
    <w:p>
      <w:pPr>
        <w:spacing w:after="0" w:line="205"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Additionally, the plaintiff must remain a stockholder through the duration of the derivative suit. The action will not be dismissed or compromised without the approval of the Delaware Court of Chancery.</w:t>
      </w:r>
    </w:p>
    <w:p>
      <w:pPr>
        <w:spacing w:after="0" w:line="200" w:lineRule="exact"/>
        <w:rPr>
          <w:sz w:val="20"/>
          <w:szCs w:val="20"/>
          <w:color w:val="auto"/>
        </w:rPr>
      </w:pPr>
    </w:p>
    <w:p>
      <w:pPr>
        <w:sectPr>
          <w:pgSz w:w="11900" w:h="16838" w:orient="portrait"/>
          <w:cols w:equalWidth="0" w:num="2">
            <w:col w:w="7320" w:space="140"/>
            <w:col w:w="372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AMERICAN DEPOSITARY SHARES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w:t>
      </w:r>
    </w:p>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providing you with a summary description of the material terms of our ADSs and of the material rights of owners of our ADSs. Please remember that summaries by their nature lack the precision of the information summarized and that the rights and obligations of an owner of ADSs will be determined by reference to the terms of the deposit agreement and not by this summary. We urge you to review the deposit agreement in its entirety. We have registered an aggregate total of 250,000,000 of our ADSs with the SEC under registration statements on Form F-6 (Reg. No. 333-217353 and No. 333-270342), or the F-6 Registration Statements.</w:t>
      </w:r>
    </w:p>
    <w:p>
      <w:pPr>
        <w:spacing w:after="0" w:line="8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Citibank, N.A., or Citibank, has agreed to act as the depositary for our ADSs. Citibank's depositary offices are located at 388 Greenwich Street, New York, New York 10013. ADSs represent ownership interests in securities that are on deposit with the depositary. ADSs may be represented by certificates that are commonly known as American Depositary Receipts, or ADRs. The depositary typically appoints a custodian to safekeep the securities on deposit. In this case, the custodian is Citibank, N.A., London Branch, located at 25 Canada Square, Canary Wharf, London, E14 5LB, United Kingdom.</w:t>
      </w:r>
    </w:p>
    <w:p>
      <w:pPr>
        <w:spacing w:after="0" w:line="85" w:lineRule="exact"/>
        <w:rPr>
          <w:sz w:val="20"/>
          <w:szCs w:val="20"/>
          <w:color w:val="auto"/>
        </w:rPr>
      </w:pPr>
    </w:p>
    <w:p>
      <w:pPr>
        <w:ind w:right="160"/>
        <w:spacing w:after="0" w:line="287" w:lineRule="auto"/>
        <w:rPr>
          <w:sz w:val="20"/>
          <w:szCs w:val="20"/>
          <w:color w:val="auto"/>
        </w:rPr>
      </w:pPr>
      <w:r>
        <w:rPr>
          <w:rFonts w:ascii="Arial" w:cs="Arial" w:eastAsia="Arial" w:hAnsi="Arial"/>
          <w:sz w:val="18"/>
          <w:szCs w:val="18"/>
          <w:color w:val="auto"/>
        </w:rPr>
        <w:t>We have appointed Citibank as depositary pursuant to a deposit agreement. A copy of the deposit agreement is on file with the SEC under cover of the F-6 Registration Statements. You may obtain a copy of the deposit agreement from the SEC's website (www.sec.gov).</w:t>
      </w:r>
    </w:p>
    <w:p>
      <w:pPr>
        <w:spacing w:after="0" w:line="72"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Each ADS represents the right to receive, and to exercise the beneficial ownership interests in, eight of our ordinary shares that are on deposit with the depositary and/or custodian. An ADS also represents the right to receive, and to exercise the beneficial interests in, any other property received by the depositary or the custodian on behalf of the owner of the ADS but that has not been distributed to the owners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80"/>
          </w:cols>
          <w:pgMar w:left="320" w:top="1440" w:right="399" w:bottom="1440" w:gutter="0" w:footer="0" w:header="0"/>
          <w:type w:val="continuous"/>
        </w:sectPr>
      </w:pPr>
    </w:p>
    <w:bookmarkStart w:id="151" w:name="page152"/>
    <w:bookmarkEnd w:id="151"/>
    <w:p>
      <w:pPr>
        <w:spacing w:after="0" w:line="9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ADSs because of legal restrictions or practical considerations. We and the depositary may agree to change the ADS-to-ordinary share ratio by amending the deposit agreement. This amendment may give rise to, or change, the depositary fees payable by ADS owners. The custodian, the depositary and their respective nominees will hold all deposited property for the benefit of the holders and beneficial owners of ADSs. The deposited property does not constitute the proprietary assets of the depositary, the custodian or their nominees. Beneficial ownership in the deposited property will, under the terms of the deposit agreement, be vested in the beneficial owners of the ADSs. The depositary, the custodian and their respective nominees will be the record holders of the deposited property represented by the ADSs for the benefit of the holders and beneficial owners of the corresponding ADSs. A beneficial owner of ADSs may or may not be the holder of ADSs. Beneficial owners of ADSs will be able to receive, and to exercise beneficial ownership interests in, the deposited property only through the registered holders of the ADSs, the registered holders of the ADSs (on behalf of the applicable ADS owners) only through the depositary, and the depositary (on behalf of the owners of the corresponding ADSs) directly, or indirectly, through the custodian or their respective nominees, in each case upon the terms of the deposit agreement.</w:t>
      </w:r>
    </w:p>
    <w:p>
      <w:pPr>
        <w:spacing w:after="0" w:line="10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you become an owner of ADSs, you will become a party to the deposit agreement and therefore will be bound to its terms and to the terms of any ADR that represents your ADSs. The deposit agreement and the ADR specify our rights and obligations as well as your rights and obligations as owner of ADSs and those of the depositary. As an ADS holder you appoint the depositary to act on your behalf in certain circumstances. The deposit agreement and the ADRs are governed by New York law. However, our obligations to the holders of ordinary shares will continue to be governed by the laws of England and Wales, which may be different from the laws in the United States.</w:t>
      </w:r>
    </w:p>
    <w:p>
      <w:pPr>
        <w:spacing w:after="0" w:line="85"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In addition, applicable laws and regulations may require you to satisfy reporting requirements and obtain regulatory approvals in certain circumstances. You are solely responsible for complying with such reporting requirements and obtaining such approvals. Neither the depositary, the custodian, us or any of their or our respective agents or affiliates shall be required to take any actions whatsoever on your behalf to satisfy such reporting requirements or obtain such regulatory approvals under applicable laws and regulations.</w:t>
      </w:r>
    </w:p>
    <w:p>
      <w:pPr>
        <w:spacing w:after="0" w:line="8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an owner of ADSs, we will not treat you as one of our shareholders and you will not have direct shareholder rights. The depositary will hold on your behalf the shareholder rights attached to the ordinary shares underlying your ADSs. As an owner of ADSs you will be able to exercise the shareholders rights for the ordinary shares represented by your ADSs through the depositary only to the extent contemplated in the deposit agreement. To exercise any shareholder rights not contemplated in the deposit agreement you will, as an ADS owner, need to arrange for the cancellation of your ADSs and become a direct shareholder.</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As an owner of ADSs, you may hold your ADSs either by means of an ADR registered in your name, through a brokerage or safekeeping account, or through an account established by the depositary in your name reflecting the registration of uncertificated ADSs directly on the books of the depositary (commonly referred to as the direct registration system, or DRS). The DRS reflects the uncertificated (book-entry) registration of ownership of ADSs by the depositary. Under the DRS, ownership of ADSs is evidenced by periodic statements issued by the depositary to the holders of the ADSs. The DRS includes automated transfers between the depositary and The Depository Trust Company, or DTC, the central book-entry clearing and settlement system for equity securities in the United States. If you decide to hold your ADSs through your brokerage or safekeeping account, you must rely on the procedures of your broker or bank to assert your rights as an ADS owner. Banks and brokers typically hold securities such as the ADSs through clearing and settlement systems such as DTC. The procedures of such clearing and settlement systems may limit your ability to exercise your rights as an owner of ADSs. Please consult with your broker or bank if you have any questions concerning these limitations and procedures. All ADSs held through DTC will be registered in the name of a nominee of DTC. This summary description assumes you have opted to own the ADSs directly by means of an ADS registered in your name and, as such, we will refer to you as the "holder." When we refer to "you," we assume the reader owns ADSs and will own ADSs at the relevant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40"/>
          </w:cols>
          <w:pgMar w:left="320" w:top="1440" w:right="339" w:bottom="1440" w:gutter="0" w:footer="0" w:header="0"/>
        </w:sectPr>
      </w:pPr>
    </w:p>
    <w:bookmarkStart w:id="152" w:name="page153"/>
    <w:bookmarkEnd w:id="152"/>
    <w:p>
      <w:pPr>
        <w:spacing w:after="0" w:line="99" w:lineRule="exact"/>
        <w:rPr>
          <w:sz w:val="20"/>
          <w:szCs w:val="20"/>
          <w:color w:val="auto"/>
        </w:rPr>
      </w:pPr>
    </w:p>
    <w:p>
      <w:pPr>
        <w:ind w:left="100" w:right="40"/>
        <w:spacing w:after="0" w:line="259" w:lineRule="auto"/>
        <w:rPr>
          <w:sz w:val="20"/>
          <w:szCs w:val="20"/>
          <w:color w:val="auto"/>
        </w:rPr>
      </w:pPr>
      <w:r>
        <w:rPr>
          <w:rFonts w:ascii="Arial" w:cs="Arial" w:eastAsia="Arial" w:hAnsi="Arial"/>
          <w:sz w:val="18"/>
          <w:szCs w:val="18"/>
          <w:color w:val="auto"/>
        </w:rPr>
        <w:t>The registration of the ordinary shares in the name of the depositary or the custodian shall, to the maximum extent permitted by applicable law, vest in the depositary or the custodian the record ownership in the applicable ordinary shares with the beneficial ownership rights and interests in such ordinary shares being at all times vested with the beneficial owners of the ADSs representing the ordinary shares. The depositary or the custodian shall at all times be entitled to exercise the beneficial ownership rights in all deposited property, in each case only on behalf of the holders and beneficial owners of the ADSs representing the deposited property.</w:t>
      </w:r>
    </w:p>
    <w:p>
      <w:pPr>
        <w:spacing w:after="0" w:line="9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Dividends and Other Distributions</w:t>
      </w:r>
    </w:p>
    <w:p>
      <w:pPr>
        <w:spacing w:after="0" w:line="131" w:lineRule="exact"/>
        <w:rPr>
          <w:sz w:val="20"/>
          <w:szCs w:val="20"/>
          <w:color w:val="auto"/>
        </w:rPr>
      </w:pPr>
    </w:p>
    <w:p>
      <w:pPr>
        <w:ind w:left="100" w:right="180"/>
        <w:spacing w:after="0" w:line="262" w:lineRule="auto"/>
        <w:rPr>
          <w:sz w:val="20"/>
          <w:szCs w:val="20"/>
          <w:color w:val="auto"/>
        </w:rPr>
      </w:pPr>
      <w:r>
        <w:rPr>
          <w:rFonts w:ascii="Arial" w:cs="Arial" w:eastAsia="Arial" w:hAnsi="Arial"/>
          <w:sz w:val="18"/>
          <w:szCs w:val="18"/>
          <w:color w:val="auto"/>
        </w:rPr>
        <w:t>As a holder of ADSs, you generally have the right to receive the distributions we make on the ordinary shares deposited with the custodian. Your receipt of these distributions may be limited, however, by practical considerations and legal limitations. Holders of ADSs will receive such distributions under the terms of the deposit agreement in proportion to the number of ADSs held as of the specified record date, after deducting the applicable fees, taxes and expenses.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Cash</w:t>
      </w:r>
    </w:p>
    <w:p>
      <w:pPr>
        <w:spacing w:after="0" w:line="142" w:lineRule="exact"/>
        <w:rPr>
          <w:sz w:val="20"/>
          <w:szCs w:val="20"/>
          <w:color w:val="auto"/>
        </w:rPr>
      </w:pPr>
    </w:p>
    <w:p>
      <w:pPr>
        <w:jc w:val="both"/>
        <w:ind w:left="100" w:right="260"/>
        <w:spacing w:after="0" w:line="268" w:lineRule="auto"/>
        <w:rPr>
          <w:sz w:val="20"/>
          <w:szCs w:val="20"/>
          <w:color w:val="auto"/>
        </w:rPr>
      </w:pPr>
      <w:r>
        <w:rPr>
          <w:rFonts w:ascii="Arial" w:cs="Arial" w:eastAsia="Arial" w:hAnsi="Arial"/>
          <w:sz w:val="18"/>
          <w:szCs w:val="18"/>
          <w:color w:val="auto"/>
        </w:rPr>
        <w:t>Whenever we make a cash distribution for the ordinary shares on deposit with the custodian, we will deposit the funds with the custodian. Upon receipt of confirmation of the deposit of the requisite funds, the depositary will arrange for the funds to be converted into U.S. dollars and for the distribution of the U.S. dollars to the holders, subject to the laws and regulations of England and Wales.</w:t>
      </w:r>
    </w:p>
    <w:p>
      <w:pPr>
        <w:spacing w:after="0" w:line="76" w:lineRule="exact"/>
        <w:rPr>
          <w:sz w:val="20"/>
          <w:szCs w:val="20"/>
          <w:color w:val="auto"/>
        </w:rPr>
      </w:pPr>
    </w:p>
    <w:p>
      <w:pPr>
        <w:ind w:left="100" w:right="80"/>
        <w:spacing w:after="0" w:line="268" w:lineRule="auto"/>
        <w:rPr>
          <w:sz w:val="20"/>
          <w:szCs w:val="20"/>
          <w:color w:val="auto"/>
        </w:rPr>
      </w:pPr>
      <w:r>
        <w:rPr>
          <w:rFonts w:ascii="Arial" w:cs="Arial" w:eastAsia="Arial" w:hAnsi="Arial"/>
          <w:sz w:val="18"/>
          <w:szCs w:val="18"/>
          <w:color w:val="auto"/>
        </w:rPr>
        <w:t>The conversion into U.S. dollars will take place only if practicable and if the U.S. dollars are transferable to the United States. The depositary will apply the same method for distributing the proceeds of the sale of any property (such as undistributed rights) held by the custodian in respect of ordinary shares on deposit.</w:t>
      </w:r>
    </w:p>
    <w:p>
      <w:pPr>
        <w:spacing w:after="0" w:line="76" w:lineRule="exact"/>
        <w:rPr>
          <w:sz w:val="20"/>
          <w:szCs w:val="20"/>
          <w:color w:val="auto"/>
        </w:rPr>
      </w:pPr>
    </w:p>
    <w:p>
      <w:pPr>
        <w:ind w:left="100" w:right="40"/>
        <w:spacing w:after="0" w:line="262" w:lineRule="auto"/>
        <w:rPr>
          <w:sz w:val="20"/>
          <w:szCs w:val="20"/>
          <w:color w:val="auto"/>
        </w:rPr>
      </w:pPr>
      <w:r>
        <w:rPr>
          <w:rFonts w:ascii="Arial" w:cs="Arial" w:eastAsia="Arial" w:hAnsi="Arial"/>
          <w:sz w:val="18"/>
          <w:szCs w:val="18"/>
          <w:color w:val="auto"/>
        </w:rPr>
        <w:t>The distribution of cash will be made net of the fees, expenses, taxes and governmental charges payable by holders under the terms of the deposit agreement. The depositary will hold any cash amounts it is unable to distribute in a non-interest bearing account for the benefit of the applicable holders and beneficial owners of ADSs until the distribution can be effected or the funds that the depositary holds must be escheated as unclaimed property in accordance with the laws of the relevant states of the United States.</w:t>
      </w:r>
    </w:p>
    <w:p>
      <w:pPr>
        <w:spacing w:after="0" w:line="97" w:lineRule="exact"/>
        <w:rPr>
          <w:sz w:val="20"/>
          <w:szCs w:val="20"/>
          <w:color w:val="auto"/>
        </w:rPr>
      </w:pPr>
    </w:p>
    <w:p>
      <w:pPr>
        <w:ind w:left="100"/>
        <w:spacing w:after="0"/>
        <w:rPr>
          <w:sz w:val="20"/>
          <w:szCs w:val="20"/>
          <w:color w:val="auto"/>
        </w:rPr>
      </w:pPr>
      <w:r>
        <w:rPr>
          <w:rFonts w:ascii="Arial" w:cs="Arial" w:eastAsia="Arial" w:hAnsi="Arial"/>
          <w:sz w:val="18"/>
          <w:szCs w:val="18"/>
          <w:b w:val="1"/>
          <w:bCs w:val="1"/>
          <w:i w:val="1"/>
          <w:iCs w:val="1"/>
          <w:color w:val="auto"/>
        </w:rPr>
        <w:t>Distributions of Shares</w:t>
      </w:r>
    </w:p>
    <w:p>
      <w:pPr>
        <w:spacing w:after="0" w:line="129" w:lineRule="exact"/>
        <w:rPr>
          <w:sz w:val="20"/>
          <w:szCs w:val="20"/>
          <w:color w:val="auto"/>
        </w:rPr>
      </w:pPr>
    </w:p>
    <w:p>
      <w:pPr>
        <w:ind w:left="100"/>
        <w:spacing w:after="0" w:line="259" w:lineRule="auto"/>
        <w:rPr>
          <w:sz w:val="20"/>
          <w:szCs w:val="20"/>
          <w:color w:val="auto"/>
        </w:rPr>
      </w:pPr>
      <w:r>
        <w:rPr>
          <w:rFonts w:ascii="Arial" w:cs="Arial" w:eastAsia="Arial" w:hAnsi="Arial"/>
          <w:sz w:val="18"/>
          <w:szCs w:val="18"/>
          <w:color w:val="auto"/>
        </w:rPr>
        <w:t>Whenever we make a free distribution of ordinary shares for the ordinary shares on deposit with the custodian, we will deposit the applicable number of ordinary shares with the custodian. Upon receipt of confirmation of such deposit, the depositary will either distribute to holders new ADSs representing the ordinary shares deposited or modify the ADS-to-ordinary shares ratio, in which case each ADS you hold will represent rights and interests in the additional ordinary shares so deposited. Only whole new ADSs will be distributed. Fractional entitlements will be sold and the proceeds of such sale will be distributed as in the case of a cash distribution.</w:t>
      </w:r>
    </w:p>
    <w:p>
      <w:pPr>
        <w:spacing w:after="0" w:line="85" w:lineRule="exact"/>
        <w:rPr>
          <w:sz w:val="20"/>
          <w:szCs w:val="20"/>
          <w:color w:val="auto"/>
        </w:rPr>
      </w:pPr>
    </w:p>
    <w:p>
      <w:pPr>
        <w:ind w:left="100"/>
        <w:spacing w:after="0" w:line="268" w:lineRule="auto"/>
        <w:rPr>
          <w:sz w:val="20"/>
          <w:szCs w:val="20"/>
          <w:color w:val="auto"/>
        </w:rPr>
      </w:pPr>
      <w:r>
        <w:rPr>
          <w:rFonts w:ascii="Arial" w:cs="Arial" w:eastAsia="Arial" w:hAnsi="Arial"/>
          <w:sz w:val="18"/>
          <w:szCs w:val="18"/>
          <w:color w:val="auto"/>
        </w:rPr>
        <w:t>The distribution of new ADSs or the modification of the ADS-to-ordinary shares ratio upon a distribution of ordinary shares will be made net of the fees, expenses, taxes and governmental charges payable by holders under the terms of the deposit agreement. In order to pay such taxes or governmental charges, the depositary may sell all or a portion of the new ordinary shares so distributed.</w:t>
      </w:r>
    </w:p>
    <w:p>
      <w:pPr>
        <w:spacing w:after="0" w:line="90" w:lineRule="exact"/>
        <w:rPr>
          <w:sz w:val="20"/>
          <w:szCs w:val="20"/>
          <w:color w:val="auto"/>
        </w:rPr>
      </w:pPr>
    </w:p>
    <w:p>
      <w:pPr>
        <w:ind w:left="100" w:right="80"/>
        <w:spacing w:after="0" w:line="268" w:lineRule="auto"/>
        <w:rPr>
          <w:sz w:val="20"/>
          <w:szCs w:val="20"/>
          <w:color w:val="auto"/>
        </w:rPr>
      </w:pPr>
      <w:r>
        <w:rPr>
          <w:rFonts w:ascii="Arial" w:cs="Arial" w:eastAsia="Arial" w:hAnsi="Arial"/>
          <w:sz w:val="18"/>
          <w:szCs w:val="18"/>
          <w:color w:val="auto"/>
        </w:rPr>
        <w:t>No such distribution of new ADSs will be made if it would violate a law (</w:t>
      </w:r>
      <w:r>
        <w:rPr>
          <w:rFonts w:ascii="Arial" w:cs="Arial" w:eastAsia="Arial" w:hAnsi="Arial"/>
          <w:sz w:val="18"/>
          <w:szCs w:val="18"/>
          <w:i w:val="1"/>
          <w:iCs w:val="1"/>
          <w:color w:val="auto"/>
        </w:rPr>
        <w:t>e.g.</w:t>
      </w:r>
      <w:r>
        <w:rPr>
          <w:rFonts w:ascii="Arial" w:cs="Arial" w:eastAsia="Arial" w:hAnsi="Arial"/>
          <w:sz w:val="18"/>
          <w:szCs w:val="18"/>
          <w:color w:val="auto"/>
        </w:rPr>
        <w:t>, the U.S. securities laws) or if it is not operationally practicable. If the depositary does not distribute new ADSs as described above, it may sell the ordinary shares received upon the terms described in the deposit agreement and will distribute the proceeds of the sale as in the case of a distribution of cash.</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of Rights</w:t>
      </w:r>
    </w:p>
    <w:p>
      <w:pPr>
        <w:spacing w:after="0" w:line="129" w:lineRule="exact"/>
        <w:rPr>
          <w:sz w:val="20"/>
          <w:szCs w:val="20"/>
          <w:color w:val="auto"/>
        </w:rPr>
      </w:pPr>
    </w:p>
    <w:p>
      <w:pPr>
        <w:ind w:left="100" w:right="260"/>
        <w:spacing w:after="0" w:line="287" w:lineRule="auto"/>
        <w:rPr>
          <w:sz w:val="20"/>
          <w:szCs w:val="20"/>
          <w:color w:val="auto"/>
        </w:rPr>
      </w:pPr>
      <w:r>
        <w:rPr>
          <w:rFonts w:ascii="Arial" w:cs="Arial" w:eastAsia="Arial" w:hAnsi="Arial"/>
          <w:sz w:val="18"/>
          <w:szCs w:val="18"/>
          <w:color w:val="auto"/>
        </w:rPr>
        <w:t>Whenever we intend to distribute rights to purchase additional ordinary shares, we will give prior notice to the depositary and we will assist the depositary in determining whether it is lawful and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40"/>
          </w:cols>
          <w:pgMar w:left="220" w:top="1440" w:right="339" w:bottom="1440" w:gutter="0" w:footer="0" w:header="0"/>
        </w:sectPr>
      </w:pPr>
    </w:p>
    <w:bookmarkStart w:id="153" w:name="page154"/>
    <w:bookmarkEnd w:id="153"/>
    <w:p>
      <w:pPr>
        <w:spacing w:after="0" w:line="9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practicable to distribute rights to purchase additional ADSs to holders.</w:t>
      </w:r>
    </w:p>
    <w:p>
      <w:pPr>
        <w:spacing w:after="0" w:line="144" w:lineRule="exact"/>
        <w:rPr>
          <w:sz w:val="20"/>
          <w:szCs w:val="20"/>
          <w:color w:val="auto"/>
        </w:rPr>
      </w:pPr>
    </w:p>
    <w:p>
      <w:pPr>
        <w:ind w:left="100" w:right="60"/>
        <w:spacing w:after="0" w:line="257" w:lineRule="auto"/>
        <w:rPr>
          <w:sz w:val="20"/>
          <w:szCs w:val="20"/>
          <w:color w:val="auto"/>
        </w:rPr>
      </w:pPr>
      <w:r>
        <w:rPr>
          <w:rFonts w:ascii="Arial" w:cs="Arial" w:eastAsia="Arial" w:hAnsi="Arial"/>
          <w:sz w:val="18"/>
          <w:szCs w:val="18"/>
          <w:color w:val="auto"/>
        </w:rPr>
        <w:t>The depositary will establish procedures to distribute rights to purchase additional ADSs to holders and to enable such holders to exercise such rights if it is lawful and reasonably practicable to make the rights available to holders of ADSs, and if we provide all of the documentation contemplated in the deposit agreement (such as opinions to address the lawfulness of the transaction). You may have to pay fees, expenses, taxes and other governmental charges to subscribe for the new ADSs upon the exercise of your rights. The depositary is not obligated to establish procedures to facilitate the distribution and exercise by holders of rights to purchase new ordinary shares other than in the form of ADSs.</w:t>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rights to you if:</w:t>
      </w:r>
    </w:p>
    <w:p>
      <w:pPr>
        <w:spacing w:after="0" w:line="157" w:lineRule="exact"/>
        <w:rPr>
          <w:sz w:val="20"/>
          <w:szCs w:val="20"/>
          <w:color w:val="auto"/>
        </w:rPr>
      </w:pPr>
    </w:p>
    <w:p>
      <w:pPr>
        <w:ind w:left="420" w:hanging="312"/>
        <w:spacing w:after="0"/>
        <w:tabs>
          <w:tab w:leader="none" w:pos="420" w:val="left"/>
        </w:tabs>
        <w:numPr>
          <w:ilvl w:val="0"/>
          <w:numId w:val="69"/>
        </w:numPr>
        <w:rPr>
          <w:rFonts w:ascii="Times New Roman" w:cs="Times New Roman" w:eastAsia="Times New Roman" w:hAnsi="Times New Roman"/>
          <w:sz w:val="22"/>
          <w:szCs w:val="22"/>
          <w:color w:val="auto"/>
        </w:rPr>
      </w:pPr>
      <w:r>
        <w:rPr>
          <w:rFonts w:ascii="Arial" w:cs="Arial" w:eastAsia="Arial" w:hAnsi="Arial"/>
          <w:sz w:val="18"/>
          <w:szCs w:val="18"/>
          <w:color w:val="auto"/>
        </w:rPr>
        <w:t>we do not timely request that the rights be distributed to you or we request that the rights not be distributed to you; or</w:t>
      </w:r>
    </w:p>
    <w:p>
      <w:pPr>
        <w:spacing w:after="0" w:line="138" w:lineRule="exact"/>
        <w:rPr>
          <w:rFonts w:ascii="Times New Roman" w:cs="Times New Roman" w:eastAsia="Times New Roman" w:hAnsi="Times New Roman"/>
          <w:sz w:val="22"/>
          <w:szCs w:val="22"/>
          <w:color w:val="auto"/>
        </w:rPr>
      </w:pPr>
    </w:p>
    <w:p>
      <w:pPr>
        <w:ind w:left="420" w:hanging="312"/>
        <w:spacing w:after="0"/>
        <w:tabs>
          <w:tab w:leader="none" w:pos="420" w:val="left"/>
        </w:tabs>
        <w:numPr>
          <w:ilvl w:val="0"/>
          <w:numId w:val="69"/>
        </w:numPr>
        <w:rPr>
          <w:rFonts w:ascii="Times New Roman" w:cs="Times New Roman" w:eastAsia="Times New Roman" w:hAnsi="Times New Roman"/>
          <w:sz w:val="22"/>
          <w:szCs w:val="22"/>
          <w:color w:val="auto"/>
        </w:rPr>
      </w:pPr>
      <w:r>
        <w:rPr>
          <w:rFonts w:ascii="Arial" w:cs="Arial" w:eastAsia="Arial" w:hAnsi="Arial"/>
          <w:sz w:val="18"/>
          <w:szCs w:val="18"/>
          <w:color w:val="auto"/>
        </w:rPr>
        <w:t>we fail to deliver satisfactory documents to the depositary; or</w:t>
      </w:r>
    </w:p>
    <w:p>
      <w:pPr>
        <w:spacing w:after="0" w:line="125" w:lineRule="exact"/>
        <w:rPr>
          <w:rFonts w:ascii="Times New Roman" w:cs="Times New Roman" w:eastAsia="Times New Roman" w:hAnsi="Times New Roman"/>
          <w:sz w:val="22"/>
          <w:szCs w:val="22"/>
          <w:color w:val="auto"/>
        </w:rPr>
      </w:pPr>
    </w:p>
    <w:p>
      <w:pPr>
        <w:ind w:left="420" w:hanging="312"/>
        <w:spacing w:after="0"/>
        <w:tabs>
          <w:tab w:leader="none" w:pos="420" w:val="left"/>
        </w:tabs>
        <w:numPr>
          <w:ilvl w:val="0"/>
          <w:numId w:val="69"/>
        </w:numPr>
        <w:rPr>
          <w:rFonts w:ascii="Times New Roman" w:cs="Times New Roman" w:eastAsia="Times New Roman" w:hAnsi="Times New Roman"/>
          <w:sz w:val="22"/>
          <w:szCs w:val="22"/>
          <w:color w:val="auto"/>
        </w:rPr>
      </w:pPr>
      <w:r>
        <w:rPr>
          <w:rFonts w:ascii="Arial" w:cs="Arial" w:eastAsia="Arial" w:hAnsi="Arial"/>
          <w:sz w:val="18"/>
          <w:szCs w:val="18"/>
          <w:color w:val="auto"/>
        </w:rPr>
        <w:t>it is not reasonably practicable to distribute the rights.</w:t>
      </w:r>
    </w:p>
    <w:p>
      <w:pPr>
        <w:spacing w:after="0" w:line="112" w:lineRule="exact"/>
        <w:rPr>
          <w:sz w:val="20"/>
          <w:szCs w:val="20"/>
          <w:color w:val="auto"/>
        </w:rPr>
      </w:pPr>
    </w:p>
    <w:p>
      <w:pPr>
        <w:jc w:val="both"/>
        <w:ind w:left="100" w:right="140"/>
        <w:spacing w:after="0" w:line="268" w:lineRule="auto"/>
        <w:rPr>
          <w:sz w:val="20"/>
          <w:szCs w:val="20"/>
          <w:color w:val="auto"/>
        </w:rPr>
      </w:pPr>
      <w:r>
        <w:rPr>
          <w:rFonts w:ascii="Arial" w:cs="Arial" w:eastAsia="Arial" w:hAnsi="Arial"/>
          <w:sz w:val="18"/>
          <w:szCs w:val="18"/>
          <w:color w:val="auto"/>
        </w:rPr>
        <w:t>The depositary will sell the rights that are not exercised or not distributed if such sale is lawful and reasonably practicable. The proceeds of such sale will be distributed to holders as in the case of a cash distribution. If the depositary is unable to sell the rights, it will allow the rights to lapse.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Elective Distributions</w:t>
      </w:r>
    </w:p>
    <w:p>
      <w:pPr>
        <w:spacing w:after="0" w:line="142" w:lineRule="exact"/>
        <w:rPr>
          <w:sz w:val="20"/>
          <w:szCs w:val="20"/>
          <w:color w:val="auto"/>
        </w:rPr>
      </w:pPr>
    </w:p>
    <w:p>
      <w:pPr>
        <w:jc w:val="both"/>
        <w:ind w:left="100" w:right="200"/>
        <w:spacing w:after="0" w:line="268" w:lineRule="auto"/>
        <w:rPr>
          <w:sz w:val="20"/>
          <w:szCs w:val="20"/>
          <w:color w:val="auto"/>
        </w:rPr>
      </w:pPr>
      <w:r>
        <w:rPr>
          <w:rFonts w:ascii="Arial" w:cs="Arial" w:eastAsia="Arial" w:hAnsi="Arial"/>
          <w:sz w:val="18"/>
          <w:szCs w:val="18"/>
          <w:color w:val="auto"/>
        </w:rPr>
        <w:t>Whenever we intend to distribute a dividend payable at the election of shareholders either in cash or in additional shares, we will give prior notice thereof to the depositary and will indicate whether we wish the elective distribution to be made available to you. In such case, we will assist the depositary in determining whether such distribution is lawful and reasonably practicable.</w:t>
      </w:r>
    </w:p>
    <w:p>
      <w:pPr>
        <w:spacing w:after="0" w:line="76" w:lineRule="exact"/>
        <w:rPr>
          <w:sz w:val="20"/>
          <w:szCs w:val="20"/>
          <w:color w:val="auto"/>
        </w:rPr>
      </w:pPr>
    </w:p>
    <w:p>
      <w:pPr>
        <w:ind w:left="100" w:right="40"/>
        <w:spacing w:after="0" w:line="268" w:lineRule="auto"/>
        <w:rPr>
          <w:sz w:val="20"/>
          <w:szCs w:val="20"/>
          <w:color w:val="auto"/>
        </w:rPr>
      </w:pPr>
      <w:r>
        <w:rPr>
          <w:rFonts w:ascii="Arial" w:cs="Arial" w:eastAsia="Arial" w:hAnsi="Arial"/>
          <w:sz w:val="18"/>
          <w:szCs w:val="18"/>
          <w:color w:val="auto"/>
        </w:rPr>
        <w:t>The depositary will make the election available to you only if it is reasonably practicable and if we have provided all of the documentation contemplated in the deposit agreement. In such case, the depositary will establish procedures to enable you to elect to receive either cash or additional ADSs, in each case as described in the deposit agreement.</w:t>
      </w:r>
    </w:p>
    <w:p>
      <w:pPr>
        <w:spacing w:after="0" w:line="76" w:lineRule="exact"/>
        <w:rPr>
          <w:sz w:val="20"/>
          <w:szCs w:val="20"/>
          <w:color w:val="auto"/>
        </w:rPr>
      </w:pPr>
    </w:p>
    <w:p>
      <w:pPr>
        <w:ind w:left="100" w:right="60"/>
        <w:spacing w:after="0" w:line="287" w:lineRule="auto"/>
        <w:rPr>
          <w:sz w:val="20"/>
          <w:szCs w:val="20"/>
          <w:color w:val="auto"/>
        </w:rPr>
      </w:pPr>
      <w:r>
        <w:rPr>
          <w:rFonts w:ascii="Arial" w:cs="Arial" w:eastAsia="Arial" w:hAnsi="Arial"/>
          <w:sz w:val="18"/>
          <w:szCs w:val="18"/>
          <w:color w:val="auto"/>
        </w:rPr>
        <w:t>If the election is not made available to you, you will receive either cash or additional ADSs, depending on what a shareholder in England and Wales would receive upon failing to make an election, as more fully described in the deposit agreement.</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Distributions</w:t>
      </w:r>
    </w:p>
    <w:p>
      <w:pPr>
        <w:spacing w:after="0" w:line="129" w:lineRule="exact"/>
        <w:rPr>
          <w:sz w:val="20"/>
          <w:szCs w:val="20"/>
          <w:color w:val="auto"/>
        </w:rPr>
      </w:pPr>
    </w:p>
    <w:p>
      <w:pPr>
        <w:jc w:val="both"/>
        <w:ind w:left="100"/>
        <w:spacing w:after="0" w:line="268" w:lineRule="auto"/>
        <w:rPr>
          <w:sz w:val="20"/>
          <w:szCs w:val="20"/>
          <w:color w:val="auto"/>
        </w:rPr>
      </w:pPr>
      <w:r>
        <w:rPr>
          <w:rFonts w:ascii="Arial" w:cs="Arial" w:eastAsia="Arial" w:hAnsi="Arial"/>
          <w:sz w:val="18"/>
          <w:szCs w:val="18"/>
          <w:color w:val="auto"/>
        </w:rPr>
        <w:t>Whenever we intend to distribute property other than cash, ordinary shares or rights to purchase additional ordinary shares, we will notify the depositary in advance and will indicate whether we wish such distribution to be made to you. If so, we will assist the depositary in determining whether such distribution to holders is lawful and reasonably practicable.</w:t>
      </w:r>
    </w:p>
    <w:p>
      <w:pPr>
        <w:spacing w:after="0" w:line="76" w:lineRule="exact"/>
        <w:rPr>
          <w:sz w:val="20"/>
          <w:szCs w:val="20"/>
          <w:color w:val="auto"/>
        </w:rPr>
      </w:pPr>
    </w:p>
    <w:p>
      <w:pPr>
        <w:ind w:left="100" w:right="680"/>
        <w:spacing w:after="0" w:line="287" w:lineRule="auto"/>
        <w:rPr>
          <w:sz w:val="20"/>
          <w:szCs w:val="20"/>
          <w:color w:val="auto"/>
        </w:rPr>
      </w:pPr>
      <w:r>
        <w:rPr>
          <w:rFonts w:ascii="Arial" w:cs="Arial" w:eastAsia="Arial" w:hAnsi="Arial"/>
          <w:sz w:val="18"/>
          <w:szCs w:val="18"/>
          <w:color w:val="auto"/>
        </w:rPr>
        <w:t>If it is reasonably practicable to distribute such property to you and if we provide all of the documentation contemplated in the deposit agreement, the depositary will distribute the property to the holders in a manner it deems practicable.</w:t>
      </w:r>
    </w:p>
    <w:p>
      <w:pPr>
        <w:spacing w:after="0" w:line="58" w:lineRule="exact"/>
        <w:rPr>
          <w:sz w:val="20"/>
          <w:szCs w:val="20"/>
          <w:color w:val="auto"/>
        </w:rPr>
      </w:pPr>
    </w:p>
    <w:p>
      <w:pPr>
        <w:ind w:left="100" w:right="480"/>
        <w:spacing w:after="0" w:line="287" w:lineRule="auto"/>
        <w:rPr>
          <w:sz w:val="20"/>
          <w:szCs w:val="20"/>
          <w:color w:val="auto"/>
        </w:rPr>
      </w:pPr>
      <w:r>
        <w:rPr>
          <w:rFonts w:ascii="Arial" w:cs="Arial" w:eastAsia="Arial" w:hAnsi="Arial"/>
          <w:sz w:val="18"/>
          <w:szCs w:val="18"/>
          <w:color w:val="auto"/>
        </w:rPr>
        <w:t>The distribution will be made net of fees, expenses, taxes and governmental charges payable by holders under the terms of the deposit agreement. In order to pay such taxes and governmental charges, the depositary may sell all or a portion of the property received.</w:t>
      </w:r>
    </w:p>
    <w:p>
      <w:pPr>
        <w:spacing w:after="0" w:line="72"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The depositary will </w:t>
      </w:r>
      <w:r>
        <w:rPr>
          <w:rFonts w:ascii="Arial" w:cs="Arial" w:eastAsia="Arial" w:hAnsi="Arial"/>
          <w:sz w:val="18"/>
          <w:szCs w:val="18"/>
          <w:i w:val="1"/>
          <w:iCs w:val="1"/>
          <w:color w:val="auto"/>
        </w:rPr>
        <w:t>not</w:t>
      </w:r>
      <w:r>
        <w:rPr>
          <w:rFonts w:ascii="Arial" w:cs="Arial" w:eastAsia="Arial" w:hAnsi="Arial"/>
          <w:sz w:val="18"/>
          <w:szCs w:val="18"/>
          <w:color w:val="auto"/>
        </w:rPr>
        <w:t xml:space="preserve"> distribute the property to you and will sell the property if:</w:t>
      </w:r>
    </w:p>
    <w:p>
      <w:pPr>
        <w:spacing w:after="0" w:line="157" w:lineRule="exact"/>
        <w:rPr>
          <w:sz w:val="20"/>
          <w:szCs w:val="20"/>
          <w:color w:val="auto"/>
        </w:rPr>
      </w:pPr>
    </w:p>
    <w:p>
      <w:pPr>
        <w:ind w:left="420" w:hanging="312"/>
        <w:spacing w:after="0"/>
        <w:tabs>
          <w:tab w:leader="none" w:pos="420" w:val="left"/>
        </w:tabs>
        <w:numPr>
          <w:ilvl w:val="0"/>
          <w:numId w:val="70"/>
        </w:numPr>
        <w:rPr>
          <w:rFonts w:ascii="Times New Roman" w:cs="Times New Roman" w:eastAsia="Times New Roman" w:hAnsi="Times New Roman"/>
          <w:sz w:val="22"/>
          <w:szCs w:val="22"/>
          <w:color w:val="auto"/>
        </w:rPr>
      </w:pPr>
      <w:r>
        <w:rPr>
          <w:rFonts w:ascii="Arial" w:cs="Arial" w:eastAsia="Arial" w:hAnsi="Arial"/>
          <w:sz w:val="18"/>
          <w:szCs w:val="18"/>
          <w:color w:val="auto"/>
        </w:rPr>
        <w:t>we do not request that the property be distributed to you or if we ask that the property not be distributed to you;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40"/>
          </w:cols>
          <w:pgMar w:left="220" w:top="1440" w:right="339" w:bottom="1440" w:gutter="0" w:footer="0" w:header="0"/>
        </w:sectPr>
      </w:pPr>
    </w:p>
    <w:bookmarkStart w:id="154" w:name="page155"/>
    <w:bookmarkEnd w:id="154"/>
    <w:p>
      <w:pPr>
        <w:spacing w:after="0" w:line="125" w:lineRule="exact"/>
        <w:rPr>
          <w:sz w:val="20"/>
          <w:szCs w:val="20"/>
          <w:color w:val="auto"/>
        </w:rPr>
      </w:pPr>
    </w:p>
    <w:p>
      <w:pPr>
        <w:ind w:left="420" w:hanging="312"/>
        <w:spacing w:after="0"/>
        <w:tabs>
          <w:tab w:leader="none" w:pos="420" w:val="left"/>
        </w:tabs>
        <w:numPr>
          <w:ilvl w:val="0"/>
          <w:numId w:val="71"/>
        </w:numPr>
        <w:rPr>
          <w:rFonts w:ascii="Times New Roman" w:cs="Times New Roman" w:eastAsia="Times New Roman" w:hAnsi="Times New Roman"/>
          <w:sz w:val="22"/>
          <w:szCs w:val="22"/>
          <w:color w:val="auto"/>
        </w:rPr>
      </w:pPr>
      <w:r>
        <w:rPr>
          <w:rFonts w:ascii="Arial" w:cs="Arial" w:eastAsia="Arial" w:hAnsi="Arial"/>
          <w:sz w:val="18"/>
          <w:szCs w:val="18"/>
          <w:color w:val="auto"/>
        </w:rPr>
        <w:t>we do not deliver satisfactory documents to the depositary; or</w:t>
      </w:r>
    </w:p>
    <w:p>
      <w:pPr>
        <w:spacing w:after="0" w:line="152" w:lineRule="exact"/>
        <w:rPr>
          <w:rFonts w:ascii="Times New Roman" w:cs="Times New Roman" w:eastAsia="Times New Roman" w:hAnsi="Times New Roman"/>
          <w:sz w:val="22"/>
          <w:szCs w:val="22"/>
          <w:color w:val="auto"/>
        </w:rPr>
      </w:pPr>
    </w:p>
    <w:p>
      <w:pPr>
        <w:ind w:left="100" w:right="2960" w:firstLine="8"/>
        <w:spacing w:after="0" w:line="360" w:lineRule="auto"/>
        <w:tabs>
          <w:tab w:leader="none" w:pos="419" w:val="left"/>
        </w:tabs>
        <w:numPr>
          <w:ilvl w:val="0"/>
          <w:numId w:val="71"/>
        </w:numPr>
        <w:rPr>
          <w:rFonts w:ascii="Times New Roman" w:cs="Times New Roman" w:eastAsia="Times New Roman" w:hAnsi="Times New Roman"/>
          <w:sz w:val="22"/>
          <w:szCs w:val="22"/>
          <w:color w:val="auto"/>
        </w:rPr>
      </w:pPr>
      <w:r>
        <w:rPr>
          <w:rFonts w:ascii="Arial" w:cs="Arial" w:eastAsia="Arial" w:hAnsi="Arial"/>
          <w:sz w:val="18"/>
          <w:szCs w:val="18"/>
          <w:color w:val="auto"/>
        </w:rPr>
        <w:t>the depositary determines that all or a portion of the distribution to you is not reasonably practicable. The proceeds of such a sale will be distributed to holders as in the case of a cash distribution.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w:t>
      </w:r>
    </w:p>
    <w:p>
      <w:pPr>
        <w:spacing w:after="0" w:line="129" w:lineRule="exact"/>
        <w:rPr>
          <w:sz w:val="20"/>
          <w:szCs w:val="20"/>
          <w:color w:val="auto"/>
        </w:rPr>
      </w:pPr>
    </w:p>
    <w:p>
      <w:pPr>
        <w:ind w:left="100" w:right="460"/>
        <w:spacing w:after="0" w:line="268" w:lineRule="auto"/>
        <w:rPr>
          <w:sz w:val="20"/>
          <w:szCs w:val="20"/>
          <w:color w:val="auto"/>
        </w:rPr>
      </w:pPr>
      <w:r>
        <w:rPr>
          <w:rFonts w:ascii="Arial" w:cs="Arial" w:eastAsia="Arial" w:hAnsi="Arial"/>
          <w:sz w:val="18"/>
          <w:szCs w:val="18"/>
          <w:color w:val="auto"/>
        </w:rPr>
        <w:t>Whenever we decide to redeem any of the ordinary shares on deposit with the custodian, we will notify the depositary in advance. If it is practicable and if we provide all of the documentation contemplated in the deposit agreement, the depositary will provide notice of the redemption to the holders.</w:t>
      </w:r>
    </w:p>
    <w:p>
      <w:pPr>
        <w:spacing w:after="0" w:line="171" w:lineRule="exact"/>
        <w:rPr>
          <w:sz w:val="20"/>
          <w:szCs w:val="20"/>
          <w:color w:val="auto"/>
        </w:rPr>
      </w:pPr>
    </w:p>
    <w:p>
      <w:pPr>
        <w:ind w:left="100" w:right="40"/>
        <w:spacing w:after="0" w:line="259" w:lineRule="auto"/>
        <w:rPr>
          <w:sz w:val="20"/>
          <w:szCs w:val="20"/>
          <w:color w:val="auto"/>
        </w:rPr>
      </w:pPr>
      <w:r>
        <w:rPr>
          <w:rFonts w:ascii="Arial" w:cs="Arial" w:eastAsia="Arial" w:hAnsi="Arial"/>
          <w:sz w:val="18"/>
          <w:szCs w:val="18"/>
          <w:color w:val="auto"/>
        </w:rPr>
        <w:t xml:space="preserve">The custodian will be instructed to surrender the shares being redeemed against payment of the applicable redemption price. The depositary will convert the redemption funds received into U.S. dollars upon the terms of the deposit agreement and will establish procedures to enable holders to receive the net proceeds from the redemption upon surrender of their ADSs to the depositary. You may have to pay fees, expenses, taxes and other governmental charges upon the redemption of your ADSs. If less than all ADSs are being redeemed, the ADSs to be retired will be selected by lot or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the depositary may determine.</w:t>
      </w:r>
    </w:p>
    <w:p>
      <w:pPr>
        <w:spacing w:after="0" w:line="8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Changes Affecting Ordinary Shares</w:t>
      </w:r>
    </w:p>
    <w:p>
      <w:pPr>
        <w:spacing w:after="0" w:line="144" w:lineRule="exact"/>
        <w:rPr>
          <w:sz w:val="20"/>
          <w:szCs w:val="20"/>
          <w:color w:val="auto"/>
        </w:rPr>
      </w:pPr>
    </w:p>
    <w:p>
      <w:pPr>
        <w:ind w:left="100" w:right="200"/>
        <w:spacing w:after="0" w:line="268" w:lineRule="auto"/>
        <w:rPr>
          <w:sz w:val="20"/>
          <w:szCs w:val="20"/>
          <w:color w:val="auto"/>
        </w:rPr>
      </w:pPr>
      <w:r>
        <w:rPr>
          <w:rFonts w:ascii="Arial" w:cs="Arial" w:eastAsia="Arial" w:hAnsi="Arial"/>
          <w:sz w:val="18"/>
          <w:szCs w:val="18"/>
          <w:color w:val="auto"/>
        </w:rPr>
        <w:t>The ordinary shares held on deposit for your ADSs may change from time to time. For example, there may be a change in nominal or par value, split-up, cancellation, consolidation or any other reclassification of such ordinary shares or a recapitalization, reorganization, merger, consolidation or sale of assets of Verona.</w:t>
      </w:r>
    </w:p>
    <w:p>
      <w:pPr>
        <w:spacing w:after="0" w:line="76" w:lineRule="exact"/>
        <w:rPr>
          <w:sz w:val="20"/>
          <w:szCs w:val="20"/>
          <w:color w:val="auto"/>
        </w:rPr>
      </w:pPr>
    </w:p>
    <w:p>
      <w:pPr>
        <w:ind w:left="100"/>
        <w:spacing w:after="0" w:line="257" w:lineRule="auto"/>
        <w:rPr>
          <w:sz w:val="20"/>
          <w:szCs w:val="20"/>
          <w:color w:val="auto"/>
        </w:rPr>
      </w:pPr>
      <w:r>
        <w:rPr>
          <w:rFonts w:ascii="Arial" w:cs="Arial" w:eastAsia="Arial" w:hAnsi="Arial"/>
          <w:sz w:val="18"/>
          <w:szCs w:val="18"/>
          <w:color w:val="auto"/>
        </w:rPr>
        <w:t>If any such change were to occur, your ADSs would, to the extent permitted by law, represent the right to receive the property received or exchanged in respect of the ordinary shares held on deposit. The depositary may in such circumstances deliver new ADSs to you, amend the deposit agreement, the ADRs and the applicable registration statement(s) on Form F-6, call for the exchange of your existing ADSs for new ADSs and take any other actions that are appropriate to reflect as to the ADSs the change affecting the Shares. If the depositary may not lawfully distribute such property to you, the depositary may sell such property and distribute the net proceeds to you as in the case of a cash distribution.</w:t>
      </w:r>
    </w:p>
    <w:p>
      <w:pPr>
        <w:spacing w:after="0" w:line="88"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Issuance of ADSs upon Deposit of Ordinary Shares</w:t>
      </w:r>
    </w:p>
    <w:p>
      <w:pPr>
        <w:spacing w:after="0" w:line="144" w:lineRule="exact"/>
        <w:rPr>
          <w:sz w:val="20"/>
          <w:szCs w:val="20"/>
          <w:color w:val="auto"/>
        </w:rPr>
      </w:pPr>
    </w:p>
    <w:p>
      <w:pPr>
        <w:ind w:left="100" w:right="40"/>
        <w:spacing w:after="0" w:line="262" w:lineRule="auto"/>
        <w:rPr>
          <w:sz w:val="20"/>
          <w:szCs w:val="20"/>
          <w:color w:val="auto"/>
        </w:rPr>
      </w:pPr>
      <w:r>
        <w:rPr>
          <w:rFonts w:ascii="Arial" w:cs="Arial" w:eastAsia="Arial" w:hAnsi="Arial"/>
          <w:sz w:val="18"/>
          <w:szCs w:val="18"/>
          <w:color w:val="auto"/>
        </w:rPr>
        <w:t>The depositary may create ADSs on your behalf if you or your broker deposit ordinary shares with the custodian. The depositary will deliver these ADSs to the person you indicate only after you pay any applicable issuance fees and any charges and taxes payable for the transfer of the ordinary shares to the custodian. Your ability to deposit ordinary shares and receive ADSs may be limited by U.S. and England and Wales legal considerations applicable at the time of deposit.</w:t>
      </w:r>
    </w:p>
    <w:p>
      <w:pPr>
        <w:spacing w:after="0" w:line="82" w:lineRule="exact"/>
        <w:rPr>
          <w:sz w:val="20"/>
          <w:szCs w:val="20"/>
          <w:color w:val="auto"/>
        </w:rPr>
      </w:pPr>
    </w:p>
    <w:p>
      <w:pPr>
        <w:ind w:left="100"/>
        <w:spacing w:after="0" w:line="287" w:lineRule="auto"/>
        <w:rPr>
          <w:sz w:val="20"/>
          <w:szCs w:val="20"/>
          <w:color w:val="auto"/>
        </w:rPr>
      </w:pPr>
      <w:r>
        <w:rPr>
          <w:rFonts w:ascii="Arial" w:cs="Arial" w:eastAsia="Arial" w:hAnsi="Arial"/>
          <w:sz w:val="18"/>
          <w:szCs w:val="18"/>
          <w:color w:val="auto"/>
        </w:rPr>
        <w:t>The issuance of ADSs may be delayed until the depositary or the custodian receives confirmation that all required approvals have been given and that the ordinary shares have been duly transferred to the custodian. The depositary will only issue ADSs in whole numbers.</w:t>
      </w:r>
    </w:p>
    <w:p>
      <w:pPr>
        <w:spacing w:after="0" w:line="58" w:lineRule="exact"/>
        <w:rPr>
          <w:sz w:val="20"/>
          <w:szCs w:val="20"/>
          <w:color w:val="auto"/>
        </w:rPr>
      </w:pPr>
    </w:p>
    <w:p>
      <w:pPr>
        <w:ind w:left="100" w:right="180"/>
        <w:spacing w:after="0" w:line="287" w:lineRule="auto"/>
        <w:rPr>
          <w:sz w:val="20"/>
          <w:szCs w:val="20"/>
          <w:color w:val="auto"/>
        </w:rPr>
      </w:pPr>
      <w:r>
        <w:rPr>
          <w:rFonts w:ascii="Arial" w:cs="Arial" w:eastAsia="Arial" w:hAnsi="Arial"/>
          <w:sz w:val="18"/>
          <w:szCs w:val="18"/>
          <w:color w:val="auto"/>
        </w:rPr>
        <w:t>When you make a deposit of ordinary shares, you will be responsible for transferring good and valid title to the depositary. As such, you will be deemed to represent and warrant that:</w:t>
      </w:r>
    </w:p>
    <w:p>
      <w:pPr>
        <w:spacing w:after="0" w:line="98" w:lineRule="exact"/>
        <w:rPr>
          <w:sz w:val="20"/>
          <w:szCs w:val="20"/>
          <w:color w:val="auto"/>
        </w:rPr>
      </w:pPr>
    </w:p>
    <w:p>
      <w:pPr>
        <w:ind w:left="420" w:hanging="312"/>
        <w:spacing w:after="0"/>
        <w:tabs>
          <w:tab w:leader="none" w:pos="42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18"/>
          <w:szCs w:val="18"/>
          <w:color w:val="auto"/>
        </w:rPr>
        <w:t>the ordinary shares are duly authorized, validly issued, fully paid, non-assessable and legally obtained;</w:t>
      </w:r>
    </w:p>
    <w:p>
      <w:pPr>
        <w:spacing w:after="0" w:line="125" w:lineRule="exact"/>
        <w:rPr>
          <w:rFonts w:ascii="Times New Roman" w:cs="Times New Roman" w:eastAsia="Times New Roman" w:hAnsi="Times New Roman"/>
          <w:sz w:val="22"/>
          <w:szCs w:val="22"/>
          <w:color w:val="auto"/>
        </w:rPr>
      </w:pPr>
    </w:p>
    <w:p>
      <w:pPr>
        <w:ind w:left="420" w:hanging="312"/>
        <w:spacing w:after="0"/>
        <w:tabs>
          <w:tab w:leader="none" w:pos="42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18"/>
          <w:szCs w:val="18"/>
          <w:color w:val="auto"/>
        </w:rPr>
        <w:t>all preemptive (and similar) rights, if any, with respect to such ordinary shares have been validly waived or exercised;</w:t>
      </w:r>
    </w:p>
    <w:p>
      <w:pPr>
        <w:spacing w:after="0" w:line="138" w:lineRule="exact"/>
        <w:rPr>
          <w:rFonts w:ascii="Times New Roman" w:cs="Times New Roman" w:eastAsia="Times New Roman" w:hAnsi="Times New Roman"/>
          <w:sz w:val="22"/>
          <w:szCs w:val="22"/>
          <w:color w:val="auto"/>
        </w:rPr>
      </w:pPr>
    </w:p>
    <w:p>
      <w:pPr>
        <w:ind w:left="420" w:hanging="312"/>
        <w:spacing w:after="0"/>
        <w:tabs>
          <w:tab w:leader="none" w:pos="420" w:val="left"/>
        </w:tabs>
        <w:numPr>
          <w:ilvl w:val="0"/>
          <w:numId w:val="72"/>
        </w:numPr>
        <w:rPr>
          <w:rFonts w:ascii="Times New Roman" w:cs="Times New Roman" w:eastAsia="Times New Roman" w:hAnsi="Times New Roman"/>
          <w:sz w:val="22"/>
          <w:szCs w:val="22"/>
          <w:color w:val="auto"/>
        </w:rPr>
      </w:pPr>
      <w:r>
        <w:rPr>
          <w:rFonts w:ascii="Arial" w:cs="Arial" w:eastAsia="Arial" w:hAnsi="Arial"/>
          <w:sz w:val="18"/>
          <w:szCs w:val="18"/>
          <w:color w:val="auto"/>
        </w:rPr>
        <w:t>you are duly authorized to deposit the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340"/>
          </w:cols>
          <w:pgMar w:left="220" w:top="1440" w:right="339" w:bottom="1440" w:gutter="0" w:footer="0" w:header="0"/>
        </w:sectPr>
      </w:pPr>
    </w:p>
    <w:bookmarkStart w:id="155" w:name="page156"/>
    <w:bookmarkEnd w:id="155"/>
    <w:p>
      <w:pPr>
        <w:spacing w:after="0" w:line="139" w:lineRule="exact"/>
        <w:rPr>
          <w:sz w:val="20"/>
          <w:szCs w:val="20"/>
          <w:color w:val="auto"/>
        </w:rPr>
      </w:pPr>
    </w:p>
    <w:p>
      <w:pPr>
        <w:jc w:val="both"/>
        <w:ind w:left="340" w:right="340" w:hanging="332"/>
        <w:spacing w:after="0" w:line="249" w:lineRule="auto"/>
        <w:tabs>
          <w:tab w:leader="none" w:pos="335" w:val="left"/>
        </w:tabs>
        <w:numPr>
          <w:ilvl w:val="0"/>
          <w:numId w:val="73"/>
        </w:numPr>
        <w:rPr>
          <w:rFonts w:ascii="Times New Roman" w:cs="Times New Roman" w:eastAsia="Times New Roman" w:hAnsi="Times New Roman"/>
          <w:sz w:val="22"/>
          <w:szCs w:val="22"/>
          <w:color w:val="auto"/>
        </w:rPr>
      </w:pPr>
      <w:r>
        <w:rPr>
          <w:rFonts w:ascii="Arial" w:cs="Arial" w:eastAsia="Arial" w:hAnsi="Arial"/>
          <w:sz w:val="18"/>
          <w:szCs w:val="18"/>
          <w:color w:val="auto"/>
        </w:rPr>
        <w:t>the ordinary shares presented for deposit are free and clear of any lien, encumbrance, security interest, charge, mortgage or adverse claim, and are not, and the ADSs issuable upon such deposit will not be, "restricted securities" (as defined in the deposit agreement); and</w:t>
      </w:r>
    </w:p>
    <w:p>
      <w:pPr>
        <w:spacing w:after="0" w:line="117"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3"/>
        </w:numPr>
        <w:rPr>
          <w:rFonts w:ascii="Times New Roman" w:cs="Times New Roman" w:eastAsia="Times New Roman" w:hAnsi="Times New Roman"/>
          <w:sz w:val="22"/>
          <w:szCs w:val="22"/>
          <w:color w:val="auto"/>
        </w:rPr>
      </w:pPr>
      <w:r>
        <w:rPr>
          <w:rFonts w:ascii="Arial" w:cs="Arial" w:eastAsia="Arial" w:hAnsi="Arial"/>
          <w:sz w:val="18"/>
          <w:szCs w:val="18"/>
          <w:color w:val="auto"/>
        </w:rPr>
        <w:t>the ordinary shares presented for deposit have not been stripped of any rights or entitlements.</w:t>
      </w:r>
    </w:p>
    <w:p>
      <w:pPr>
        <w:spacing w:after="0" w:line="99"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color w:val="auto"/>
        </w:rPr>
        <w:t>If any of the representations or warranties are incorrect in any way, we and the depositary may, at your cost and expense, take any and all actions necessary to correct the consequences of the misrepresentations.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Combination and Split Up of ADRs</w:t>
      </w:r>
    </w:p>
    <w:p>
      <w:pPr>
        <w:spacing w:after="0" w:line="131"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color w:val="auto"/>
        </w:rPr>
        <w:t>As an ADR holder, you will be entitled to transfer, combine or split up your ADRs and the ADSs evidenced thereby. For transfers of ADRs, you will have to surrender the ADRs to be transferred to the depositary and also must:</w:t>
      </w:r>
    </w:p>
    <w:p>
      <w:pPr>
        <w:spacing w:after="0" w:line="85" w:lineRule="exact"/>
        <w:rPr>
          <w:sz w:val="20"/>
          <w:szCs w:val="20"/>
          <w:color w:val="auto"/>
        </w:rPr>
      </w:pPr>
    </w:p>
    <w:p>
      <w:pPr>
        <w:ind w:left="320" w:hanging="312"/>
        <w:spacing w:after="0"/>
        <w:tabs>
          <w:tab w:leader="none" w:pos="32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18"/>
          <w:szCs w:val="18"/>
          <w:color w:val="auto"/>
        </w:rPr>
        <w:t>ensure that the surrendered ADR is properly endorsed or otherwise in proper form for transfer;</w:t>
      </w:r>
    </w:p>
    <w:p>
      <w:pPr>
        <w:spacing w:after="0" w:line="13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18"/>
          <w:szCs w:val="18"/>
          <w:color w:val="auto"/>
        </w:rPr>
        <w:t>provide such proof of identity and genuineness of signatures as the depositary deems appropriate;</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4"/>
        </w:numPr>
        <w:rPr>
          <w:rFonts w:ascii="Times New Roman" w:cs="Times New Roman" w:eastAsia="Times New Roman" w:hAnsi="Times New Roman"/>
          <w:sz w:val="22"/>
          <w:szCs w:val="22"/>
          <w:color w:val="auto"/>
        </w:rPr>
      </w:pPr>
      <w:r>
        <w:rPr>
          <w:rFonts w:ascii="Arial" w:cs="Arial" w:eastAsia="Arial" w:hAnsi="Arial"/>
          <w:sz w:val="18"/>
          <w:szCs w:val="18"/>
          <w:color w:val="auto"/>
        </w:rPr>
        <w:t>provide any transfer stamps required by the State of New York or the United States; and</w:t>
      </w:r>
    </w:p>
    <w:p>
      <w:pPr>
        <w:spacing w:after="0" w:line="152" w:lineRule="exact"/>
        <w:rPr>
          <w:rFonts w:ascii="Times New Roman" w:cs="Times New Roman" w:eastAsia="Times New Roman" w:hAnsi="Times New Roman"/>
          <w:sz w:val="22"/>
          <w:szCs w:val="22"/>
          <w:color w:val="auto"/>
        </w:rPr>
      </w:pPr>
    </w:p>
    <w:p>
      <w:pPr>
        <w:ind w:left="340" w:right="260" w:hanging="332"/>
        <w:spacing w:after="0" w:line="237" w:lineRule="auto"/>
        <w:tabs>
          <w:tab w:leader="none" w:pos="335" w:val="left"/>
        </w:tabs>
        <w:numPr>
          <w:ilvl w:val="0"/>
          <w:numId w:val="74"/>
        </w:numPr>
        <w:rPr>
          <w:rFonts w:ascii="Times New Roman" w:cs="Times New Roman" w:eastAsia="Times New Roman" w:hAnsi="Times New Roman"/>
          <w:sz w:val="22"/>
          <w:szCs w:val="22"/>
          <w:color w:val="auto"/>
        </w:rPr>
      </w:pPr>
      <w:r>
        <w:rPr>
          <w:rFonts w:ascii="Arial" w:cs="Arial" w:eastAsia="Arial" w:hAnsi="Arial"/>
          <w:sz w:val="18"/>
          <w:szCs w:val="18"/>
          <w:color w:val="auto"/>
        </w:rPr>
        <w:t>pay all applicable fees, charges, expenses, taxes and other government charges payable by ADR holders pursuant to the terms of the deposit agreement, upon the transfer of ADRs.</w:t>
      </w:r>
    </w:p>
    <w:p>
      <w:pPr>
        <w:spacing w:after="0" w:line="9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To have your ADRs either combined or split up, you must surrender the ADRs in question to the depositary with your request to have them combined or split up, and you must pay all applicable fees, charges and expenses payable by ADR holders, pursuant to the terms of the deposit agreement, upon a combination or split up of ADRs.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of Ordinary Shares Upon Cancellation of ADSs</w:t>
      </w:r>
    </w:p>
    <w:p>
      <w:pPr>
        <w:spacing w:after="0" w:line="13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As a holder, you will be entitled to present your ADSs to the depositary for cancellation and then receive the corresponding number of underlying ordinary shares at the custodian's offices. Your ability to withdraw the ordinary shares held in respect of the ADSs may be limited by U.S. and England and Wales considerations applicable at the time of withdrawal. In order to withdraw the ordinary shares represented by your ADSs, you will be required to pay to the depositary the fees for cancellation of ADSs and any charges and taxes payable upon the transfer of the ordinary shares. You assume the risk for delivery of all funds and securities upon withdrawal. Once canceled, the ADSs will not have any rights under the deposit agreement.</w:t>
      </w:r>
    </w:p>
    <w:p>
      <w:pPr>
        <w:spacing w:after="0" w:line="88"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If you hold ADSs registered in your name, the depositary may ask you to provide proof of identity and genuineness of any signature and such other documents as the depositary may deem appropriate before it will cancel your ADSs. The withdrawal of the ordinary shares represented by your ADSs may be delayed until the depositary receives satisfactory evidence of compliance with all applicable laws and regulations. Please keep in mind that the depositary will only accept ADSs for cancellation that represent a whole number of securities on deposit.</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You will have the right to withdraw the securities represented by your ADSs at any time except as a result of:</w:t>
      </w:r>
    </w:p>
    <w:p>
      <w:pPr>
        <w:spacing w:after="0" w:line="171" w:lineRule="exact"/>
        <w:rPr>
          <w:sz w:val="20"/>
          <w:szCs w:val="20"/>
          <w:color w:val="auto"/>
        </w:rPr>
      </w:pPr>
    </w:p>
    <w:p>
      <w:pPr>
        <w:ind w:left="340" w:right="360" w:hanging="332"/>
        <w:spacing w:after="0" w:line="237" w:lineRule="auto"/>
        <w:tabs>
          <w:tab w:leader="none" w:pos="335" w:val="left"/>
        </w:tabs>
        <w:numPr>
          <w:ilvl w:val="0"/>
          <w:numId w:val="75"/>
        </w:numPr>
        <w:rPr>
          <w:rFonts w:ascii="Times New Roman" w:cs="Times New Roman" w:eastAsia="Times New Roman" w:hAnsi="Times New Roman"/>
          <w:sz w:val="22"/>
          <w:szCs w:val="22"/>
          <w:color w:val="auto"/>
        </w:rPr>
      </w:pPr>
      <w:r>
        <w:rPr>
          <w:rFonts w:ascii="Arial" w:cs="Arial" w:eastAsia="Arial" w:hAnsi="Arial"/>
          <w:sz w:val="18"/>
          <w:szCs w:val="18"/>
          <w:color w:val="auto"/>
        </w:rPr>
        <w:t>temporary delays that may arise because (i) the transfer books for the ordinary shares or ADSs are closed, or (ii) ordinary shares are immobilized on account of a shareholders' meeting or a payment of dividends;</w:t>
      </w:r>
    </w:p>
    <w:p>
      <w:pPr>
        <w:spacing w:after="0" w:line="13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5"/>
        </w:numPr>
        <w:rPr>
          <w:rFonts w:ascii="Times New Roman" w:cs="Times New Roman" w:eastAsia="Times New Roman" w:hAnsi="Times New Roman"/>
          <w:sz w:val="22"/>
          <w:szCs w:val="22"/>
          <w:color w:val="auto"/>
        </w:rPr>
      </w:pPr>
      <w:r>
        <w:rPr>
          <w:rFonts w:ascii="Arial" w:cs="Arial" w:eastAsia="Arial" w:hAnsi="Arial"/>
          <w:sz w:val="18"/>
          <w:szCs w:val="18"/>
          <w:color w:val="auto"/>
        </w:rPr>
        <w:t>obligations to pay fees, taxes and similar charges; and/or</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5"/>
        </w:numPr>
        <w:rPr>
          <w:rFonts w:ascii="Times New Roman" w:cs="Times New Roman" w:eastAsia="Times New Roman" w:hAnsi="Times New Roman"/>
          <w:sz w:val="22"/>
          <w:szCs w:val="22"/>
          <w:color w:val="auto"/>
        </w:rPr>
      </w:pPr>
      <w:r>
        <w:rPr>
          <w:rFonts w:ascii="Arial" w:cs="Arial" w:eastAsia="Arial" w:hAnsi="Arial"/>
          <w:sz w:val="18"/>
          <w:szCs w:val="18"/>
          <w:color w:val="auto"/>
        </w:rPr>
        <w:t>restrictions imposed because of laws or regulations applicable to ADSs or the withdrawal of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deposit.</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The deposit agreement may not be modified to impair your right to withdraw the securities represented by your ADSs except to comply with mandatory provisions of law.</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a holder, you generally have the right under the deposit agreement to instruct the depositary to exercise the voting rights for the ordinary shares represented by your ADSs. The voting rights of holders of ordinary shares are described in "Description of Share Capital and Articles of Association - Articles of Association" above.</w:t>
      </w:r>
    </w:p>
    <w:p>
      <w:pPr>
        <w:spacing w:after="0" w:line="9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At our request, the depositary will distribute to you any notice of shareholders' meeting received from us together with information explaining how to instruct the depositary to exercise the voting rights of the securities represented by ADSs.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If the depositary timely receives voting instructions from a holder of ADSs, it will endeavor to vote the securities (in person or by proxy)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represented by the holder's ADSs as follows:</w:t>
      </w:r>
    </w:p>
    <w:p>
      <w:pPr>
        <w:spacing w:after="0" w:line="153" w:lineRule="exact"/>
        <w:rPr>
          <w:sz w:val="20"/>
          <w:szCs w:val="20"/>
          <w:color w:val="auto"/>
        </w:rPr>
      </w:pPr>
    </w:p>
    <w:p>
      <w:pPr>
        <w:ind w:left="340" w:right="60" w:hanging="332"/>
        <w:spacing w:after="0" w:line="237" w:lineRule="auto"/>
        <w:tabs>
          <w:tab w:leader="none" w:pos="335" w:val="left"/>
        </w:tabs>
        <w:numPr>
          <w:ilvl w:val="0"/>
          <w:numId w:val="76"/>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In the event of voting by show of hands</w:t>
      </w:r>
      <w:r>
        <w:rPr>
          <w:rFonts w:ascii="Arial" w:cs="Arial" w:eastAsia="Arial" w:hAnsi="Arial"/>
          <w:sz w:val="18"/>
          <w:szCs w:val="18"/>
          <w:color w:val="auto"/>
        </w:rPr>
        <w:t>, the depositary will vote (or cause the custodian to vote) all ordinary held on deposit at that time</w:t>
      </w:r>
      <w:r>
        <w:rPr>
          <w:rFonts w:ascii="Arial" w:cs="Arial" w:eastAsia="Arial" w:hAnsi="Arial"/>
          <w:sz w:val="18"/>
          <w:szCs w:val="18"/>
          <w:i w:val="1"/>
          <w:iCs w:val="1"/>
          <w:color w:val="auto"/>
        </w:rPr>
        <w:t xml:space="preserve"> </w:t>
      </w:r>
      <w:r>
        <w:rPr>
          <w:rFonts w:ascii="Arial" w:cs="Arial" w:eastAsia="Arial" w:hAnsi="Arial"/>
          <w:sz w:val="18"/>
          <w:szCs w:val="18"/>
          <w:color w:val="auto"/>
        </w:rPr>
        <w:t>in accordance with the voting instructions received from a majority of holders of ADSs who provide timely voting instructions.</w:t>
      </w:r>
    </w:p>
    <w:p>
      <w:pPr>
        <w:spacing w:after="0" w:line="153" w:lineRule="exact"/>
        <w:rPr>
          <w:rFonts w:ascii="Times New Roman" w:cs="Times New Roman" w:eastAsia="Times New Roman" w:hAnsi="Times New Roman"/>
          <w:sz w:val="22"/>
          <w:szCs w:val="22"/>
          <w:color w:val="auto"/>
        </w:rPr>
      </w:pPr>
    </w:p>
    <w:p>
      <w:pPr>
        <w:ind w:left="340" w:right="60" w:hanging="332"/>
        <w:spacing w:after="0" w:line="237" w:lineRule="auto"/>
        <w:tabs>
          <w:tab w:leader="none" w:pos="335" w:val="left"/>
        </w:tabs>
        <w:numPr>
          <w:ilvl w:val="0"/>
          <w:numId w:val="76"/>
        </w:numPr>
        <w:rPr>
          <w:rFonts w:ascii="Times New Roman" w:cs="Times New Roman" w:eastAsia="Times New Roman" w:hAnsi="Times New Roman"/>
          <w:sz w:val="22"/>
          <w:szCs w:val="22"/>
          <w:color w:val="auto"/>
        </w:rPr>
      </w:pPr>
      <w:r>
        <w:rPr>
          <w:rFonts w:ascii="Arial" w:cs="Arial" w:eastAsia="Arial" w:hAnsi="Arial"/>
          <w:sz w:val="18"/>
          <w:szCs w:val="18"/>
          <w:i w:val="1"/>
          <w:iCs w:val="1"/>
          <w:color w:val="auto"/>
        </w:rPr>
        <w:t>In the event of voting by poll</w:t>
      </w:r>
      <w:r>
        <w:rPr>
          <w:rFonts w:ascii="Arial" w:cs="Arial" w:eastAsia="Arial" w:hAnsi="Arial"/>
          <w:sz w:val="18"/>
          <w:szCs w:val="18"/>
          <w:color w:val="auto"/>
        </w:rPr>
        <w:t>, the depositary will vote (or cause the custodian to vote) the ordinary shares held on deposit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voting instructions received from the holders of ADSs.</w:t>
      </w:r>
    </w:p>
    <w:p>
      <w:pPr>
        <w:spacing w:after="0" w:line="99"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Securities for which no voting instructions have been received will not be voted (except as otherwise contemplated herein). Please note that the ability of the depositary to carry out voting instructions may be limited by practical and legal limitations and the terms of the securities on deposit. We cannot assure you that you will receive voting materials in time to enable you to return voting instructions to the depositary in a timely manner.</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Charges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be required to pay the following fees under the terms of the deposit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40"/>
          </w:cols>
          <w:pgMar w:left="320" w:top="1440" w:right="439" w:bottom="1440" w:gutter="0" w:footer="0" w:header="0"/>
        </w:sectPr>
      </w:pPr>
    </w:p>
    <w:bookmarkStart w:id="157" w:name="page158"/>
    <w:bookmarkEnd w:id="15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220" w:type="dxa"/>
            <w:vAlign w:val="bottom"/>
          </w:tcPr>
          <w:p>
            <w:pPr>
              <w:ind w:left="3080"/>
              <w:spacing w:after="0"/>
              <w:rPr>
                <w:sz w:val="20"/>
                <w:szCs w:val="20"/>
                <w:color w:val="auto"/>
              </w:rPr>
            </w:pPr>
            <w:r>
              <w:rPr>
                <w:rFonts w:ascii="Arial" w:cs="Arial" w:eastAsia="Arial" w:hAnsi="Arial"/>
                <w:sz w:val="18"/>
                <w:szCs w:val="18"/>
                <w:b w:val="1"/>
                <w:bCs w:val="1"/>
                <w:color w:val="auto"/>
              </w:rPr>
              <w:t>Service</w:t>
            </w:r>
          </w:p>
        </w:tc>
        <w:tc>
          <w:tcPr>
            <w:tcW w:w="3960" w:type="dxa"/>
            <w:vAlign w:val="bottom"/>
          </w:tcPr>
          <w:p>
            <w:pPr>
              <w:ind w:left="2060"/>
              <w:spacing w:after="0"/>
              <w:rPr>
                <w:sz w:val="20"/>
                <w:szCs w:val="20"/>
                <w:color w:val="auto"/>
              </w:rPr>
            </w:pPr>
            <w:r>
              <w:rPr>
                <w:rFonts w:ascii="Arial" w:cs="Arial" w:eastAsia="Arial" w:hAnsi="Arial"/>
                <w:sz w:val="18"/>
                <w:szCs w:val="18"/>
                <w:b w:val="1"/>
                <w:bCs w:val="1"/>
                <w:color w:val="auto"/>
              </w:rPr>
              <w:t>Fee</w:t>
            </w:r>
          </w:p>
        </w:tc>
        <w:tc>
          <w:tcPr>
            <w:tcW w:w="0" w:type="dxa"/>
            <w:vAlign w:val="bottom"/>
          </w:tcPr>
          <w:p>
            <w:pPr>
              <w:spacing w:after="0"/>
              <w:rPr>
                <w:sz w:val="1"/>
                <w:szCs w:val="1"/>
                <w:color w:val="auto"/>
              </w:rPr>
            </w:pPr>
          </w:p>
        </w:tc>
      </w:tr>
      <w:tr>
        <w:trPr>
          <w:trHeight w:val="189"/>
        </w:trPr>
        <w:tc>
          <w:tcPr>
            <w:tcW w:w="7220" w:type="dxa"/>
            <w:vAlign w:val="bottom"/>
          </w:tcPr>
          <w:p>
            <w:pPr>
              <w:spacing w:after="0" w:line="189" w:lineRule="exact"/>
              <w:rPr>
                <w:sz w:val="20"/>
                <w:szCs w:val="20"/>
                <w:color w:val="auto"/>
              </w:rPr>
            </w:pPr>
            <w:r>
              <w:rPr>
                <w:rFonts w:ascii="Arial" w:cs="Arial" w:eastAsia="Arial" w:hAnsi="Arial"/>
                <w:sz w:val="18"/>
                <w:szCs w:val="18"/>
                <w:color w:val="auto"/>
              </w:rPr>
              <w:t>Issuance of ADSs (e.g., an issuance of ADS upon a deposit of ordinary shares or</w:t>
            </w:r>
          </w:p>
        </w:tc>
        <w:tc>
          <w:tcPr>
            <w:tcW w:w="3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7220" w:type="dxa"/>
            <w:vAlign w:val="bottom"/>
          </w:tcPr>
          <w:p>
            <w:pPr>
              <w:spacing w:after="0" w:line="181" w:lineRule="exact"/>
              <w:rPr>
                <w:sz w:val="20"/>
                <w:szCs w:val="20"/>
                <w:color w:val="auto"/>
              </w:rPr>
            </w:pPr>
            <w:r>
              <w:rPr>
                <w:rFonts w:ascii="Arial" w:cs="Arial" w:eastAsia="Arial" w:hAnsi="Arial"/>
                <w:sz w:val="18"/>
                <w:szCs w:val="18"/>
                <w:color w:val="auto"/>
              </w:rPr>
              <w:t>upon a change in the ADS(s)-to-ordinary shares ratio), excluding ADS issuances as</w:t>
            </w:r>
          </w:p>
        </w:tc>
        <w:tc>
          <w:tcPr>
            <w:tcW w:w="3960" w:type="dxa"/>
            <w:vAlign w:val="bottom"/>
            <w:vMerge w:val="restart"/>
          </w:tcPr>
          <w:p>
            <w:pPr>
              <w:ind w:left="460"/>
              <w:spacing w:after="0"/>
              <w:rPr>
                <w:sz w:val="20"/>
                <w:szCs w:val="20"/>
                <w:color w:val="auto"/>
              </w:rPr>
            </w:pPr>
            <w:r>
              <w:rPr>
                <w:rFonts w:ascii="Arial" w:cs="Arial" w:eastAsia="Arial" w:hAnsi="Arial"/>
                <w:sz w:val="18"/>
                <w:szCs w:val="18"/>
                <w:color w:val="auto"/>
              </w:rPr>
              <w:t>Up to $0.05 per ADS issued</w:t>
            </w:r>
          </w:p>
        </w:tc>
        <w:tc>
          <w:tcPr>
            <w:tcW w:w="0" w:type="dxa"/>
            <w:vAlign w:val="bottom"/>
          </w:tcPr>
          <w:p>
            <w:pPr>
              <w:spacing w:after="0"/>
              <w:rPr>
                <w:sz w:val="1"/>
                <w:szCs w:val="1"/>
                <w:color w:val="auto"/>
              </w:rPr>
            </w:pP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a result of distributions of ordinary shares</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44"/>
        </w:trPr>
        <w:tc>
          <w:tcPr>
            <w:tcW w:w="7220" w:type="dxa"/>
            <w:vAlign w:val="bottom"/>
          </w:tcPr>
          <w:p>
            <w:pPr>
              <w:spacing w:after="0"/>
              <w:rPr>
                <w:sz w:val="20"/>
                <w:szCs w:val="20"/>
                <w:color w:val="auto"/>
              </w:rPr>
            </w:pPr>
            <w:r>
              <w:rPr>
                <w:rFonts w:ascii="Arial" w:cs="Arial" w:eastAsia="Arial" w:hAnsi="Arial"/>
                <w:sz w:val="18"/>
                <w:szCs w:val="18"/>
                <w:color w:val="auto"/>
              </w:rPr>
              <w:t>Cancellation of ADSs (e.g., a cancellation of ADSs for delivery of deposited property</w:t>
            </w:r>
          </w:p>
        </w:tc>
        <w:tc>
          <w:tcPr>
            <w:tcW w:w="3960" w:type="dxa"/>
            <w:vAlign w:val="bottom"/>
            <w:vMerge w:val="restart"/>
          </w:tcPr>
          <w:p>
            <w:pPr>
              <w:ind w:left="460"/>
              <w:spacing w:after="0"/>
              <w:rPr>
                <w:sz w:val="20"/>
                <w:szCs w:val="20"/>
                <w:color w:val="auto"/>
              </w:rPr>
            </w:pPr>
            <w:r>
              <w:rPr>
                <w:rFonts w:ascii="Arial" w:cs="Arial" w:eastAsia="Arial" w:hAnsi="Arial"/>
                <w:sz w:val="18"/>
                <w:szCs w:val="18"/>
                <w:color w:val="auto"/>
              </w:rPr>
              <w:t>Up to $0.05 per ADS cancelled</w:t>
            </w:r>
          </w:p>
        </w:tc>
        <w:tc>
          <w:tcPr>
            <w:tcW w:w="0" w:type="dxa"/>
            <w:vAlign w:val="bottom"/>
          </w:tcPr>
          <w:p>
            <w:pPr>
              <w:spacing w:after="0"/>
              <w:rPr>
                <w:sz w:val="1"/>
                <w:szCs w:val="1"/>
                <w:color w:val="auto"/>
              </w:rPr>
            </w:pP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or upon a change in the ADS(s)-to-ordinary shares ratio)</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20" w:type="dxa"/>
            <w:vAlign w:val="bottom"/>
          </w:tcPr>
          <w:p>
            <w:pPr>
              <w:spacing w:after="0"/>
              <w:rPr>
                <w:sz w:val="20"/>
                <w:szCs w:val="20"/>
                <w:color w:val="auto"/>
              </w:rPr>
            </w:pPr>
            <w:r>
              <w:rPr>
                <w:rFonts w:ascii="Arial" w:cs="Arial" w:eastAsia="Arial" w:hAnsi="Arial"/>
                <w:sz w:val="18"/>
                <w:szCs w:val="18"/>
                <w:color w:val="auto"/>
              </w:rPr>
              <w:t>Distribution of cash dividends or other cash distributions (e.g., upon a sale of rights</w:t>
            </w:r>
          </w:p>
        </w:tc>
        <w:tc>
          <w:tcPr>
            <w:tcW w:w="3960" w:type="dxa"/>
            <w:vAlign w:val="bottom"/>
            <w:vMerge w:val="restart"/>
          </w:tcPr>
          <w:p>
            <w:pPr>
              <w:ind w:left="460"/>
              <w:spacing w:after="0"/>
              <w:rPr>
                <w:sz w:val="20"/>
                <w:szCs w:val="20"/>
                <w:color w:val="auto"/>
              </w:rPr>
            </w:pPr>
            <w:r>
              <w:rPr>
                <w:rFonts w:ascii="Arial" w:cs="Arial" w:eastAsia="Arial" w:hAnsi="Arial"/>
                <w:sz w:val="18"/>
                <w:szCs w:val="18"/>
                <w:color w:val="auto"/>
              </w:rPr>
              <w:t>Up to $0.05 per ADS held</w:t>
            </w:r>
          </w:p>
        </w:tc>
        <w:tc>
          <w:tcPr>
            <w:tcW w:w="0" w:type="dxa"/>
            <w:vAlign w:val="bottom"/>
          </w:tcPr>
          <w:p>
            <w:pPr>
              <w:spacing w:after="0"/>
              <w:rPr>
                <w:sz w:val="1"/>
                <w:szCs w:val="1"/>
                <w:color w:val="auto"/>
              </w:rPr>
            </w:pP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and other entitlements)</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20" w:type="dxa"/>
            <w:vAlign w:val="bottom"/>
          </w:tcPr>
          <w:p>
            <w:pPr>
              <w:spacing w:after="0"/>
              <w:rPr>
                <w:sz w:val="20"/>
                <w:szCs w:val="20"/>
                <w:color w:val="auto"/>
              </w:rPr>
            </w:pPr>
            <w:r>
              <w:rPr>
                <w:rFonts w:ascii="Arial" w:cs="Arial" w:eastAsia="Arial" w:hAnsi="Arial"/>
                <w:sz w:val="18"/>
                <w:szCs w:val="18"/>
                <w:color w:val="auto"/>
              </w:rPr>
              <w:t>Distribution of ADSs pursuant to (i) stock dividends or other free stock distributions,</w:t>
            </w:r>
          </w:p>
        </w:tc>
        <w:tc>
          <w:tcPr>
            <w:tcW w:w="3960" w:type="dxa"/>
            <w:vAlign w:val="bottom"/>
            <w:vMerge w:val="restart"/>
          </w:tcPr>
          <w:p>
            <w:pPr>
              <w:ind w:left="460"/>
              <w:spacing w:after="0"/>
              <w:rPr>
                <w:sz w:val="20"/>
                <w:szCs w:val="20"/>
                <w:color w:val="auto"/>
              </w:rPr>
            </w:pPr>
            <w:r>
              <w:rPr>
                <w:rFonts w:ascii="Arial" w:cs="Arial" w:eastAsia="Arial" w:hAnsi="Arial"/>
                <w:sz w:val="18"/>
                <w:szCs w:val="18"/>
                <w:color w:val="auto"/>
              </w:rPr>
              <w:t>Up to $0.05 per ADS held</w:t>
            </w:r>
          </w:p>
        </w:tc>
        <w:tc>
          <w:tcPr>
            <w:tcW w:w="0" w:type="dxa"/>
            <w:vAlign w:val="bottom"/>
          </w:tcPr>
          <w:p>
            <w:pPr>
              <w:spacing w:after="0"/>
              <w:rPr>
                <w:sz w:val="1"/>
                <w:szCs w:val="1"/>
                <w:color w:val="auto"/>
              </w:rPr>
            </w:pP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or (ii) exercise of rights to purchase additional ADSs</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20" w:type="dxa"/>
            <w:vAlign w:val="bottom"/>
          </w:tcPr>
          <w:p>
            <w:pPr>
              <w:spacing w:after="0"/>
              <w:rPr>
                <w:sz w:val="20"/>
                <w:szCs w:val="20"/>
                <w:color w:val="auto"/>
              </w:rPr>
            </w:pPr>
            <w:r>
              <w:rPr>
                <w:rFonts w:ascii="Arial" w:cs="Arial" w:eastAsia="Arial" w:hAnsi="Arial"/>
                <w:sz w:val="18"/>
                <w:szCs w:val="18"/>
                <w:color w:val="auto"/>
              </w:rPr>
              <w:t>Distribution of securities other than ADSs or rights to purchase additional ADSs (e.g.,</w:t>
            </w:r>
          </w:p>
        </w:tc>
        <w:tc>
          <w:tcPr>
            <w:tcW w:w="3960" w:type="dxa"/>
            <w:vAlign w:val="bottom"/>
            <w:vMerge w:val="restart"/>
          </w:tcPr>
          <w:p>
            <w:pPr>
              <w:ind w:left="460"/>
              <w:spacing w:after="0"/>
              <w:rPr>
                <w:sz w:val="20"/>
                <w:szCs w:val="20"/>
                <w:color w:val="auto"/>
              </w:rPr>
            </w:pPr>
            <w:r>
              <w:rPr>
                <w:rFonts w:ascii="Arial" w:cs="Arial" w:eastAsia="Arial" w:hAnsi="Arial"/>
                <w:sz w:val="18"/>
                <w:szCs w:val="18"/>
                <w:color w:val="auto"/>
              </w:rPr>
              <w:t>Up to $0.05 per ADS held</w:t>
            </w:r>
          </w:p>
        </w:tc>
        <w:tc>
          <w:tcPr>
            <w:tcW w:w="0" w:type="dxa"/>
            <w:vAlign w:val="bottom"/>
          </w:tcPr>
          <w:p>
            <w:pPr>
              <w:spacing w:after="0"/>
              <w:rPr>
                <w:sz w:val="1"/>
                <w:szCs w:val="1"/>
                <w:color w:val="auto"/>
              </w:rPr>
            </w:pPr>
          </w:p>
        </w:tc>
      </w:tr>
      <w:tr>
        <w:trPr>
          <w:trHeight w:val="239"/>
        </w:trPr>
        <w:tc>
          <w:tcPr>
            <w:tcW w:w="7220" w:type="dxa"/>
            <w:vAlign w:val="bottom"/>
          </w:tcPr>
          <w:p>
            <w:pPr>
              <w:spacing w:after="0"/>
              <w:rPr>
                <w:sz w:val="20"/>
                <w:szCs w:val="20"/>
                <w:color w:val="auto"/>
              </w:rPr>
            </w:pPr>
            <w:r>
              <w:rPr>
                <w:rFonts w:ascii="Arial" w:cs="Arial" w:eastAsia="Arial" w:hAnsi="Arial"/>
                <w:sz w:val="18"/>
                <w:szCs w:val="18"/>
                <w:color w:val="auto"/>
              </w:rPr>
              <w:t>upon a spin-off)</w:t>
            </w:r>
          </w:p>
        </w:tc>
        <w:tc>
          <w:tcPr>
            <w:tcW w:w="39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7220" w:type="dxa"/>
            <w:vAlign w:val="bottom"/>
            <w:vMerge w:val="restart"/>
          </w:tcPr>
          <w:p>
            <w:pPr>
              <w:spacing w:after="0"/>
              <w:rPr>
                <w:sz w:val="20"/>
                <w:szCs w:val="20"/>
                <w:color w:val="auto"/>
              </w:rPr>
            </w:pPr>
            <w:r>
              <w:rPr>
                <w:rFonts w:ascii="Arial" w:cs="Arial" w:eastAsia="Arial" w:hAnsi="Arial"/>
                <w:sz w:val="18"/>
                <w:szCs w:val="18"/>
                <w:color w:val="auto"/>
              </w:rPr>
              <w:t>ADS Services</w:t>
            </w:r>
          </w:p>
        </w:tc>
        <w:tc>
          <w:tcPr>
            <w:tcW w:w="3960" w:type="dxa"/>
            <w:vAlign w:val="bottom"/>
          </w:tcPr>
          <w:p>
            <w:pPr>
              <w:ind w:left="460"/>
              <w:spacing w:after="0"/>
              <w:rPr>
                <w:sz w:val="20"/>
                <w:szCs w:val="20"/>
                <w:color w:val="auto"/>
              </w:rPr>
            </w:pPr>
            <w:r>
              <w:rPr>
                <w:rFonts w:ascii="Arial" w:cs="Arial" w:eastAsia="Arial" w:hAnsi="Arial"/>
                <w:sz w:val="18"/>
                <w:szCs w:val="18"/>
                <w:color w:val="auto"/>
              </w:rPr>
              <w:t>Up to $0.05 per ADS held on the applicable</w:t>
            </w:r>
          </w:p>
        </w:tc>
        <w:tc>
          <w:tcPr>
            <w:tcW w:w="0" w:type="dxa"/>
            <w:vAlign w:val="bottom"/>
          </w:tcPr>
          <w:p>
            <w:pPr>
              <w:spacing w:after="0"/>
              <w:rPr>
                <w:sz w:val="1"/>
                <w:szCs w:val="1"/>
                <w:color w:val="auto"/>
              </w:rPr>
            </w:pPr>
          </w:p>
        </w:tc>
      </w:tr>
      <w:tr>
        <w:trPr>
          <w:trHeight w:val="239"/>
        </w:trPr>
        <w:tc>
          <w:tcPr>
            <w:tcW w:w="7220" w:type="dxa"/>
            <w:vAlign w:val="bottom"/>
            <w:vMerge w:val="continue"/>
          </w:tcPr>
          <w:p>
            <w:pPr>
              <w:spacing w:after="0"/>
              <w:rPr>
                <w:sz w:val="20"/>
                <w:szCs w:val="20"/>
                <w:color w:val="auto"/>
              </w:rPr>
            </w:pPr>
          </w:p>
        </w:tc>
        <w:tc>
          <w:tcPr>
            <w:tcW w:w="3960" w:type="dxa"/>
            <w:vAlign w:val="bottom"/>
          </w:tcPr>
          <w:p>
            <w:pPr>
              <w:ind w:left="460"/>
              <w:spacing w:after="0"/>
              <w:rPr>
                <w:sz w:val="20"/>
                <w:szCs w:val="20"/>
                <w:color w:val="auto"/>
              </w:rPr>
            </w:pPr>
            <w:r>
              <w:rPr>
                <w:rFonts w:ascii="Arial" w:cs="Arial" w:eastAsia="Arial" w:hAnsi="Arial"/>
                <w:sz w:val="18"/>
                <w:szCs w:val="18"/>
                <w:color w:val="auto"/>
                <w:w w:val="99"/>
              </w:rPr>
              <w:t>record date(s) established by the depositary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534924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9">
                      <a:extLst>
                        <a:ext uri="{28A0092B-C50C-407E-A947-70E740481C1C}"/>
                      </a:extLst>
                    </a:blip>
                    <a:srcRect/>
                    <a:stretch>
                      <a:fillRect/>
                    </a:stretch>
                  </pic:blipFill>
                  <pic:spPr bwMode="auto">
                    <a:xfrm>
                      <a:off x="0" y="0"/>
                      <a:ext cx="534924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color w:val="auto"/>
        </w:rPr>
        <w:t>As an ADS holder you will also be responsible to pay certain charges such as:</w:t>
      </w:r>
    </w:p>
    <w:p>
      <w:pPr>
        <w:spacing w:after="0" w:line="157" w:lineRule="exact"/>
        <w:rPr>
          <w:sz w:val="20"/>
          <w:szCs w:val="20"/>
          <w:color w:val="auto"/>
        </w:rPr>
      </w:pPr>
    </w:p>
    <w:p>
      <w:pPr>
        <w:ind w:left="320" w:hanging="312"/>
        <w:spacing w:after="0"/>
        <w:tabs>
          <w:tab w:leader="none" w:pos="320"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taxes (including applicable interest and penalties) and other governmental charges;</w:t>
      </w:r>
    </w:p>
    <w:p>
      <w:pPr>
        <w:spacing w:after="0" w:line="152" w:lineRule="exact"/>
        <w:rPr>
          <w:rFonts w:ascii="Times New Roman" w:cs="Times New Roman" w:eastAsia="Times New Roman" w:hAnsi="Times New Roman"/>
          <w:sz w:val="22"/>
          <w:szCs w:val="22"/>
          <w:color w:val="auto"/>
        </w:rPr>
      </w:pPr>
    </w:p>
    <w:p>
      <w:pPr>
        <w:ind w:left="340" w:right="260" w:hanging="332"/>
        <w:spacing w:after="0" w:line="242" w:lineRule="auto"/>
        <w:tabs>
          <w:tab w:leader="none" w:pos="335"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the registration fees as may from time to time be in effect for the registration of ordinary shares on the share register and applicable to transfers of ordinary shares to or from the name of the custodian, the depositary or any nominees upon the making of deposits and withdrawals, respectively;</w:t>
      </w:r>
    </w:p>
    <w:p>
      <w:pPr>
        <w:spacing w:after="0" w:line="12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certain cable, telex and facsimile transmission and delivery expenses;</w:t>
      </w:r>
    </w:p>
    <w:p>
      <w:pPr>
        <w:spacing w:after="0" w:line="138"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the expenses and charges incurred by the depositary in the conversion of foreign currency;</w:t>
      </w:r>
    </w:p>
    <w:p>
      <w:pPr>
        <w:spacing w:after="0" w:line="139" w:lineRule="exact"/>
        <w:rPr>
          <w:rFonts w:ascii="Times New Roman" w:cs="Times New Roman" w:eastAsia="Times New Roman" w:hAnsi="Times New Roman"/>
          <w:sz w:val="22"/>
          <w:szCs w:val="22"/>
          <w:color w:val="auto"/>
        </w:rPr>
      </w:pPr>
    </w:p>
    <w:p>
      <w:pPr>
        <w:ind w:left="340" w:right="140" w:hanging="332"/>
        <w:spacing w:after="0" w:line="249" w:lineRule="auto"/>
        <w:tabs>
          <w:tab w:leader="none" w:pos="335"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the fees and expenses incurred by the depositary in connection with compliance with exchange control regulations and other regulatory requirements applicable to ordinary shares, ADSs and ADRs; and</w:t>
      </w:r>
    </w:p>
    <w:p>
      <w:pPr>
        <w:spacing w:after="0" w:line="130" w:lineRule="exact"/>
        <w:rPr>
          <w:rFonts w:ascii="Times New Roman" w:cs="Times New Roman" w:eastAsia="Times New Roman" w:hAnsi="Times New Roman"/>
          <w:sz w:val="22"/>
          <w:szCs w:val="22"/>
          <w:color w:val="auto"/>
        </w:rPr>
      </w:pPr>
    </w:p>
    <w:p>
      <w:pPr>
        <w:ind w:left="340" w:right="20" w:hanging="332"/>
        <w:spacing w:after="0" w:line="237" w:lineRule="auto"/>
        <w:tabs>
          <w:tab w:leader="none" w:pos="335" w:val="left"/>
        </w:tabs>
        <w:numPr>
          <w:ilvl w:val="0"/>
          <w:numId w:val="77"/>
        </w:numPr>
        <w:rPr>
          <w:rFonts w:ascii="Times New Roman" w:cs="Times New Roman" w:eastAsia="Times New Roman" w:hAnsi="Times New Roman"/>
          <w:sz w:val="22"/>
          <w:szCs w:val="22"/>
          <w:color w:val="auto"/>
        </w:rPr>
      </w:pPr>
      <w:r>
        <w:rPr>
          <w:rFonts w:ascii="Arial" w:cs="Arial" w:eastAsia="Arial" w:hAnsi="Arial"/>
          <w:sz w:val="18"/>
          <w:szCs w:val="18"/>
          <w:color w:val="auto"/>
        </w:rPr>
        <w:t>the fees and expenses incurred by the depositary, the custodian, or any nominee in connection with the servicing or delivery of deposited property.</w:t>
      </w:r>
    </w:p>
    <w:p>
      <w:pPr>
        <w:spacing w:after="0" w:line="9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ADS fees and charges payable upon (i) the issuance of ADSs, and (ii) the cancellation of ADSs are charged to the person to whom the ADSs are issued (in the case of ADS issuances) and to the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20"/>
          </w:cols>
          <w:pgMar w:left="320" w:top="1440" w:right="359" w:bottom="1440" w:gutter="0" w:footer="0" w:header="0"/>
        </w:sectPr>
      </w:pPr>
    </w:p>
    <w:bookmarkStart w:id="158" w:name="page159"/>
    <w:bookmarkEnd w:id="158"/>
    <w:p>
      <w:pPr>
        <w:spacing w:after="0" w:line="9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whose ADSs are cancelled (in the case of ADS cancellations). In the case of ADSs issued by the depositary into DTC, the ADS issuance and cancellation fees and charges may be deducted from distributions made through DTC, and may be charged to the DTC participant(s) receiving the ADSs being issued or the DTC participant(s) holding the ADSs being cancelled, as the case may be, on behalf of the beneficial owner(s) and will be charged by the DTC participant(s) to the account of the applicable beneficial owner(s) in accordance with the procedures and practices of the DTC participants as in effect at the time. ADS fees and charges in respect of distributions and the ADS service fee are charged to the holders as of the applicable ADS record date. In the case of distributions of cash, the amount of the applicable ADS fees and charges is deducted from the funds being distributed. In the case of (i) distributions other than cash and (ii) the ADS service fee, holders as of the ADS record date will be invoiced for the amount of the ADS fees and charges and such ADS fees and charges may be deducted from distributions made to holders of ADSs. For ADSs held through DTC, the ADS fees and charges for distributions other than cash and the ADS service fee may be deducted from distributions made through DTC, and may be charged to the DTC participants in accordance with the procedures and practices prescribed by DTC and the DTC participants in turn charge the amount of such ADS fees and charges to the beneficial owners for whom they hold ADSs.</w:t>
      </w:r>
    </w:p>
    <w:p>
      <w:pPr>
        <w:spacing w:after="0" w:line="1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the event of refusal to pay the depositary fees, the depositary may, under the terms of the deposit agreement, refuse the requested service until payment is received or may set off the amount of the depositary fees from any distribution to be made to the ADS holder. Certain of the depositary fees and charges (such as the ADS services fee) may become payable shortly after the closing of any applicable ADS offering. Note that the fees and charges you may be required to pay may vary over time and may be changed by us and by the depositary. You will receive prior notice of such changes. The depositary may reimburse us for certain expenses incurred by us in respect of the ADR program, by making available a portion of the ADS fees charged in respect of the ADR program or otherwise, upon such terms and conditions as we and the depositary agree from time to time.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and Termination</w:t>
      </w:r>
    </w:p>
    <w:p>
      <w:pPr>
        <w:spacing w:after="0" w:line="13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may agree with the depositary to modify the deposit agreement at any time without your consent. We undertake to give holders 30 days' prior notice of any modifications that would materially prejudice any of their substantial rights under the deposit agreement. We will not consider to be materially prejudicial to your substantial rights any modifications or supplements that are reasonably necessary for the ADSs to be registered under the Securities Act of 1933, as amended, or the Securities Act, or to be eligible for book-entry settlement, in each case without imposing or increasing the fees and charges you are required to pay. In addition, we may not be able to provide you with prior notice of any modifications or supplements that are required to accommodate compliance with applicable provisions of law.</w:t>
      </w:r>
    </w:p>
    <w:p>
      <w:pPr>
        <w:spacing w:after="0" w:line="10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You will be bound by the modifications to the deposit agreement if you continue to hold your ADSs after the modifications to the deposit agreement become effective. The deposit agreement cannot be amended to prevent you from withdrawing the ordinary shares represented by your ADSs (except as permitted by law).</w:t>
      </w:r>
    </w:p>
    <w:p>
      <w:pPr>
        <w:spacing w:after="0" w:line="7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We have the right to direct the depositary to terminate the deposit agreement. Similarly, the depositary may in certain circumstances on its own initiative terminate the deposit agreement. In either case, the depositary must give notice to the holders at least 30 days before termination. Until termination, your rights under the deposit agreement will be unaffected.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4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After termination, the depositary will continue to collect distributions received (but will not distribute any such property until you request the cancellation of your ADSs) and may sell the securities held on deposit. After the sale, the depositary will hold the proceeds from such sale and any other funds then held for the holders of ADSs in a non-interest bearing account. At that point, the depositary will have no further obligations to holders other than to account for the funds then held for the holders of ADSs still outstanding (after deduction of applicable fees, taxes and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20"/>
          </w:cols>
          <w:pgMar w:left="320" w:top="1440" w:right="359" w:bottom="1440" w:gutter="0" w:footer="0" w:header="0"/>
        </w:sectPr>
      </w:pPr>
    </w:p>
    <w:bookmarkStart w:id="159" w:name="page160"/>
    <w:bookmarkEnd w:id="159"/>
    <w:p>
      <w:pPr>
        <w:spacing w:after="0" w:line="9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connection with the termination of the deposit agreement, the depositary may, independently and without the need for any action by us, make available to holders a means to withdraw the ordinary shares and other deposited securities represented by their ADSs and to direct the deposit of such ordinary shares and other deposited securities into an unsponsored American depositary shares program established by the depositary, upon such terms and conditions as the depositary may deem reasonably appropriate, subject however, in each case, to satisfaction of the applicable registration requirements by the unsponsored American depositary shares program under the Securities Act, and to receipt by the depositary of payment of the applicable fees and charges of, and reimbursement of the applicable expenses incurred by, the depositary.</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of Depositary</w:t>
      </w:r>
    </w:p>
    <w:p>
      <w:pPr>
        <w:spacing w:after="0" w:line="131"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depositary will maintain ADS holder records at its depositary office. You may inspect such records at such office during regular business hours but solely for the purpose of communicating with other holders in the interest of business matters relating to the ADSs and the deposit agreement.</w:t>
      </w:r>
    </w:p>
    <w:p>
      <w:pPr>
        <w:spacing w:after="0" w:line="76"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color w:val="auto"/>
        </w:rPr>
        <w:t>The depositary will maintain in New York facilities to record and process the issuance, cancellation, combination, split-up and transfer of ADSs. These facilities may be closed from time to time, to the extent not prohibited by law.</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of Notices, Reports and Proxy Soliciting Material</w:t>
      </w:r>
    </w:p>
    <w:p>
      <w:pPr>
        <w:spacing w:after="0" w:line="13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depositary will make available for your inspection at its office all communications that it receives from us as a holder of deposited securities that we make generally available to holders of deposited securities. Subject to the terms of the deposit agreement, the depositary will send you copies of those communications or otherwise make those communications available to you if we ask it to.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Obligations and Liabilities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deposit agreement limits our obligations and the depositary's obligations to you. Please note the following:</w:t>
      </w:r>
    </w:p>
    <w:p>
      <w:pPr>
        <w:spacing w:after="0" w:line="157" w:lineRule="exact"/>
        <w:rPr>
          <w:sz w:val="20"/>
          <w:szCs w:val="20"/>
          <w:color w:val="auto"/>
        </w:rPr>
      </w:pPr>
    </w:p>
    <w:p>
      <w:pPr>
        <w:ind w:left="320" w:hanging="312"/>
        <w:spacing w:after="0"/>
        <w:tabs>
          <w:tab w:leader="none" w:pos="32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are obligated only to take the actions specifically stated in the deposit agreement without negligence or bad faith.</w:t>
      </w:r>
    </w:p>
    <w:p>
      <w:pPr>
        <w:spacing w:after="0" w:line="139" w:lineRule="exact"/>
        <w:rPr>
          <w:rFonts w:ascii="Times New Roman" w:cs="Times New Roman" w:eastAsia="Times New Roman" w:hAnsi="Times New Roman"/>
          <w:sz w:val="22"/>
          <w:szCs w:val="22"/>
          <w:color w:val="auto"/>
        </w:rPr>
      </w:pPr>
    </w:p>
    <w:p>
      <w:pPr>
        <w:ind w:left="340" w:hanging="332"/>
        <w:spacing w:after="0" w:line="249" w:lineRule="auto"/>
        <w:tabs>
          <w:tab w:leader="none" w:pos="335"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The depositary disclaims any liability for any failure to carry out voting instructions, for any manner in which a vote is cast or for the effect of any vote, provided it acts in good faith and in accordance with the terms of the deposit agreement.</w:t>
      </w:r>
    </w:p>
    <w:p>
      <w:pPr>
        <w:spacing w:after="0" w:line="130" w:lineRule="exact"/>
        <w:rPr>
          <w:rFonts w:ascii="Times New Roman" w:cs="Times New Roman" w:eastAsia="Times New Roman" w:hAnsi="Times New Roman"/>
          <w:sz w:val="22"/>
          <w:szCs w:val="22"/>
          <w:color w:val="auto"/>
        </w:rPr>
      </w:pPr>
    </w:p>
    <w:p>
      <w:pPr>
        <w:ind w:left="340" w:right="20" w:hanging="332"/>
        <w:spacing w:after="0" w:line="246" w:lineRule="auto"/>
        <w:tabs>
          <w:tab w:leader="none" w:pos="335"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The depositary disclaims any liability for any failure to determine the lawfulness or practicality of any action, for the content of any document forwarded to you on our behalf or for the accuracy of any translation of such a document, for the investment risks associated with investing in ordinary shares, for the validity or worth of the ordinary shares, for any tax consequences that result from the ownership of ADSs, for the credit-worthiness of any third party, for allowing any rights to lapse under the terms of the deposit agreement, for the timeliness of any of our notices or for our failure to give notice.</w:t>
      </w:r>
    </w:p>
    <w:p>
      <w:pPr>
        <w:spacing w:after="0" w:line="133"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will not be obligated to perform any act that is inconsistent with the terms of the deposit agreement.</w:t>
      </w:r>
    </w:p>
    <w:p>
      <w:pPr>
        <w:spacing w:after="0" w:line="139" w:lineRule="exact"/>
        <w:rPr>
          <w:rFonts w:ascii="Times New Roman" w:cs="Times New Roman" w:eastAsia="Times New Roman" w:hAnsi="Times New Roman"/>
          <w:sz w:val="22"/>
          <w:szCs w:val="22"/>
          <w:color w:val="auto"/>
        </w:rPr>
      </w:pPr>
    </w:p>
    <w:p>
      <w:pPr>
        <w:ind w:left="340" w:right="80" w:hanging="332"/>
        <w:spacing w:after="0" w:line="244" w:lineRule="auto"/>
        <w:tabs>
          <w:tab w:leader="none" w:pos="335" w:val="left"/>
        </w:tabs>
        <w:numPr>
          <w:ilvl w:val="0"/>
          <w:numId w:val="78"/>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disclaim any liability if we or the depositary are prevented or forbidden from or subject to any civil or criminal penalty or restraint on account of, or delayed in, doing or performing any act or thing required by the terms of the deposit agreement, by reason of any provision, present or future of any law or regulation, or by reason of present or future provision of any provision of our Articles of Association, or any provision of or governing the securities on deposit, or by reason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180"/>
          </w:cols>
          <w:pgMar w:left="320" w:top="1440" w:right="399" w:bottom="1440" w:gutter="0" w:footer="0" w:header="0"/>
        </w:sectPr>
      </w:pPr>
    </w:p>
    <w:bookmarkStart w:id="160" w:name="page161"/>
    <w:bookmarkEnd w:id="160"/>
    <w:p>
      <w:pPr>
        <w:spacing w:after="0" w:line="9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 of God or war or other circumstances beyond our control.</w:t>
      </w:r>
    </w:p>
    <w:p>
      <w:pPr>
        <w:spacing w:after="0" w:line="185" w:lineRule="exact"/>
        <w:rPr>
          <w:sz w:val="20"/>
          <w:szCs w:val="20"/>
          <w:color w:val="auto"/>
        </w:rPr>
      </w:pPr>
    </w:p>
    <w:p>
      <w:pPr>
        <w:ind w:left="340" w:right="140" w:hanging="332"/>
        <w:spacing w:after="0" w:line="237" w:lineRule="auto"/>
        <w:tabs>
          <w:tab w:leader="none" w:pos="33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disclaim any liability by reason of any exercise of, or failure to exercise, any discretion provided for in the deposit agreement or in our Articles of Association or in any provisions of or governing the securities on deposit.</w:t>
      </w:r>
    </w:p>
    <w:p>
      <w:pPr>
        <w:spacing w:after="0" w:line="139" w:lineRule="exact"/>
        <w:rPr>
          <w:rFonts w:ascii="Times New Roman" w:cs="Times New Roman" w:eastAsia="Times New Roman" w:hAnsi="Times New Roman"/>
          <w:sz w:val="22"/>
          <w:szCs w:val="22"/>
          <w:color w:val="auto"/>
        </w:rPr>
      </w:pPr>
    </w:p>
    <w:p>
      <w:pPr>
        <w:ind w:left="340" w:right="120" w:hanging="332"/>
        <w:spacing w:after="0" w:line="242" w:lineRule="auto"/>
        <w:tabs>
          <w:tab w:leader="none" w:pos="33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further disclaim any liability for any action or inaction in reliance on the advice or information received from legal counsel, accountants, any person presenting Shares for deposit, any holder of ADSs or authorized representatives thereof, or any other person believed by either of us in good faith to be competent to give such advice or information.</w:t>
      </w:r>
    </w:p>
    <w:p>
      <w:pPr>
        <w:spacing w:after="0" w:line="150" w:lineRule="exact"/>
        <w:rPr>
          <w:rFonts w:ascii="Times New Roman" w:cs="Times New Roman" w:eastAsia="Times New Roman" w:hAnsi="Times New Roman"/>
          <w:sz w:val="22"/>
          <w:szCs w:val="22"/>
          <w:color w:val="auto"/>
        </w:rPr>
      </w:pPr>
    </w:p>
    <w:p>
      <w:pPr>
        <w:ind w:left="340" w:right="80" w:hanging="332"/>
        <w:spacing w:after="0" w:line="237" w:lineRule="auto"/>
        <w:tabs>
          <w:tab w:leader="none" w:pos="33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also disclaim liability for the inability by a holder to benefit from any distribution, offering, right or other benefit that is made available to holders of ordinary shares but is not, under the terms of the deposit agreement, made available to you.</w:t>
      </w:r>
    </w:p>
    <w:p>
      <w:pPr>
        <w:spacing w:after="0" w:line="139" w:lineRule="exact"/>
        <w:rPr>
          <w:rFonts w:ascii="Times New Roman" w:cs="Times New Roman" w:eastAsia="Times New Roman" w:hAnsi="Times New Roman"/>
          <w:sz w:val="22"/>
          <w:szCs w:val="22"/>
          <w:color w:val="auto"/>
        </w:rPr>
      </w:pPr>
    </w:p>
    <w:p>
      <w:pPr>
        <w:ind w:left="340" w:right="320" w:hanging="332"/>
        <w:spacing w:after="0" w:line="237" w:lineRule="auto"/>
        <w:tabs>
          <w:tab w:leader="none" w:pos="33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may rely without any liability upon any written notice, request or other document believed to be genuine and to have been signed or presented by the proper parties.</w:t>
      </w:r>
    </w:p>
    <w:p>
      <w:pPr>
        <w:spacing w:after="0" w:line="153" w:lineRule="exact"/>
        <w:rPr>
          <w:rFonts w:ascii="Times New Roman" w:cs="Times New Roman" w:eastAsia="Times New Roman" w:hAnsi="Times New Roman"/>
          <w:sz w:val="22"/>
          <w:szCs w:val="22"/>
          <w:color w:val="auto"/>
        </w:rPr>
      </w:pPr>
    </w:p>
    <w:p>
      <w:pPr>
        <w:ind w:left="340" w:right="680" w:hanging="332"/>
        <w:spacing w:after="0" w:line="237" w:lineRule="auto"/>
        <w:tabs>
          <w:tab w:leader="none" w:pos="335"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We and the depositary also disclaim liability for any consequential or punitive damages for any breach of the terms of the deposit agreement.</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79"/>
        </w:numPr>
        <w:rPr>
          <w:rFonts w:ascii="Times New Roman" w:cs="Times New Roman" w:eastAsia="Times New Roman" w:hAnsi="Times New Roman"/>
          <w:sz w:val="22"/>
          <w:szCs w:val="22"/>
          <w:color w:val="auto"/>
        </w:rPr>
      </w:pPr>
      <w:r>
        <w:rPr>
          <w:rFonts w:ascii="Arial" w:cs="Arial" w:eastAsia="Arial" w:hAnsi="Arial"/>
          <w:sz w:val="18"/>
          <w:szCs w:val="18"/>
          <w:color w:val="auto"/>
        </w:rPr>
        <w:t>No disclaimer of any Securities Act liability is intended by any provision of the deposit agreement.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Pre-Release Transactions</w:t>
      </w:r>
    </w:p>
    <w:p>
      <w:pPr>
        <w:spacing w:after="0" w:line="13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Subject to the terms and conditions of the deposit agreement, the depositary may issue to broker/dealers ADSs before receiving a deposit of ordinary shares or release ordinary shares to broker/dealers before receiving ADSs for cancellation. These transactions are commonly referred to as "pre-release transactions," and are entered into between the depositary and the applicable broker/dealer. The deposit agreement limits the aggregate size of pre-release transactions (not to exceed 30% of the ordinary shares on deposit in the aggregate) and imposes a number of conditions on such transactions (e.g., the need to receive collateral, the type of collateral required, the representations required from brokers, etc.). The depositary may retain the compensation received from the pre-release transactions.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w:t>
      </w:r>
    </w:p>
    <w:p>
      <w:pPr>
        <w:spacing w:after="0" w:line="14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You will be responsible for the taxes and other governmental charges payable on the ADSs and the securities represented by the ADSs. We, the depositary and the custodian may deduct from any distribution the taxes and governmental charges payable by holders and may sell any and all property on deposit to pay the taxes and governmental charges payable by holders. You will be liable for any deficiency if the sale proceeds do not cover the taxes that are due.</w:t>
      </w:r>
    </w:p>
    <w:p>
      <w:pPr>
        <w:spacing w:after="0" w:line="200" w:lineRule="exact"/>
        <w:rPr>
          <w:sz w:val="20"/>
          <w:szCs w:val="20"/>
          <w:color w:val="auto"/>
        </w:rPr>
      </w:pPr>
    </w:p>
    <w:p>
      <w:pPr>
        <w:spacing w:after="0" w:line="34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depositary may refuse to issue ADSs, to deliver, transfer, split and combine ADRs or to release securities on deposit until all taxes and charges are paid by the applicable holder. The depositary and the custodian may take reasonable administrative actions to obtain tax refunds and reduced tax withholding for any distributions on your behalf. However, you may be required to provide to the depositary and to the custodian proof of taxpayer status and residence and such other information as the depositary and the custodian may require to fulfill legal obligations. You are required to indemnify us, the depositary and the custodian for any claims with respect to taxes based on any tax benefit obtained for you.</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Conversion</w:t>
      </w:r>
    </w:p>
    <w:p>
      <w:pPr>
        <w:spacing w:after="0" w:line="144" w:lineRule="exact"/>
        <w:rPr>
          <w:sz w:val="20"/>
          <w:szCs w:val="20"/>
          <w:color w:val="auto"/>
        </w:rPr>
      </w:pPr>
    </w:p>
    <w:p>
      <w:pPr>
        <w:ind w:right="540"/>
        <w:spacing w:after="0" w:line="287" w:lineRule="auto"/>
        <w:rPr>
          <w:sz w:val="20"/>
          <w:szCs w:val="20"/>
          <w:color w:val="auto"/>
        </w:rPr>
      </w:pPr>
      <w:r>
        <w:rPr>
          <w:rFonts w:ascii="Arial" w:cs="Arial" w:eastAsia="Arial" w:hAnsi="Arial"/>
          <w:sz w:val="18"/>
          <w:szCs w:val="18"/>
          <w:color w:val="auto"/>
        </w:rPr>
        <w:t>The depositary will arrange for the conversion of all foreign currency received into U.S. dollars if such conversion is practical, and it will distribute the U.S. dollars in accordance with the terms of the deposit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99"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agreement. You may have to pay fees and expenses incurred in converting foreign currency, such as fees and expenses incurred in complying with currency exchange controls and other governmental requirements.</w:t>
      </w:r>
    </w:p>
    <w:p>
      <w:pPr>
        <w:spacing w:after="0" w:line="7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If the conversion of foreign currency is not practical or lawful, or if any required approvals are denied or not obtainable at a reasonable cost or within a reasonable period, the depositary may take the following actions in its discretion:</w:t>
      </w:r>
    </w:p>
    <w:p>
      <w:pPr>
        <w:spacing w:after="0" w:line="99" w:lineRule="exact"/>
        <w:rPr>
          <w:sz w:val="20"/>
          <w:szCs w:val="20"/>
          <w:color w:val="auto"/>
        </w:rPr>
      </w:pPr>
    </w:p>
    <w:p>
      <w:pPr>
        <w:ind w:left="340" w:right="120" w:hanging="332"/>
        <w:spacing w:after="0" w:line="237" w:lineRule="auto"/>
        <w:tabs>
          <w:tab w:leader="none" w:pos="335"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8"/>
          <w:szCs w:val="18"/>
          <w:color w:val="auto"/>
        </w:rPr>
        <w:t>Convert the foreign currency to the extent practical and lawful and distribute the U.S. dollars to the holders for whom the conversion and distribution is lawful and practical.</w:t>
      </w:r>
    </w:p>
    <w:p>
      <w:pPr>
        <w:spacing w:after="0" w:line="139"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8"/>
          <w:szCs w:val="18"/>
          <w:color w:val="auto"/>
        </w:rPr>
        <w:t>Distribute the foreign currency to holders for whom the distribution is lawful and practical.</w:t>
      </w:r>
    </w:p>
    <w:p>
      <w:pPr>
        <w:spacing w:after="0" w:line="125"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80"/>
        </w:numPr>
        <w:rPr>
          <w:rFonts w:ascii="Times New Roman" w:cs="Times New Roman" w:eastAsia="Times New Roman" w:hAnsi="Times New Roman"/>
          <w:sz w:val="22"/>
          <w:szCs w:val="22"/>
          <w:color w:val="auto"/>
        </w:rPr>
      </w:pPr>
      <w:r>
        <w:rPr>
          <w:rFonts w:ascii="Arial" w:cs="Arial" w:eastAsia="Arial" w:hAnsi="Arial"/>
          <w:sz w:val="18"/>
          <w:szCs w:val="18"/>
          <w:color w:val="auto"/>
        </w:rPr>
        <w:t>Hold the foreign currency (without liability for interest) for the applicable holders.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Law/Waiver of Jury Trial</w:t>
      </w:r>
    </w:p>
    <w:p>
      <w:pPr>
        <w:spacing w:after="0" w:line="131" w:lineRule="exact"/>
        <w:rPr>
          <w:sz w:val="20"/>
          <w:szCs w:val="20"/>
          <w:color w:val="auto"/>
        </w:rPr>
      </w:pPr>
    </w:p>
    <w:p>
      <w:pPr>
        <w:ind w:right="580"/>
        <w:spacing w:after="0" w:line="287" w:lineRule="auto"/>
        <w:rPr>
          <w:sz w:val="20"/>
          <w:szCs w:val="20"/>
          <w:color w:val="auto"/>
        </w:rPr>
      </w:pPr>
      <w:r>
        <w:rPr>
          <w:rFonts w:ascii="Arial" w:cs="Arial" w:eastAsia="Arial" w:hAnsi="Arial"/>
          <w:sz w:val="18"/>
          <w:szCs w:val="18"/>
          <w:color w:val="auto"/>
        </w:rPr>
        <w:t>The deposit agreement and the ADRs will be interpreted in accordance with the laws of the State of New York. The rights of holders of ordinary shares (including ordinary shares represented by ADSs) is governed by the laws of England and Wales.</w:t>
      </w:r>
    </w:p>
    <w:p>
      <w:pPr>
        <w:spacing w:after="0" w:line="58"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color w:val="auto"/>
        </w:rPr>
        <w:t>AS A PARTY TO THE DEPOSIT AGREEMENT, YOU WAIVE YOUR RIGHT TO TRIAL BY JURY IN ANY LEGAL PROCEEDING ARISING OUT OF THE DEPOSIT AGREEMENT OR THE ADRs AGAINST US AND/OR THE DEPOSITARY.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|US-DOCS\157400593.2||</w:t>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39900" cy="8489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0">
                      <a:clrChange>
                        <a:clrFrom>
                          <a:srgbClr val="FFFFFF"/>
                        </a:clrFrom>
                        <a:clrTo>
                          <a:srgbClr val="FFFFFF">
                            <a:alpha val="0"/>
                          </a:srgbClr>
                        </a:clrTo>
                      </a:clrChange>
                      <a:extLst>
                        <a:ext uri="{28A0092B-C50C-407E-A947-70E740481C1C}"/>
                      </a:extLst>
                    </a:blip>
                    <a:srcRect/>
                    <a:stretch>
                      <a:fillRect/>
                    </a:stretch>
                  </pic:blipFill>
                  <pic:spPr bwMode="auto">
                    <a:xfrm>
                      <a:off x="0" y="0"/>
                      <a:ext cx="1739900" cy="848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alibri" w:cs="Calibri" w:eastAsia="Calibri" w:hAnsi="Calibri"/>
          <w:sz w:val="20"/>
          <w:szCs w:val="20"/>
          <w:color w:val="auto"/>
        </w:rPr>
        <w:t>March 1, 2024</w:t>
      </w:r>
    </w:p>
    <w:p>
      <w:pPr>
        <w:spacing w:after="0" w:line="80" w:lineRule="exact"/>
        <w:rPr>
          <w:sz w:val="20"/>
          <w:szCs w:val="20"/>
          <w:color w:val="auto"/>
        </w:rPr>
      </w:pPr>
    </w:p>
    <w:p>
      <w:pPr>
        <w:spacing w:after="0"/>
        <w:rPr>
          <w:sz w:val="20"/>
          <w:szCs w:val="20"/>
          <w:color w:val="auto"/>
        </w:rPr>
      </w:pPr>
      <w:r>
        <w:rPr>
          <w:rFonts w:ascii="Calibri" w:cs="Calibri" w:eastAsia="Calibri" w:hAnsi="Calibri"/>
          <w:sz w:val="20"/>
          <w:szCs w:val="20"/>
          <w:color w:val="auto"/>
        </w:rPr>
        <w:t>Andrew Fisher</w:t>
      </w:r>
    </w:p>
    <w:p>
      <w:pPr>
        <w:spacing w:after="0" w:line="225" w:lineRule="auto"/>
        <w:rPr>
          <w:sz w:val="20"/>
          <w:szCs w:val="20"/>
          <w:color w:val="auto"/>
        </w:rPr>
      </w:pPr>
      <w:r>
        <w:rPr>
          <w:rFonts w:ascii="Calibri" w:cs="Calibri" w:eastAsia="Calibri" w:hAnsi="Calibri"/>
          <w:sz w:val="20"/>
          <w:szCs w:val="20"/>
          <w:color w:val="auto"/>
        </w:rPr>
        <w:t>xxxxxxxxxxxxx</w:t>
      </w:r>
    </w:p>
    <w:p>
      <w:pPr>
        <w:spacing w:after="0"/>
        <w:rPr>
          <w:sz w:val="20"/>
          <w:szCs w:val="20"/>
          <w:color w:val="auto"/>
        </w:rPr>
      </w:pPr>
      <w:r>
        <w:rPr>
          <w:rFonts w:ascii="Calibri" w:cs="Calibri" w:eastAsia="Calibri" w:hAnsi="Calibri"/>
          <w:sz w:val="20"/>
          <w:szCs w:val="20"/>
          <w:color w:val="auto"/>
        </w:rPr>
        <w:t>xxxxxxxxxxxxx</w:t>
      </w:r>
    </w:p>
    <w:p>
      <w:pPr>
        <w:spacing w:after="0" w:line="241" w:lineRule="exact"/>
        <w:rPr>
          <w:sz w:val="20"/>
          <w:szCs w:val="20"/>
          <w:color w:val="auto"/>
        </w:rPr>
      </w:pPr>
    </w:p>
    <w:p>
      <w:pPr>
        <w:spacing w:after="0"/>
        <w:rPr>
          <w:sz w:val="20"/>
          <w:szCs w:val="20"/>
          <w:color w:val="auto"/>
        </w:rPr>
      </w:pPr>
      <w:r>
        <w:rPr>
          <w:rFonts w:ascii="Calibri" w:cs="Calibri" w:eastAsia="Calibri" w:hAnsi="Calibri"/>
          <w:sz w:val="20"/>
          <w:szCs w:val="20"/>
          <w:color w:val="auto"/>
        </w:rPr>
        <w:t>Dear Andrew,</w:t>
      </w:r>
    </w:p>
    <w:p>
      <w:pPr>
        <w:spacing w:after="0" w:line="238" w:lineRule="exact"/>
        <w:rPr>
          <w:sz w:val="20"/>
          <w:szCs w:val="20"/>
          <w:color w:val="auto"/>
        </w:rPr>
      </w:pPr>
    </w:p>
    <w:p>
      <w:pPr>
        <w:spacing w:after="0" w:line="228" w:lineRule="auto"/>
        <w:rPr>
          <w:sz w:val="20"/>
          <w:szCs w:val="20"/>
          <w:color w:val="auto"/>
        </w:rPr>
      </w:pPr>
      <w:r>
        <w:rPr>
          <w:rFonts w:ascii="Calibri" w:cs="Calibri" w:eastAsia="Calibri" w:hAnsi="Calibri"/>
          <w:sz w:val="20"/>
          <w:szCs w:val="20"/>
          <w:b w:val="1"/>
          <w:bCs w:val="1"/>
          <w:color w:val="auto"/>
        </w:rPr>
        <w:t xml:space="preserve">Verona Pharma </w:t>
      </w:r>
      <w:r>
        <w:rPr>
          <w:rFonts w:ascii="Calibri" w:cs="Calibri" w:eastAsia="Calibri" w:hAnsi="Calibri"/>
          <w:sz w:val="20"/>
          <w:szCs w:val="20"/>
          <w:color w:val="auto"/>
        </w:rPr>
        <w:t>(the “Company” or “Verona”) is very pleased to ofer you a regular full-tme, exempt positon. If you accept our ofer,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the terms of your employment will be as follows:</w:t>
      </w:r>
    </w:p>
    <w:p>
      <w:pPr>
        <w:spacing w:after="0" w:line="242" w:lineRule="exact"/>
        <w:rPr>
          <w:sz w:val="20"/>
          <w:szCs w:val="20"/>
          <w:color w:val="auto"/>
        </w:rPr>
      </w:pPr>
    </w:p>
    <w:p>
      <w:pPr>
        <w:ind w:left="340"/>
        <w:spacing w:after="0"/>
        <w:tabs>
          <w:tab w:leader="none" w:pos="1160" w:val="left"/>
        </w:tabs>
        <w:rPr>
          <w:sz w:val="20"/>
          <w:szCs w:val="20"/>
          <w:color w:val="auto"/>
        </w:rPr>
      </w:pPr>
      <w:r>
        <w:rPr>
          <w:rFonts w:ascii="Calibri" w:cs="Calibri" w:eastAsia="Calibri" w:hAnsi="Calibri"/>
          <w:sz w:val="20"/>
          <w:szCs w:val="20"/>
          <w:b w:val="1"/>
          <w:bCs w:val="1"/>
          <w:color w:val="auto"/>
        </w:rPr>
        <w:t>Title:</w:t>
      </w:r>
      <w:r>
        <w:rPr>
          <w:sz w:val="20"/>
          <w:szCs w:val="20"/>
          <w:color w:val="auto"/>
        </w:rPr>
        <w:tab/>
      </w:r>
      <w:r>
        <w:rPr>
          <w:rFonts w:ascii="Calibri" w:cs="Calibri" w:eastAsia="Calibri" w:hAnsi="Calibri"/>
          <w:sz w:val="20"/>
          <w:szCs w:val="20"/>
          <w:color w:val="auto"/>
        </w:rPr>
        <w:t>General Counsel</w:t>
      </w:r>
    </w:p>
    <w:p>
      <w:pPr>
        <w:ind w:left="880"/>
        <w:spacing w:after="0" w:line="225" w:lineRule="auto"/>
        <w:rPr>
          <w:sz w:val="20"/>
          <w:szCs w:val="20"/>
          <w:color w:val="auto"/>
        </w:rPr>
      </w:pPr>
      <w:r>
        <w:rPr>
          <w:rFonts w:ascii="Calibri" w:cs="Calibri" w:eastAsia="Calibri" w:hAnsi="Calibri"/>
          <w:sz w:val="20"/>
          <w:szCs w:val="20"/>
          <w:color w:val="auto"/>
        </w:rPr>
        <w:t>Legal &amp; Compliance Department</w:t>
      </w:r>
    </w:p>
    <w:p>
      <w:pPr>
        <w:spacing w:after="0" w:line="229" w:lineRule="exact"/>
        <w:rPr>
          <w:sz w:val="20"/>
          <w:szCs w:val="20"/>
          <w:color w:val="auto"/>
        </w:rPr>
      </w:pPr>
    </w:p>
    <w:p>
      <w:pPr>
        <w:ind w:left="340"/>
        <w:spacing w:after="0"/>
        <w:tabs>
          <w:tab w:leader="none" w:pos="1660" w:val="left"/>
        </w:tabs>
        <w:rPr>
          <w:sz w:val="20"/>
          <w:szCs w:val="20"/>
          <w:color w:val="auto"/>
        </w:rPr>
      </w:pPr>
      <w:r>
        <w:rPr>
          <w:rFonts w:ascii="Calibri" w:cs="Calibri" w:eastAsia="Calibri" w:hAnsi="Calibri"/>
          <w:sz w:val="20"/>
          <w:szCs w:val="20"/>
          <w:b w:val="1"/>
          <w:bCs w:val="1"/>
          <w:color w:val="auto"/>
        </w:rPr>
        <w:t>Reports to:</w:t>
      </w:r>
      <w:r>
        <w:rPr>
          <w:sz w:val="20"/>
          <w:szCs w:val="20"/>
          <w:color w:val="auto"/>
        </w:rPr>
        <w:tab/>
      </w:r>
      <w:r>
        <w:rPr>
          <w:rFonts w:ascii="Calibri" w:cs="Calibri" w:eastAsia="Calibri" w:hAnsi="Calibri"/>
          <w:sz w:val="20"/>
          <w:szCs w:val="20"/>
          <w:color w:val="auto"/>
        </w:rPr>
        <w:t>Dave Zaccardelli, President &amp; CEO</w:t>
      </w:r>
    </w:p>
    <w:p>
      <w:pPr>
        <w:spacing w:after="0" w:line="242" w:lineRule="exact"/>
        <w:rPr>
          <w:sz w:val="20"/>
          <w:szCs w:val="20"/>
          <w:color w:val="auto"/>
        </w:rPr>
      </w:pPr>
    </w:p>
    <w:p>
      <w:pPr>
        <w:ind w:left="340"/>
        <w:spacing w:after="0"/>
        <w:tabs>
          <w:tab w:leader="none" w:pos="1580" w:val="left"/>
        </w:tabs>
        <w:rPr>
          <w:sz w:val="20"/>
          <w:szCs w:val="20"/>
          <w:color w:val="auto"/>
        </w:rPr>
      </w:pPr>
      <w:r>
        <w:rPr>
          <w:rFonts w:ascii="Calibri" w:cs="Calibri" w:eastAsia="Calibri" w:hAnsi="Calibri"/>
          <w:sz w:val="20"/>
          <w:szCs w:val="20"/>
          <w:b w:val="1"/>
          <w:bCs w:val="1"/>
          <w:color w:val="auto"/>
        </w:rPr>
        <w:t>Start Date:</w:t>
      </w:r>
      <w:r>
        <w:rPr>
          <w:sz w:val="20"/>
          <w:szCs w:val="20"/>
          <w:color w:val="auto"/>
        </w:rPr>
        <w:tab/>
      </w:r>
      <w:r>
        <w:rPr>
          <w:rFonts w:ascii="Calibri" w:cs="Calibri" w:eastAsia="Calibri" w:hAnsi="Calibri"/>
          <w:sz w:val="20"/>
          <w:szCs w:val="20"/>
          <w:color w:val="auto"/>
        </w:rPr>
        <w:t>March 4, 2024</w:t>
      </w:r>
    </w:p>
    <w:p>
      <w:pPr>
        <w:spacing w:after="0" w:line="228" w:lineRule="exact"/>
        <w:rPr>
          <w:sz w:val="20"/>
          <w:szCs w:val="20"/>
          <w:color w:val="auto"/>
        </w:rPr>
      </w:pPr>
    </w:p>
    <w:p>
      <w:pPr>
        <w:ind w:left="340"/>
        <w:spacing w:after="0"/>
        <w:tabs>
          <w:tab w:leader="none" w:pos="1500" w:val="left"/>
        </w:tabs>
        <w:rPr>
          <w:sz w:val="20"/>
          <w:szCs w:val="20"/>
          <w:color w:val="auto"/>
        </w:rPr>
      </w:pPr>
      <w:r>
        <w:rPr>
          <w:rFonts w:ascii="Calibri" w:cs="Calibri" w:eastAsia="Calibri" w:hAnsi="Calibri"/>
          <w:sz w:val="20"/>
          <w:szCs w:val="20"/>
          <w:b w:val="1"/>
          <w:bCs w:val="1"/>
          <w:color w:val="auto"/>
        </w:rPr>
        <w:t>Base Salary:</w:t>
      </w:r>
      <w:r>
        <w:rPr>
          <w:sz w:val="20"/>
          <w:szCs w:val="20"/>
          <w:color w:val="auto"/>
        </w:rPr>
        <w:tab/>
      </w:r>
      <w:r>
        <w:rPr>
          <w:rFonts w:ascii="Calibri" w:cs="Calibri" w:eastAsia="Calibri" w:hAnsi="Calibri"/>
          <w:sz w:val="20"/>
          <w:szCs w:val="20"/>
          <w:color w:val="auto"/>
        </w:rPr>
        <w:t>Semi-monthly salary of $17,708.34 (which is equivalent to an annual salary of $425,000.16)</w:t>
      </w:r>
    </w:p>
    <w:p>
      <w:pPr>
        <w:spacing w:after="0" w:line="238" w:lineRule="exact"/>
        <w:rPr>
          <w:sz w:val="20"/>
          <w:szCs w:val="20"/>
          <w:color w:val="auto"/>
        </w:rPr>
      </w:pPr>
    </w:p>
    <w:p>
      <w:pPr>
        <w:ind w:left="340" w:right="3280"/>
        <w:spacing w:after="0" w:line="233" w:lineRule="auto"/>
        <w:rPr>
          <w:sz w:val="20"/>
          <w:szCs w:val="20"/>
          <w:color w:val="auto"/>
        </w:rPr>
      </w:pPr>
      <w:r>
        <w:rPr>
          <w:rFonts w:ascii="Calibri" w:cs="Calibri" w:eastAsia="Calibri" w:hAnsi="Calibri"/>
          <w:sz w:val="20"/>
          <w:szCs w:val="20"/>
          <w:b w:val="1"/>
          <w:bCs w:val="1"/>
          <w:color w:val="auto"/>
        </w:rPr>
        <w:t xml:space="preserve">Annual Bonus: </w:t>
      </w:r>
      <w:r>
        <w:rPr>
          <w:rFonts w:ascii="Calibri" w:cs="Calibri" w:eastAsia="Calibri" w:hAnsi="Calibri"/>
          <w:sz w:val="20"/>
          <w:szCs w:val="20"/>
          <w:color w:val="auto"/>
        </w:rPr>
        <w:t>Bonus of up to 40% of annual salary based on achievement of certain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individual and corporate milestones to be determined and approved by Verona’s Board of Directors (the “Board”). Any bonus is paid at the discreton of the Board and requires employment through the date of payment in order to be earned. For 2024, any bonus will be prorated for the period of tme employed during this calendar year – however if employment begins afer October 1, 2024, employee is ineligible for the 2024 bonus year.</w:t>
      </w:r>
    </w:p>
    <w:p>
      <w:pPr>
        <w:spacing w:after="0" w:line="242" w:lineRule="exact"/>
        <w:rPr>
          <w:sz w:val="20"/>
          <w:szCs w:val="20"/>
          <w:color w:val="auto"/>
        </w:rPr>
      </w:pPr>
    </w:p>
    <w:p>
      <w:pPr>
        <w:ind w:left="340"/>
        <w:spacing w:after="0"/>
        <w:tabs>
          <w:tab w:leader="none" w:pos="1780" w:val="left"/>
        </w:tabs>
        <w:rPr>
          <w:sz w:val="20"/>
          <w:szCs w:val="20"/>
          <w:color w:val="auto"/>
        </w:rPr>
      </w:pPr>
      <w:r>
        <w:rPr>
          <w:rFonts w:ascii="Calibri" w:cs="Calibri" w:eastAsia="Calibri" w:hAnsi="Calibri"/>
          <w:sz w:val="20"/>
          <w:szCs w:val="20"/>
          <w:b w:val="1"/>
          <w:bCs w:val="1"/>
          <w:color w:val="auto"/>
        </w:rPr>
        <w:t>Opton Award:</w:t>
      </w:r>
      <w:r>
        <w:rPr>
          <w:sz w:val="20"/>
          <w:szCs w:val="20"/>
          <w:color w:val="auto"/>
        </w:rPr>
        <w:tab/>
      </w:r>
      <w:r>
        <w:rPr>
          <w:rFonts w:ascii="Calibri" w:cs="Calibri" w:eastAsia="Calibri" w:hAnsi="Calibri"/>
          <w:sz w:val="20"/>
          <w:szCs w:val="20"/>
          <w:color w:val="auto"/>
        </w:rPr>
        <w:t>An opton to purchase of 300,000 shares of Company stock with a 4-year vestng schedule based on your service</w:t>
      </w:r>
    </w:p>
    <w:p>
      <w:pPr>
        <w:jc w:val="both"/>
        <w:ind w:left="340"/>
        <w:spacing w:after="0" w:line="232" w:lineRule="auto"/>
        <w:rPr>
          <w:sz w:val="20"/>
          <w:szCs w:val="20"/>
          <w:color w:val="auto"/>
        </w:rPr>
      </w:pPr>
      <w:r>
        <w:rPr>
          <w:rFonts w:ascii="Calibri" w:cs="Calibri" w:eastAsia="Calibri" w:hAnsi="Calibri"/>
          <w:sz w:val="20"/>
          <w:szCs w:val="20"/>
          <w:color w:val="auto"/>
        </w:rPr>
        <w:t>with Verona as follows: 25% of the total shares will vest on the 12-month anniversary of your start date, and 1/48 of total shares will vest monthly thereafer over the remaining three years. The opton award is subject to approval by the Chief Executve Ofcer and is contngent on executon of the associated Opton Grant Notce Agreement, which will be sent promptly following the grant date. The opton awards will be granted under the Company’s Equity Incentve Plan in place at the tme of the grant. The grant date of the opton shall be the frst trading day of the month following your ofcial start date. The opton awards will have a strike price equal to the closing price of the Company’s common stock on the trading day immediately prior to the date of grant.</w:t>
      </w:r>
    </w:p>
    <w:p>
      <w:pPr>
        <w:spacing w:after="0" w:line="253" w:lineRule="exact"/>
        <w:rPr>
          <w:sz w:val="20"/>
          <w:szCs w:val="20"/>
          <w:color w:val="auto"/>
        </w:rPr>
      </w:pPr>
    </w:p>
    <w:p>
      <w:pPr>
        <w:jc w:val="both"/>
        <w:ind w:left="340"/>
        <w:spacing w:after="0" w:line="230" w:lineRule="auto"/>
        <w:rPr>
          <w:sz w:val="20"/>
          <w:szCs w:val="20"/>
          <w:color w:val="auto"/>
        </w:rPr>
      </w:pPr>
      <w:r>
        <w:rPr>
          <w:rFonts w:ascii="Calibri" w:cs="Calibri" w:eastAsia="Calibri" w:hAnsi="Calibri"/>
          <w:sz w:val="20"/>
          <w:szCs w:val="20"/>
          <w:b w:val="1"/>
          <w:bCs w:val="1"/>
          <w:color w:val="auto"/>
        </w:rPr>
        <w:t xml:space="preserve">Benefts: </w:t>
      </w:r>
      <w:r>
        <w:rPr>
          <w:rFonts w:ascii="Calibri" w:cs="Calibri" w:eastAsia="Calibri" w:hAnsi="Calibri"/>
          <w:sz w:val="20"/>
          <w:szCs w:val="20"/>
          <w:color w:val="auto"/>
        </w:rPr>
        <w:t>You will be eligible to partcipate in the Company’s benefts programs to the same extent as, and subject to the same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terms, conditons, and limitatons applicable to, other employees of the Company of similar rank and tenure. These benefts presently include eligibility to partcipate in the Company’s 401(K) retrement plan, paid holidays and partal Company-paid Medical, Dental, Vision, Life and Disability coverage. Please note that the Company may modify compensaton and benefts at its discreton.</w:t>
      </w:r>
    </w:p>
    <w:p>
      <w:pPr>
        <w:spacing w:after="0" w:line="252" w:lineRule="exact"/>
        <w:rPr>
          <w:sz w:val="20"/>
          <w:szCs w:val="20"/>
          <w:color w:val="auto"/>
        </w:rPr>
      </w:pPr>
    </w:p>
    <w:p>
      <w:pPr>
        <w:jc w:val="both"/>
        <w:ind w:left="340"/>
        <w:spacing w:after="0" w:line="228" w:lineRule="auto"/>
        <w:rPr>
          <w:sz w:val="20"/>
          <w:szCs w:val="20"/>
          <w:color w:val="auto"/>
        </w:rPr>
      </w:pPr>
      <w:r>
        <w:rPr>
          <w:rFonts w:ascii="Calibri" w:cs="Calibri" w:eastAsia="Calibri" w:hAnsi="Calibri"/>
          <w:sz w:val="20"/>
          <w:szCs w:val="20"/>
          <w:b w:val="1"/>
          <w:bCs w:val="1"/>
          <w:color w:val="auto"/>
        </w:rPr>
        <w:t xml:space="preserve">Paid Time Of: </w:t>
      </w:r>
      <w:r>
        <w:rPr>
          <w:rFonts w:ascii="Calibri" w:cs="Calibri" w:eastAsia="Calibri" w:hAnsi="Calibri"/>
          <w:sz w:val="20"/>
          <w:szCs w:val="20"/>
          <w:color w:val="auto"/>
        </w:rPr>
        <w:t>As a regular full-tme employee, you will be eligible to accrue 25 days of PTO each calendar year. These PTO days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accrue each pay period and are therefore prorated during</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type w:val="continuous"/>
        </w:sectPr>
      </w:pPr>
    </w:p>
    <w:bookmarkStart w:id="163" w:name="page164"/>
    <w:bookmarkEnd w:id="163"/>
    <w:p>
      <w:pPr>
        <w:jc w:val="both"/>
        <w:ind w:left="340" w:right="20"/>
        <w:spacing w:after="0" w:line="234" w:lineRule="auto"/>
        <w:rPr>
          <w:sz w:val="20"/>
          <w:szCs w:val="20"/>
          <w:color w:val="auto"/>
        </w:rPr>
      </w:pPr>
      <w:r>
        <w:rPr>
          <w:rFonts w:ascii="Calibri" w:cs="Calibri" w:eastAsia="Calibri" w:hAnsi="Calibri"/>
          <w:sz w:val="20"/>
          <w:szCs w:val="20"/>
          <w:color w:val="auto"/>
        </w:rPr>
        <w:t>your frst year with Verona and cannot be carried over from year to year. Based on your date of hire, you are eligible for 3 foatng holidays in 2024. Verona provides 8 paid holidays in 2024.</w:t>
      </w:r>
    </w:p>
    <w:p>
      <w:pPr>
        <w:spacing w:after="0" w:line="91" w:lineRule="exact"/>
        <w:rPr>
          <w:sz w:val="20"/>
          <w:szCs w:val="20"/>
          <w:color w:val="auto"/>
        </w:rPr>
      </w:pPr>
    </w:p>
    <w:p>
      <w:pPr>
        <w:jc w:val="both"/>
        <w:ind w:left="340"/>
        <w:spacing w:after="0" w:line="231" w:lineRule="auto"/>
        <w:rPr>
          <w:sz w:val="20"/>
          <w:szCs w:val="20"/>
          <w:color w:val="auto"/>
        </w:rPr>
      </w:pPr>
      <w:r>
        <w:rPr>
          <w:rFonts w:ascii="Calibri" w:cs="Calibri" w:eastAsia="Calibri" w:hAnsi="Calibri"/>
          <w:sz w:val="20"/>
          <w:szCs w:val="20"/>
          <w:b w:val="1"/>
          <w:bCs w:val="1"/>
          <w:color w:val="auto"/>
        </w:rPr>
        <w:t xml:space="preserve">Terminaton: </w:t>
      </w:r>
      <w:r>
        <w:rPr>
          <w:rFonts w:ascii="Calibri" w:cs="Calibri" w:eastAsia="Calibri" w:hAnsi="Calibri"/>
          <w:sz w:val="20"/>
          <w:szCs w:val="20"/>
          <w:color w:val="auto"/>
        </w:rPr>
        <w:t>Terminaton by the Company without cause or terminaton by the employee for good reason. If employment 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terminated by the Company without Cause (as defned below) or by the Employee for Good Reason (as defned below), and if you sign an agreement acceptable to the Company that (i) waives any rights you may otherwise have against the Company and Parent,</w:t>
      </w:r>
    </w:p>
    <w:p>
      <w:pPr>
        <w:spacing w:after="0" w:line="11" w:lineRule="exact"/>
        <w:rPr>
          <w:sz w:val="20"/>
          <w:szCs w:val="20"/>
          <w:color w:val="auto"/>
        </w:rPr>
      </w:pPr>
    </w:p>
    <w:p>
      <w:pPr>
        <w:jc w:val="both"/>
        <w:ind w:left="340" w:hanging="8"/>
        <w:spacing w:after="0" w:line="232" w:lineRule="auto"/>
        <w:tabs>
          <w:tab w:leader="none" w:pos="610" w:val="left"/>
        </w:tabs>
        <w:numPr>
          <w:ilvl w:val="0"/>
          <w:numId w:val="81"/>
        </w:numPr>
        <w:rPr>
          <w:rFonts w:ascii="Calibri" w:cs="Calibri" w:eastAsia="Calibri" w:hAnsi="Calibri"/>
          <w:sz w:val="20"/>
          <w:szCs w:val="20"/>
          <w:color w:val="auto"/>
        </w:rPr>
      </w:pPr>
      <w:r>
        <w:rPr>
          <w:rFonts w:ascii="Calibri" w:cs="Calibri" w:eastAsia="Calibri" w:hAnsi="Calibri"/>
          <w:sz w:val="20"/>
          <w:szCs w:val="20"/>
          <w:color w:val="auto"/>
        </w:rPr>
        <w:t>releases the Company and Parent from any actons, suits, claims, proceedings and demands you may have relatng to the period of your employment with the Company and/or the terminaton of your employment, and (iii) contains certain other obligatons which will be set forth at the tme of the terminaton, the Company shall provide you with the following severance benefts: (1) contnuaton of your base salary less payroll deductons and withholding for a period of twelve (12) months; (2) contnued payment, or reimbursement, as the case may be, of your COBRA premiums at the rate in efect upon terminaton for a period of twelve (12) months; and (3) a pro-rated porton of the annual bonus you otherwise would have earned for the year in which terminaton occurs, if any, based upon actual performance for such year. If employment is terminated by the Company at any tme with Cause, by reason of your death or disability, or if you terminate your employment with the Company, you shall not be enttled to any severance pay, severance benefts, or any compensaton or benefts from the Company whatsoever.</w:t>
      </w:r>
    </w:p>
    <w:p>
      <w:pPr>
        <w:spacing w:after="0" w:line="94" w:lineRule="exact"/>
        <w:rPr>
          <w:sz w:val="20"/>
          <w:szCs w:val="20"/>
          <w:color w:val="auto"/>
        </w:rPr>
      </w:pPr>
    </w:p>
    <w:p>
      <w:pPr>
        <w:ind w:left="340"/>
        <w:spacing w:after="0"/>
        <w:rPr>
          <w:sz w:val="20"/>
          <w:szCs w:val="20"/>
          <w:color w:val="auto"/>
        </w:rPr>
      </w:pPr>
      <w:r>
        <w:rPr>
          <w:rFonts w:ascii="Calibri" w:cs="Calibri" w:eastAsia="Calibri" w:hAnsi="Calibri"/>
          <w:sz w:val="20"/>
          <w:szCs w:val="20"/>
          <w:b w:val="1"/>
          <w:bCs w:val="1"/>
          <w:color w:val="auto"/>
        </w:rPr>
        <w:t>Defnitons:</w:t>
      </w:r>
    </w:p>
    <w:p>
      <w:pPr>
        <w:spacing w:after="0" w:line="90" w:lineRule="exact"/>
        <w:rPr>
          <w:sz w:val="20"/>
          <w:szCs w:val="20"/>
          <w:color w:val="auto"/>
        </w:rPr>
      </w:pPr>
    </w:p>
    <w:p>
      <w:pPr>
        <w:jc w:val="both"/>
        <w:ind w:left="340"/>
        <w:spacing w:after="0" w:line="232" w:lineRule="auto"/>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Cause</w:t>
      </w:r>
      <w:r>
        <w:rPr>
          <w:rFonts w:ascii="Calibri" w:cs="Calibri" w:eastAsia="Calibri" w:hAnsi="Calibri"/>
          <w:sz w:val="20"/>
          <w:szCs w:val="20"/>
          <w:color w:val="auto"/>
        </w:rPr>
        <w:t>" for purposes of this Ofer shall mean if you: (1) shall have been convicted of any felony or any other act involving fraud, thef, misappropriaton, dishonesty, or embezzlement; (2) shall have commited intentonal acts that materially impair the goodwill or business of the Company or their respectve afliates or cause material damage to the property, goodwill, or business of Company or their respectve afliates; (3) shall have refused to, or willfully failed to, perform your dutes hereunder or carry out, in any material respect, the lawful and reasonable directve of the Board; (4) shall have materially violated any writen policies or procedures of the Company or any of its afliates; (5) shall have breached a material provision of this Ofer; or (6) shall have unlawfully used (including being under the infuence) or possessed illegal drugs on the Company's (or any of its afliates') premises or while performing your dutes and responsibilites hereunder.</w:t>
      </w:r>
    </w:p>
    <w:p>
      <w:pPr>
        <w:spacing w:after="0" w:line="97" w:lineRule="exact"/>
        <w:rPr>
          <w:sz w:val="20"/>
          <w:szCs w:val="20"/>
          <w:color w:val="auto"/>
        </w:rPr>
      </w:pPr>
    </w:p>
    <w:p>
      <w:pPr>
        <w:jc w:val="both"/>
        <w:ind w:left="340"/>
        <w:spacing w:after="0"/>
        <w:rPr>
          <w:sz w:val="20"/>
          <w:szCs w:val="20"/>
          <w:color w:val="auto"/>
        </w:rPr>
      </w:pPr>
      <w:r>
        <w:rPr>
          <w:rFonts w:ascii="Calibri" w:cs="Calibri" w:eastAsia="Calibri" w:hAnsi="Calibri"/>
          <w:sz w:val="20"/>
          <w:szCs w:val="20"/>
          <w:color w:val="auto"/>
        </w:rPr>
        <w:t>"</w:t>
      </w:r>
      <w:r>
        <w:rPr>
          <w:rFonts w:ascii="Calibri" w:cs="Calibri" w:eastAsia="Calibri" w:hAnsi="Calibri"/>
          <w:sz w:val="20"/>
          <w:szCs w:val="20"/>
          <w:b w:val="1"/>
          <w:bCs w:val="1"/>
          <w:color w:val="auto"/>
        </w:rPr>
        <w:t>Good Reason</w:t>
      </w:r>
      <w:r>
        <w:rPr>
          <w:rFonts w:ascii="Calibri" w:cs="Calibri" w:eastAsia="Calibri" w:hAnsi="Calibri"/>
          <w:sz w:val="20"/>
          <w:szCs w:val="20"/>
          <w:color w:val="auto"/>
        </w:rPr>
        <w:t>" for purposes of this ofer leter shall mean if (i) a material decrease in your authority, reportng or areas of responsibility; (ii) any change in your ttle or following a Change in Control (as defned in the 2017 Incentve Award Plan), your ceasing to serve as the most senior Legal executve of the Company, except if such change or cessaton occurs as a result of acton taken by you; (iii) the Company decreases by 10% or more the Annual Base Salary or target bonus under this Ofer; or (iv) a material breach of this Ofer by the Company. In order for you to terminate your Employment for "Good Reason" under this paragraph, within thirty (30) days afer becoming aware of the breach or other event giving rise to your right to terminate, you must have provided the Company with writen notce of your right to terminate pursuant to this paragraph, the Company must have failed to cure the breach or other event so specifed, if curable, within thirty days afer receiving such notce and you must resign your employment within thirty days thereafer.</w:t>
      </w:r>
    </w:p>
    <w:p>
      <w:pPr>
        <w:spacing w:after="0" w:line="274" w:lineRule="exact"/>
        <w:rPr>
          <w:sz w:val="20"/>
          <w:szCs w:val="20"/>
          <w:color w:val="auto"/>
        </w:rPr>
      </w:pPr>
    </w:p>
    <w:p>
      <w:pPr>
        <w:jc w:val="both"/>
        <w:ind w:left="340"/>
        <w:spacing w:after="0" w:line="233" w:lineRule="auto"/>
        <w:rPr>
          <w:sz w:val="20"/>
          <w:szCs w:val="20"/>
          <w:color w:val="auto"/>
        </w:rPr>
      </w:pPr>
      <w:r>
        <w:rPr>
          <w:rFonts w:ascii="Calibri" w:cs="Calibri" w:eastAsia="Calibri" w:hAnsi="Calibri"/>
          <w:sz w:val="20"/>
          <w:szCs w:val="20"/>
          <w:b w:val="1"/>
          <w:bCs w:val="1"/>
          <w:color w:val="auto"/>
        </w:rPr>
        <w:t xml:space="preserve">Release Requirement and Timing of Severance Payments: </w:t>
      </w:r>
      <w:r>
        <w:rPr>
          <w:rFonts w:ascii="Calibri" w:cs="Calibri" w:eastAsia="Calibri" w:hAnsi="Calibri"/>
          <w:sz w:val="20"/>
          <w:szCs w:val="20"/>
          <w:color w:val="auto"/>
        </w:rPr>
        <w:t>In order to receive the severance benefts under the defnitons listed</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above, you must sign and tender the release as described above not later than sixty (60) days following your last day of employment, or such earlier date as required by the Company, and if you fail or refuse to do so, you shall forfeit the right to such terminaton compensaton as would otherwise be due and payable. If the severance payments are otherwise subject to Secton 409A of the Internal Revenue Code of 1986, as amended (the "Code"), they shall begin on the frst pay period following the date that is sixty (60) days afer your employment terminates and shall otherwise begin on the frst pay period afer the release becomes efectve (with the inital salary contnuaton payment to include any unpaid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487680</wp:posOffset>
            </wp:positionV>
            <wp:extent cx="471170" cy="1885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1">
                      <a:extLst>
                        <a:ext uri="{28A0092B-C50C-407E-A947-70E740481C1C}"/>
                      </a:extLst>
                    </a:blip>
                    <a:srcRect/>
                    <a:stretch>
                      <a:fillRect/>
                    </a:stretch>
                  </pic:blipFill>
                  <pic:spPr bwMode="auto">
                    <a:xfrm>
                      <a:off x="0" y="0"/>
                      <a:ext cx="471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Calibri" w:cs="Calibri" w:eastAsia="Calibri" w:hAnsi="Calibri"/>
          <w:sz w:val="14"/>
          <w:szCs w:val="14"/>
          <w:color w:val="auto"/>
        </w:rPr>
        <w:t>8529 Six Forks Road, Suite 400, Raleigh, NC 27615|</w:t>
      </w:r>
    </w:p>
    <w:p>
      <w:pPr>
        <w:sectPr>
          <w:pgSz w:w="11900" w:h="16838" w:orient="portrait"/>
          <w:cols w:equalWidth="0" w:num="1">
            <w:col w:w="11240"/>
          </w:cols>
          <w:pgMar w:left="320" w:top="1411" w:right="339" w:bottom="1440" w:gutter="0" w:footer="0" w:header="0"/>
        </w:sectPr>
      </w:pPr>
    </w:p>
    <w:bookmarkStart w:id="164" w:name="page165"/>
    <w:bookmarkEnd w:id="164"/>
    <w:p>
      <w:pPr>
        <w:ind w:left="340"/>
        <w:spacing w:after="0" w:line="234" w:lineRule="auto"/>
        <w:rPr>
          <w:sz w:val="20"/>
          <w:szCs w:val="20"/>
          <w:color w:val="auto"/>
        </w:rPr>
      </w:pPr>
      <w:r>
        <w:rPr>
          <w:rFonts w:ascii="Calibri" w:cs="Calibri" w:eastAsia="Calibri" w:hAnsi="Calibri"/>
          <w:sz w:val="20"/>
          <w:szCs w:val="20"/>
          <w:color w:val="auto"/>
        </w:rPr>
        <w:t>contnuaton payments from the date your employment terminated), subject to your executng and tendering the release on the terms as set forth in the immediately preceding sentence.</w:t>
      </w:r>
    </w:p>
    <w:p>
      <w:pPr>
        <w:spacing w:after="0" w:line="239" w:lineRule="exact"/>
        <w:rPr>
          <w:sz w:val="20"/>
          <w:szCs w:val="20"/>
          <w:color w:val="auto"/>
        </w:rPr>
      </w:pPr>
    </w:p>
    <w:p>
      <w:pPr>
        <w:ind w:right="180"/>
        <w:spacing w:after="0" w:line="233" w:lineRule="auto"/>
        <w:rPr>
          <w:sz w:val="20"/>
          <w:szCs w:val="20"/>
          <w:color w:val="auto"/>
        </w:rPr>
      </w:pPr>
      <w:r>
        <w:rPr>
          <w:rFonts w:ascii="Calibri" w:cs="Calibri" w:eastAsia="Calibri" w:hAnsi="Calibri"/>
          <w:sz w:val="20"/>
          <w:szCs w:val="20"/>
          <w:color w:val="auto"/>
        </w:rPr>
        <w:t>The Company expects you to devote your working tme to the performance of your dutes at the Company, and to perform them in a faithful and diligent manner and to the best of your abilites in accordance with the Company’s policies and practces. You agree not to undertake any other employment, consultancy, or other work engagement, outside of the already disclosed board positons of Omnispirant and Impact Vitals, with any person or entty without the prior writen consent of the Company.</w:t>
      </w:r>
    </w:p>
    <w:p>
      <w:pPr>
        <w:spacing w:after="0" w:line="240" w:lineRule="exact"/>
        <w:rPr>
          <w:sz w:val="20"/>
          <w:szCs w:val="20"/>
          <w:color w:val="auto"/>
        </w:rPr>
      </w:pPr>
    </w:p>
    <w:p>
      <w:pPr>
        <w:ind w:right="180"/>
        <w:spacing w:after="0" w:line="231" w:lineRule="auto"/>
        <w:rPr>
          <w:sz w:val="20"/>
          <w:szCs w:val="20"/>
          <w:color w:val="auto"/>
        </w:rPr>
      </w:pPr>
      <w:r>
        <w:rPr>
          <w:rFonts w:ascii="Calibri" w:cs="Calibri" w:eastAsia="Calibri" w:hAnsi="Calibri"/>
          <w:sz w:val="20"/>
          <w:szCs w:val="20"/>
          <w:color w:val="auto"/>
        </w:rPr>
        <w:t>The Company considers the protecton of its confdental informaton, proprietary materials, and goodwill to be extremely important. Accordingly, as a conditon of your employment with the Company, you will be required to sign, as part of onboarding, our Confdental Informaton and Inventons Assignment Agreement before your frst day of work.</w:t>
      </w:r>
    </w:p>
    <w:p>
      <w:pPr>
        <w:spacing w:after="0" w:line="240" w:lineRule="exact"/>
        <w:rPr>
          <w:sz w:val="20"/>
          <w:szCs w:val="20"/>
          <w:color w:val="auto"/>
        </w:rPr>
      </w:pPr>
    </w:p>
    <w:p>
      <w:pPr>
        <w:ind w:right="20"/>
        <w:spacing w:after="0" w:line="233" w:lineRule="auto"/>
        <w:rPr>
          <w:sz w:val="20"/>
          <w:szCs w:val="20"/>
          <w:color w:val="auto"/>
        </w:rPr>
      </w:pPr>
      <w:r>
        <w:rPr>
          <w:rFonts w:ascii="Calibri" w:cs="Calibri" w:eastAsia="Calibri" w:hAnsi="Calibri"/>
          <w:sz w:val="20"/>
          <w:szCs w:val="20"/>
          <w:color w:val="auto"/>
        </w:rPr>
        <w:t>By signing this leter agreement and acceptng employment with the Company, you represent that: (a) your performance as an employee does not and will not breach any agreement to keep in confdence proprietary informaton acquired by you in confdence or in trust prior to your employment by the Company or any non-competton or non-solicitaton agreement, (b) you have not entered into, and agree not to enter into, any such agreement either oral or writen in confict herewith, (c) you are not subject to any order, judgment or injuncton that would restrict your employment with the Company; and (d) all facts you have presented to the Company are accurate and true, including statements in any applicaton, resume, CV, interview or discussion with the Company.</w:t>
      </w:r>
    </w:p>
    <w:p>
      <w:pPr>
        <w:spacing w:after="0" w:line="238"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color w:val="auto"/>
        </w:rPr>
        <w:t>You understand as part of the consideraton for your employment with the Company, that you have not brought and will not bring with you to the Company, or use in the performance of your responsibilites for the Company, any materials or documents of a former employer which are not generally available to the public or which did not belong to you prior to your employment with the Company, unless you have obtained writen authorizaton from the former employer or other owner for their possession and use and provided the Company with a copy thereof.</w:t>
      </w:r>
    </w:p>
    <w:p>
      <w:pPr>
        <w:spacing w:after="0" w:line="241" w:lineRule="exact"/>
        <w:rPr>
          <w:sz w:val="20"/>
          <w:szCs w:val="20"/>
          <w:color w:val="auto"/>
        </w:rPr>
      </w:pPr>
    </w:p>
    <w:p>
      <w:pPr>
        <w:ind w:right="320"/>
        <w:spacing w:after="0" w:line="231" w:lineRule="auto"/>
        <w:rPr>
          <w:sz w:val="20"/>
          <w:szCs w:val="20"/>
          <w:color w:val="auto"/>
        </w:rPr>
      </w:pPr>
      <w:r>
        <w:rPr>
          <w:rFonts w:ascii="Calibri" w:cs="Calibri" w:eastAsia="Calibri" w:hAnsi="Calibri"/>
          <w:sz w:val="20"/>
          <w:szCs w:val="20"/>
          <w:color w:val="auto"/>
        </w:rPr>
        <w:t>All amounts described in this leter are subject to applicable tax deductons and withholdings. Inital salary payments will be made on the frst payroll date afer your frst date of employment, subject to your executon of the Agreements and providing acceptable I-9 documentaton.</w:t>
      </w:r>
    </w:p>
    <w:p>
      <w:pPr>
        <w:spacing w:after="0" w:line="240" w:lineRule="exact"/>
        <w:rPr>
          <w:sz w:val="20"/>
          <w:szCs w:val="20"/>
          <w:color w:val="auto"/>
        </w:rPr>
      </w:pPr>
    </w:p>
    <w:p>
      <w:pPr>
        <w:ind w:right="560"/>
        <w:spacing w:after="0" w:line="234" w:lineRule="auto"/>
        <w:rPr>
          <w:sz w:val="20"/>
          <w:szCs w:val="20"/>
          <w:color w:val="auto"/>
        </w:rPr>
      </w:pPr>
      <w:r>
        <w:rPr>
          <w:rFonts w:ascii="Calibri" w:cs="Calibri" w:eastAsia="Calibri" w:hAnsi="Calibri"/>
          <w:sz w:val="20"/>
          <w:szCs w:val="20"/>
          <w:color w:val="auto"/>
        </w:rPr>
        <w:t>The Company conducts background investgatons and/or reference checks on all potental employees. Your job ofer, therefore, is contngent upon completon of a satsfactory background check and reference checks.</w:t>
      </w:r>
    </w:p>
    <w:p>
      <w:pPr>
        <w:spacing w:after="0" w:line="239" w:lineRule="exact"/>
        <w:rPr>
          <w:sz w:val="20"/>
          <w:szCs w:val="20"/>
          <w:color w:val="auto"/>
        </w:rPr>
      </w:pPr>
    </w:p>
    <w:p>
      <w:pPr>
        <w:ind w:right="80"/>
        <w:spacing w:after="0" w:line="231" w:lineRule="auto"/>
        <w:rPr>
          <w:sz w:val="20"/>
          <w:szCs w:val="20"/>
          <w:color w:val="auto"/>
        </w:rPr>
      </w:pPr>
      <w:r>
        <w:rPr>
          <w:rFonts w:ascii="Calibri" w:cs="Calibri" w:eastAsia="Calibri" w:hAnsi="Calibri"/>
          <w:sz w:val="20"/>
          <w:szCs w:val="20"/>
          <w:color w:val="auto"/>
        </w:rPr>
        <w:t>On your frst day, please provide appropriate documentaton proving that you are eligible to work in the United States for I-9 Form purposes. Failure to provide appropriate documentaton within three days of hire will result in immediate terminaton of employment in accordance with the terms of the Immigraton Reform and Control Act.</w:t>
      </w:r>
    </w:p>
    <w:p>
      <w:pPr>
        <w:spacing w:after="0" w:line="240" w:lineRule="exact"/>
        <w:rPr>
          <w:sz w:val="20"/>
          <w:szCs w:val="20"/>
          <w:color w:val="auto"/>
        </w:rPr>
      </w:pPr>
    </w:p>
    <w:p>
      <w:pPr>
        <w:ind w:right="160"/>
        <w:spacing w:after="0" w:line="234" w:lineRule="auto"/>
        <w:rPr>
          <w:sz w:val="20"/>
          <w:szCs w:val="20"/>
          <w:color w:val="auto"/>
        </w:rPr>
      </w:pPr>
      <w:r>
        <w:rPr>
          <w:rFonts w:ascii="Calibri" w:cs="Calibri" w:eastAsia="Calibri" w:hAnsi="Calibri"/>
          <w:sz w:val="20"/>
          <w:szCs w:val="20"/>
          <w:color w:val="auto"/>
        </w:rPr>
        <w:t>Please be aware that your employment relatonship with Verona is at-will in nature, and either you or the Company may terminate it at any tme.</w:t>
      </w:r>
    </w:p>
    <w:p>
      <w:pPr>
        <w:spacing w:after="0" w:line="239" w:lineRule="exact"/>
        <w:rPr>
          <w:sz w:val="20"/>
          <w:szCs w:val="20"/>
          <w:color w:val="auto"/>
        </w:rPr>
      </w:pPr>
    </w:p>
    <w:p>
      <w:pPr>
        <w:jc w:val="both"/>
        <w:ind w:right="280"/>
        <w:spacing w:after="0" w:line="233" w:lineRule="auto"/>
        <w:rPr>
          <w:sz w:val="20"/>
          <w:szCs w:val="20"/>
          <w:color w:val="auto"/>
        </w:rPr>
      </w:pPr>
      <w:r>
        <w:rPr>
          <w:rFonts w:ascii="Calibri" w:cs="Calibri" w:eastAsia="Calibri" w:hAnsi="Calibri"/>
          <w:sz w:val="20"/>
          <w:szCs w:val="20"/>
          <w:color w:val="auto"/>
        </w:rPr>
        <w:t>This leter, along with the Agreements through Namely and via SOPs, sets forth the terms of your employment with the Company and supersedes any prior representatons or agreements including, but not limited to, any representatons made during your recruitment, interviews, or pre-employment negotatons, whether writen or oral. This leter, including, but not limited to, its at-will employment provision, shall be governed by the laws of the state of North Carolina and may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485140</wp:posOffset>
            </wp:positionV>
            <wp:extent cx="471170" cy="1885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2">
                      <a:extLst>
                        <a:ext uri="{28A0092B-C50C-407E-A947-70E740481C1C}"/>
                      </a:extLst>
                    </a:blip>
                    <a:srcRect/>
                    <a:stretch>
                      <a:fillRect/>
                    </a:stretch>
                  </pic:blipFill>
                  <pic:spPr bwMode="auto">
                    <a:xfrm>
                      <a:off x="0" y="0"/>
                      <a:ext cx="471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alibri" w:cs="Calibri" w:eastAsia="Calibri" w:hAnsi="Calibri"/>
          <w:sz w:val="14"/>
          <w:szCs w:val="14"/>
          <w:color w:val="auto"/>
        </w:rPr>
        <w:t>8529 Six Forks Road, Suite 400, Raleigh, NC 27615|</w:t>
      </w:r>
    </w:p>
    <w:p>
      <w:pPr>
        <w:sectPr>
          <w:pgSz w:w="11900" w:h="16838" w:orient="portrait"/>
          <w:cols w:equalWidth="0" w:num="1">
            <w:col w:w="11240"/>
          </w:cols>
          <w:pgMar w:left="320" w:top="1411" w:right="339" w:bottom="1440" w:gutter="0" w:footer="0" w:header="0"/>
        </w:sectPr>
      </w:pPr>
    </w:p>
    <w:bookmarkStart w:id="165" w:name="page166"/>
    <w:bookmarkEnd w:id="165"/>
    <w:p>
      <w:pPr>
        <w:spacing w:after="0"/>
        <w:rPr>
          <w:sz w:val="20"/>
          <w:szCs w:val="20"/>
          <w:color w:val="auto"/>
        </w:rPr>
      </w:pPr>
      <w:r>
        <w:rPr>
          <w:rFonts w:ascii="Calibri" w:cs="Calibri" w:eastAsia="Calibri" w:hAnsi="Calibri"/>
          <w:sz w:val="20"/>
          <w:szCs w:val="20"/>
          <w:color w:val="auto"/>
        </w:rPr>
        <w:t>be modifed or amended except by a writen agreement signed by an ofcer of the Company and you.</w:t>
      </w:r>
    </w:p>
    <w:p>
      <w:pPr>
        <w:spacing w:after="0" w:line="238" w:lineRule="exact"/>
        <w:rPr>
          <w:sz w:val="20"/>
          <w:szCs w:val="20"/>
          <w:color w:val="auto"/>
        </w:rPr>
      </w:pPr>
    </w:p>
    <w:p>
      <w:pPr>
        <w:ind w:right="80"/>
        <w:spacing w:after="0" w:line="234" w:lineRule="auto"/>
        <w:rPr>
          <w:sz w:val="20"/>
          <w:szCs w:val="20"/>
          <w:color w:val="auto"/>
        </w:rPr>
      </w:pPr>
      <w:r>
        <w:rPr>
          <w:rFonts w:ascii="Calibri" w:cs="Calibri" w:eastAsia="Calibri" w:hAnsi="Calibri"/>
          <w:sz w:val="20"/>
          <w:szCs w:val="20"/>
          <w:color w:val="auto"/>
        </w:rPr>
        <w:t>Please indicate your acceptance of our ofer by signing below and return it to me no later than Thursday, February 28, 2024. If you have any questons about this ofer, please contact me at 919.995.2243 or ostra.jewell@veronapharma.com.</w:t>
      </w:r>
    </w:p>
    <w:p>
      <w:pPr>
        <w:spacing w:after="0" w:line="230" w:lineRule="exact"/>
        <w:rPr>
          <w:sz w:val="20"/>
          <w:szCs w:val="20"/>
          <w:color w:val="auto"/>
        </w:rPr>
      </w:pPr>
    </w:p>
    <w:p>
      <w:pPr>
        <w:spacing w:after="0"/>
        <w:rPr>
          <w:sz w:val="20"/>
          <w:szCs w:val="20"/>
          <w:color w:val="auto"/>
        </w:rPr>
      </w:pPr>
      <w:r>
        <w:rPr>
          <w:rFonts w:ascii="Calibri" w:cs="Calibri" w:eastAsia="Calibri" w:hAnsi="Calibri"/>
          <w:sz w:val="20"/>
          <w:szCs w:val="20"/>
          <w:color w:val="auto"/>
        </w:rPr>
        <w:t>We look forward to having you as part of our team and believe you will fnd this opportunity both challenging and rewarding.</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Calibri" w:cs="Calibri" w:eastAsia="Calibri" w:hAnsi="Calibri"/>
          <w:sz w:val="20"/>
          <w:szCs w:val="20"/>
          <w:color w:val="auto"/>
        </w:rPr>
        <w:t>Ostra R. Jewell</w:t>
      </w:r>
    </w:p>
    <w:p>
      <w:pPr>
        <w:spacing w:after="0" w:line="225" w:lineRule="auto"/>
        <w:rPr>
          <w:sz w:val="20"/>
          <w:szCs w:val="20"/>
          <w:color w:val="auto"/>
        </w:rPr>
      </w:pPr>
      <w:r>
        <w:rPr>
          <w:rFonts w:ascii="Calibri" w:cs="Calibri" w:eastAsia="Calibri" w:hAnsi="Calibri"/>
          <w:sz w:val="20"/>
          <w:szCs w:val="20"/>
          <w:color w:val="auto"/>
        </w:rPr>
        <w:t>SVP, Human Resources</w:t>
      </w:r>
    </w:p>
    <w:p>
      <w:pPr>
        <w:spacing w:after="0"/>
        <w:rPr>
          <w:sz w:val="20"/>
          <w:szCs w:val="20"/>
          <w:color w:val="auto"/>
        </w:rPr>
      </w:pPr>
      <w:r>
        <w:rPr>
          <w:rFonts w:ascii="Calibri" w:cs="Calibri" w:eastAsia="Calibri" w:hAnsi="Calibri"/>
          <w:sz w:val="20"/>
          <w:szCs w:val="20"/>
          <w:color w:val="auto"/>
        </w:rPr>
        <w:t>Verona Pharma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alibri" w:cs="Calibri" w:eastAsia="Calibri" w:hAnsi="Calibri"/>
          <w:sz w:val="20"/>
          <w:szCs w:val="20"/>
          <w:color w:val="auto"/>
        </w:rPr>
        <w:t> </w:t>
      </w:r>
    </w:p>
    <w:p>
      <w:pPr>
        <w:spacing w:after="0" w:line="9"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I have read and understood the provisions of this ofer of employment, and I accept the above conditonal job ofer. I understand that my employment with Verona is considered at-will, meaning that either the Company or I may terminate this employment relatonship at any tme with or without cause or notce.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Agreed to and Accepted by:</w:t>
      </w:r>
    </w:p>
    <w:p>
      <w:pPr>
        <w:spacing w:after="0" w:line="200" w:lineRule="exact"/>
        <w:rPr>
          <w:sz w:val="20"/>
          <w:szCs w:val="20"/>
          <w:color w:val="auto"/>
        </w:rPr>
      </w:pPr>
    </w:p>
    <w:p>
      <w:pPr>
        <w:spacing w:after="0" w:line="285" w:lineRule="exact"/>
        <w:rPr>
          <w:sz w:val="20"/>
          <w:szCs w:val="20"/>
          <w:color w:val="auto"/>
        </w:rPr>
      </w:pPr>
    </w:p>
    <w:p>
      <w:pPr>
        <w:spacing w:after="0"/>
        <w:tabs>
          <w:tab w:leader="none" w:pos="146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20"/>
          <w:szCs w:val="20"/>
          <w:color w:val="auto"/>
        </w:rPr>
        <w:t>___________________________________________</w:t>
      </w:r>
    </w:p>
    <w:p>
      <w:pPr>
        <w:spacing w:after="0" w:line="228" w:lineRule="exact"/>
        <w:rPr>
          <w:sz w:val="20"/>
          <w:szCs w:val="20"/>
          <w:color w:val="auto"/>
        </w:rPr>
      </w:pPr>
    </w:p>
    <w:p>
      <w:pPr>
        <w:spacing w:after="0"/>
        <w:rPr>
          <w:sz w:val="20"/>
          <w:szCs w:val="20"/>
          <w:color w:val="auto"/>
        </w:rPr>
      </w:pPr>
      <w:r>
        <w:rPr>
          <w:rFonts w:ascii="Calibri" w:cs="Calibri" w:eastAsia="Calibri" w:hAnsi="Calibri"/>
          <w:sz w:val="20"/>
          <w:szCs w:val="20"/>
          <w:color w:val="auto"/>
        </w:rPr>
        <w:t>Printed Name: ___________________________________________</w:t>
      </w:r>
    </w:p>
    <w:p>
      <w:pPr>
        <w:spacing w:after="0" w:line="242" w:lineRule="exact"/>
        <w:rPr>
          <w:sz w:val="20"/>
          <w:szCs w:val="20"/>
          <w:color w:val="auto"/>
        </w:rPr>
      </w:pPr>
    </w:p>
    <w:p>
      <w:pPr>
        <w:spacing w:after="0"/>
        <w:tabs>
          <w:tab w:leader="none" w:pos="1480" w:val="left"/>
        </w:tabs>
        <w:rPr>
          <w:sz w:val="20"/>
          <w:szCs w:val="20"/>
          <w:color w:val="auto"/>
        </w:rPr>
      </w:pPr>
      <w:r>
        <w:rPr>
          <w:rFonts w:ascii="Calibri" w:cs="Calibri" w:eastAsia="Calibri" w:hAnsi="Calibri"/>
          <w:sz w:val="20"/>
          <w:szCs w:val="20"/>
          <w:color w:val="auto"/>
        </w:rPr>
        <w:t>Date:</w:t>
      </w:r>
      <w:r>
        <w:rPr>
          <w:sz w:val="20"/>
          <w:szCs w:val="20"/>
          <w:color w:val="auto"/>
        </w:rPr>
        <w:tab/>
      </w:r>
      <w:r>
        <w:rPr>
          <w:rFonts w:ascii="Calibri" w:cs="Calibri" w:eastAsia="Calibri" w:hAnsi="Calibri"/>
          <w:sz w:val="20"/>
          <w:szCs w:val="20"/>
          <w:color w:val="auto"/>
        </w:rPr>
        <w:t>___________________________________________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483870</wp:posOffset>
            </wp:positionV>
            <wp:extent cx="471170" cy="1885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4">
                      <a:extLst>
                        <a:ext uri="{28A0092B-C50C-407E-A947-70E740481C1C}"/>
                      </a:extLst>
                    </a:blip>
                    <a:srcRect/>
                    <a:stretch>
                      <a:fillRect/>
                    </a:stretch>
                  </pic:blipFill>
                  <pic:spPr bwMode="auto">
                    <a:xfrm>
                      <a:off x="0" y="0"/>
                      <a:ext cx="471170" cy="188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alibri" w:cs="Calibri" w:eastAsia="Calibri" w:hAnsi="Calibri"/>
          <w:sz w:val="14"/>
          <w:szCs w:val="14"/>
          <w:color w:val="auto"/>
        </w:rPr>
        <w:t>8529 Six Forks Road, Suite 400, Raleigh, NC 27615|</w:t>
      </w:r>
    </w:p>
    <w:p>
      <w:pPr>
        <w:sectPr>
          <w:pgSz w:w="11900" w:h="16838" w:orient="portrait"/>
          <w:cols w:equalWidth="0" w:num="1">
            <w:col w:w="11220"/>
          </w:cols>
          <w:pgMar w:left="320" w:top="1402" w:right="359" w:bottom="1440" w:gutter="0" w:footer="0" w:header="0"/>
        </w:sectPr>
      </w:pPr>
    </w:p>
    <w:bookmarkStart w:id="166" w:name="page167"/>
    <w:bookmarkEnd w:id="166"/>
    <w:p>
      <w:pPr>
        <w:ind w:right="580" w:firstLine="8"/>
        <w:spacing w:after="0" w:line="254" w:lineRule="auto"/>
        <w:tabs>
          <w:tab w:leader="none" w:pos="522"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Certain information in this document has been excluded pursuant to Regulation S-K, Item 601(b)(10). Such excluded information is both (i) not material and (ii) the type that the Registrant treats as private or confidential.</w:t>
      </w:r>
    </w:p>
    <w:p>
      <w:pPr>
        <w:spacing w:after="0" w:line="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FIRST AMENDMENT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REVENUE INTEREST PURCHASE AND SALE AGREEMENT</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This </w:t>
      </w:r>
      <w:r>
        <w:rPr>
          <w:rFonts w:ascii="Times New Roman" w:cs="Times New Roman" w:eastAsia="Times New Roman" w:hAnsi="Times New Roman"/>
          <w:sz w:val="22"/>
          <w:szCs w:val="22"/>
          <w:b w:val="1"/>
          <w:bCs w:val="1"/>
          <w:color w:val="auto"/>
        </w:rPr>
        <w:t>FIRST AMENDMENT TO REVENUE INTEREST PURCHASE AND SALE AGREEMENT</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is made and entered into as of November 7, 2024 (the “</w:t>
      </w:r>
      <w:r>
        <w:rPr>
          <w:rFonts w:ascii="Times New Roman" w:cs="Times New Roman" w:eastAsia="Times New Roman" w:hAnsi="Times New Roman"/>
          <w:sz w:val="22"/>
          <w:szCs w:val="22"/>
          <w:u w:val="single" w:color="auto"/>
          <w:color w:val="auto"/>
        </w:rPr>
        <w:t>First Amendment Effective Date</w:t>
      </w:r>
      <w:r>
        <w:rPr>
          <w:rFonts w:ascii="Times New Roman" w:cs="Times New Roman" w:eastAsia="Times New Roman" w:hAnsi="Times New Roman"/>
          <w:sz w:val="22"/>
          <w:szCs w:val="22"/>
          <w:color w:val="auto"/>
        </w:rPr>
        <w:t>”), by and among Verona Pharma, Inc., a Delaware corporation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Verona Pharma plc, a public limited company registered in England and Wales with company number 05375156 (“</w:t>
      </w:r>
      <w:r>
        <w:rPr>
          <w:rFonts w:ascii="Times New Roman" w:cs="Times New Roman" w:eastAsia="Times New Roman" w:hAnsi="Times New Roman"/>
          <w:sz w:val="22"/>
          <w:szCs w:val="22"/>
          <w:u w:val="single" w:color="auto"/>
          <w:color w:val="auto"/>
        </w:rPr>
        <w:t>Holdings</w:t>
      </w:r>
      <w:r>
        <w:rPr>
          <w:rFonts w:ascii="Times New Roman" w:cs="Times New Roman" w:eastAsia="Times New Roman" w:hAnsi="Times New Roman"/>
          <w:sz w:val="22"/>
          <w:szCs w:val="22"/>
          <w:color w:val="auto"/>
        </w:rPr>
        <w:t>”), each Purchaser that is a signatory hereto, and Oaktree Fund Administration, LLC, as administrative agent for the Purchasers (in such capacity, the “</w:t>
      </w:r>
      <w:r>
        <w:rPr>
          <w:rFonts w:ascii="Times New Roman" w:cs="Times New Roman" w:eastAsia="Times New Roman" w:hAnsi="Times New Roman"/>
          <w:sz w:val="22"/>
          <w:szCs w:val="22"/>
          <w:u w:val="single" w:color="auto"/>
          <w:color w:val="auto"/>
        </w:rPr>
        <w:t>Administrative Agent</w:t>
      </w:r>
      <w:r>
        <w:rPr>
          <w:rFonts w:ascii="Times New Roman" w:cs="Times New Roman" w:eastAsia="Times New Roman" w:hAnsi="Times New Roman"/>
          <w:sz w:val="22"/>
          <w:szCs w:val="22"/>
          <w:color w:val="auto"/>
        </w:rPr>
        <w:t>” and, together with the Company and each Purchaser that is a signatory hereto,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amends that certain Revenue Interest Purchase and Sale Agreement, dated as of May 9, 2024, by and among the Parties and the other Purchasers party thereto (if any) (as amended, restated, amended and restated, supplemented or otherwise modified from time to time prior to the First Amendment Effective Date, the “</w:t>
      </w:r>
      <w:r>
        <w:rPr>
          <w:rFonts w:ascii="Times New Roman" w:cs="Times New Roman" w:eastAsia="Times New Roman" w:hAnsi="Times New Roman"/>
          <w:sz w:val="22"/>
          <w:szCs w:val="22"/>
          <w:u w:val="single" w:color="auto"/>
          <w:color w:val="auto"/>
        </w:rPr>
        <w:t>Purchase 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Tranche A Funding Condition was satisfied prior to the First Amendment Effective Date and, pursuant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terms of the Purchase Agreement, the Company sold, assigned, transferred and conveyed to the Purchasers, and the Purchasers, severally and not jointly, purchased, acquired and accepted from the Company, the Assigned Interests in accordance with their respective Commitments; and</w:t>
      </w:r>
    </w:p>
    <w:p>
      <w:pPr>
        <w:spacing w:after="0" w:line="16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subject to the terms and conditions of this Amendment, the Parties desire to make certain amendments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Purchase Agreement to clarify the Purchasers’ respective rights and obligations under the Purchase Agreement as set forth herein in connection with the assignment of certain Assigned Interests between the Purchasers (the “</w:t>
      </w:r>
      <w:r>
        <w:rPr>
          <w:rFonts w:ascii="Times New Roman" w:cs="Times New Roman" w:eastAsia="Times New Roman" w:hAnsi="Times New Roman"/>
          <w:sz w:val="22"/>
          <w:szCs w:val="22"/>
          <w:u w:val="single" w:color="auto"/>
          <w:color w:val="auto"/>
        </w:rPr>
        <w:t>Transferred Interests</w:t>
      </w:r>
      <w:r>
        <w:rPr>
          <w:rFonts w:ascii="Times New Roman" w:cs="Times New Roman" w:eastAsia="Times New Roman" w:hAnsi="Times New Roman"/>
          <w:sz w:val="22"/>
          <w:szCs w:val="22"/>
          <w:color w:val="auto"/>
        </w:rPr>
        <w:t>”), pursuant to that certain Assignment and Assumption Agreement, dated as of the date hereof, by and among the Purchasers party hereto (the “</w:t>
      </w:r>
      <w:r>
        <w:rPr>
          <w:rFonts w:ascii="Times New Roman" w:cs="Times New Roman" w:eastAsia="Times New Roman" w:hAnsi="Times New Roman"/>
          <w:sz w:val="22"/>
          <w:szCs w:val="22"/>
          <w:u w:val="single" w:color="auto"/>
          <w:color w:val="auto"/>
        </w:rPr>
        <w:t>Assignment Agreement</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foregoing and for other good and valuable consideration, the receipt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sufficiency of which are hereby acknowledged, the Parties hereby agree as follows:</w:t>
      </w:r>
    </w:p>
    <w:p>
      <w:pPr>
        <w:spacing w:after="0" w:line="149" w:lineRule="exact"/>
        <w:rPr>
          <w:sz w:val="20"/>
          <w:szCs w:val="20"/>
          <w:color w:val="auto"/>
        </w:rPr>
      </w:pPr>
    </w:p>
    <w:p>
      <w:pPr>
        <w:jc w:val="both"/>
        <w:ind w:firstLine="8"/>
        <w:spacing w:after="0" w:line="259" w:lineRule="auto"/>
        <w:tabs>
          <w:tab w:leader="none" w:pos="64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Definitions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capitalized term which is defined in the Purchase Agreement, but which is not defined in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Amendment, shall have the meaning ascribed to such term in the Purchase Agreement, as amended hereby. Unless otherwise indicated, all section references in this Amendment refer to the Purchase Agreement, as amended hereby.</w:t>
      </w:r>
    </w:p>
    <w:p>
      <w:pPr>
        <w:spacing w:after="0" w:line="179" w:lineRule="exact"/>
        <w:rPr>
          <w:rFonts w:ascii="Times New Roman" w:cs="Times New Roman" w:eastAsia="Times New Roman" w:hAnsi="Times New Roman"/>
          <w:sz w:val="22"/>
          <w:szCs w:val="22"/>
          <w:b w:val="1"/>
          <w:bCs w:val="1"/>
          <w:color w:val="auto"/>
        </w:rPr>
      </w:pPr>
    </w:p>
    <w:p>
      <w:pPr>
        <w:ind w:right="20" w:firstLine="8"/>
        <w:spacing w:after="0" w:line="275" w:lineRule="auto"/>
        <w:tabs>
          <w:tab w:leader="none" w:pos="648" w:val="left"/>
        </w:tabs>
        <w:numPr>
          <w:ilvl w:val="0"/>
          <w:numId w:val="8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Amendments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Subject to the terms and conditions of this Amendment, effective as of the First Amendment Effective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the Purchase Agreement is hereby amended as set forth in this </w:t>
      </w:r>
      <w:r>
        <w:rPr>
          <w:rFonts w:ascii="Times New Roman" w:cs="Times New Roman" w:eastAsia="Times New Roman" w:hAnsi="Times New Roman"/>
          <w:sz w:val="22"/>
          <w:szCs w:val="22"/>
          <w:u w:val="single" w:color="auto"/>
          <w:color w:val="auto"/>
        </w:rPr>
        <w:t>Section 2</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2.1 </w:t>
      </w:r>
      <w:r>
        <w:rPr>
          <w:rFonts w:ascii="Times New Roman" w:cs="Times New Roman" w:eastAsia="Times New Roman" w:hAnsi="Times New Roman"/>
          <w:sz w:val="22"/>
          <w:szCs w:val="22"/>
          <w:u w:val="single" w:color="auto"/>
          <w:color w:val="auto"/>
        </w:rPr>
        <w:t>Definition of Funded Amount</w:t>
      </w:r>
      <w:r>
        <w:rPr>
          <w:rFonts w:ascii="Times New Roman" w:cs="Times New Roman" w:eastAsia="Times New Roman" w:hAnsi="Times New Roman"/>
          <w:sz w:val="22"/>
          <w:szCs w:val="22"/>
          <w:color w:val="auto"/>
        </w:rPr>
        <w:t>. Section 1.01 of the Purchase Agreement is hereby amended by deleting the definition of “Funded Amount” in its entirety and replacing such definition with the following:</w:t>
      </w:r>
    </w:p>
    <w:p>
      <w:pPr>
        <w:sectPr>
          <w:pgSz w:w="11900" w:h="16838" w:orient="portrait"/>
          <w:cols w:equalWidth="0" w:num="1">
            <w:col w:w="11240"/>
          </w:cols>
          <w:pgMar w:left="320" w:top="126" w:right="339" w:bottom="1440" w:gutter="0" w:footer="0" w:header="0"/>
        </w:sectPr>
      </w:pPr>
    </w:p>
    <w:bookmarkStart w:id="167" w:name="page168"/>
    <w:bookmarkEnd w:id="167"/>
    <w:p>
      <w:pPr>
        <w:spacing w:after="0" w:line="333" w:lineRule="exact"/>
        <w:rPr>
          <w:sz w:val="20"/>
          <w:szCs w:val="20"/>
          <w:color w:val="auto"/>
        </w:rPr>
      </w:pPr>
    </w:p>
    <w:p>
      <w:pPr>
        <w:jc w:val="both"/>
        <w:ind w:left="660"/>
        <w:spacing w:after="0" w:line="251"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Funded Amount</w:t>
      </w:r>
      <w:r>
        <w:rPr>
          <w:rFonts w:ascii="Times New Roman" w:cs="Times New Roman" w:eastAsia="Times New Roman" w:hAnsi="Times New Roman"/>
          <w:sz w:val="22"/>
          <w:szCs w:val="22"/>
          <w:color w:val="auto"/>
        </w:rPr>
        <w:t xml:space="preserve">” shall mean, as of any time of determination, the aggregate amount actually funded by the Purchasers under this Agreement in respect of Tranche A and Tranche B. The outstanding Funded Amount of each Purchaser as of the First Amendment Effective Date is set forth opposite such Purchaser’s name on </w:t>
      </w:r>
      <w:r>
        <w:rPr>
          <w:rFonts w:ascii="Times New Roman" w:cs="Times New Roman" w:eastAsia="Times New Roman" w:hAnsi="Times New Roman"/>
          <w:sz w:val="22"/>
          <w:szCs w:val="22"/>
          <w:u w:val="single" w:color="auto"/>
          <w:color w:val="auto"/>
        </w:rPr>
        <w:t>Schedule 1</w:t>
      </w:r>
      <w:r>
        <w:rPr>
          <w:rFonts w:ascii="Times New Roman" w:cs="Times New Roman" w:eastAsia="Times New Roman" w:hAnsi="Times New Roman"/>
          <w:sz w:val="22"/>
          <w:szCs w:val="22"/>
          <w:color w:val="auto"/>
        </w:rPr>
        <w:t xml:space="preserve"> (as such Schedule may be amended from time to time) under the caption “Applicable Outstanding Funded Amount.” For clarity, the aggregate outstanding Funded Amount of all Purchasers as of the First Amendment Effective Date equals the Tranche A Purchase Price.”</w:t>
      </w:r>
    </w:p>
    <w:p>
      <w:pPr>
        <w:spacing w:after="0" w:line="181"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2.2 </w:t>
      </w:r>
      <w:r>
        <w:rPr>
          <w:rFonts w:ascii="Times New Roman" w:cs="Times New Roman" w:eastAsia="Times New Roman" w:hAnsi="Times New Roman"/>
          <w:sz w:val="22"/>
          <w:szCs w:val="22"/>
          <w:u w:val="single" w:color="auto"/>
          <w:color w:val="auto"/>
        </w:rPr>
        <w:t>Definition of Majority Purchaser</w:t>
      </w:r>
      <w:r>
        <w:rPr>
          <w:rFonts w:ascii="Times New Roman" w:cs="Times New Roman" w:eastAsia="Times New Roman" w:hAnsi="Times New Roman"/>
          <w:sz w:val="22"/>
          <w:szCs w:val="22"/>
          <w:color w:val="auto"/>
        </w:rPr>
        <w:t>. Section 1.01 of the Purchase Agreement is hereby amended by deleting the definition of “Majority Purchasers” in its entirety and replacing such definition with the following:</w:t>
      </w:r>
    </w:p>
    <w:p>
      <w:pPr>
        <w:spacing w:after="0" w:line="158"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Majority Purchasers</w:t>
      </w:r>
      <w:r>
        <w:rPr>
          <w:rFonts w:ascii="Times New Roman" w:cs="Times New Roman" w:eastAsia="Times New Roman" w:hAnsi="Times New Roman"/>
          <w:sz w:val="22"/>
          <w:szCs w:val="22"/>
          <w:color w:val="auto"/>
        </w:rPr>
        <w:t>” shall mean, at any time, Purchasers (individually or collectively) having in the aggregate a Proportionate Share in excess of fifty percent (50%).”</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2.3 </w:t>
      </w:r>
      <w:r>
        <w:rPr>
          <w:rFonts w:ascii="Times New Roman" w:cs="Times New Roman" w:eastAsia="Times New Roman" w:hAnsi="Times New Roman"/>
          <w:sz w:val="22"/>
          <w:szCs w:val="22"/>
          <w:u w:val="single" w:color="auto"/>
          <w:color w:val="auto"/>
        </w:rPr>
        <w:t>Definition of Proportionate Share</w:t>
      </w:r>
      <w:r>
        <w:rPr>
          <w:rFonts w:ascii="Times New Roman" w:cs="Times New Roman" w:eastAsia="Times New Roman" w:hAnsi="Times New Roman"/>
          <w:sz w:val="22"/>
          <w:szCs w:val="22"/>
          <w:color w:val="auto"/>
        </w:rPr>
        <w:t>. Section 1.01 of the Purchase Agreement is hereby amended by deleting the definition of “Proportionate Share” in its entirety and replacing such definition with the following:</w:t>
      </w:r>
    </w:p>
    <w:p>
      <w:pPr>
        <w:spacing w:after="0" w:line="158"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Proportionate Share</w:t>
      </w:r>
      <w:r>
        <w:rPr>
          <w:rFonts w:ascii="Times New Roman" w:cs="Times New Roman" w:eastAsia="Times New Roman" w:hAnsi="Times New Roman"/>
          <w:sz w:val="21"/>
          <w:szCs w:val="21"/>
          <w:color w:val="auto"/>
        </w:rPr>
        <w:t xml:space="preserve">” shall mean, with respect to any Purchaser, (i) with respect to </w:t>
      </w:r>
      <w:r>
        <w:rPr>
          <w:rFonts w:ascii="Times New Roman" w:cs="Times New Roman" w:eastAsia="Times New Roman" w:hAnsi="Times New Roman"/>
          <w:sz w:val="21"/>
          <w:szCs w:val="21"/>
          <w:u w:val="single" w:color="auto"/>
          <w:color w:val="auto"/>
        </w:rPr>
        <w:t>Section 2.01(a)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2.05(c)</w:t>
      </w:r>
      <w:r>
        <w:rPr>
          <w:rFonts w:ascii="Times New Roman" w:cs="Times New Roman" w:eastAsia="Times New Roman" w:hAnsi="Times New Roman"/>
          <w:sz w:val="21"/>
          <w:szCs w:val="21"/>
          <w:color w:val="auto"/>
        </w:rPr>
        <w:t xml:space="preserve">, such Purchaser’s Commitment then in effect as set forth in </w:t>
      </w:r>
      <w:r>
        <w:rPr>
          <w:rFonts w:ascii="Times New Roman" w:cs="Times New Roman" w:eastAsia="Times New Roman" w:hAnsi="Times New Roman"/>
          <w:sz w:val="21"/>
          <w:szCs w:val="21"/>
          <w:u w:val="single" w:color="auto"/>
          <w:color w:val="auto"/>
        </w:rPr>
        <w:t>Schedule 1</w:t>
      </w:r>
      <w:r>
        <w:rPr>
          <w:rFonts w:ascii="Times New Roman" w:cs="Times New Roman" w:eastAsia="Times New Roman" w:hAnsi="Times New Roman"/>
          <w:sz w:val="21"/>
          <w:szCs w:val="21"/>
          <w:color w:val="auto"/>
        </w:rPr>
        <w:t xml:space="preserve"> for the Applicable Tranche, (ii) with respect to </w:t>
      </w:r>
      <w:r>
        <w:rPr>
          <w:rFonts w:ascii="Times New Roman" w:cs="Times New Roman" w:eastAsia="Times New Roman" w:hAnsi="Times New Roman"/>
          <w:sz w:val="21"/>
          <w:szCs w:val="21"/>
          <w:u w:val="single" w:color="auto"/>
          <w:color w:val="auto"/>
        </w:rPr>
        <w:t>Section 2.02(c)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5.01(e)</w:t>
      </w:r>
      <w:r>
        <w:rPr>
          <w:rFonts w:ascii="Times New Roman" w:cs="Times New Roman" w:eastAsia="Times New Roman" w:hAnsi="Times New Roman"/>
          <w:sz w:val="21"/>
          <w:szCs w:val="21"/>
          <w:color w:val="auto"/>
        </w:rPr>
        <w:t xml:space="preserve">, the percentage obtained by dividing (a) the outstanding Funded Amount of such Purchaser by (b) the outstanding Funded Amount of all Purchasers, and (iii) with respect to the definition of Majority Purchasers in </w:t>
      </w:r>
      <w:r>
        <w:rPr>
          <w:rFonts w:ascii="Times New Roman" w:cs="Times New Roman" w:eastAsia="Times New Roman" w:hAnsi="Times New Roman"/>
          <w:sz w:val="21"/>
          <w:szCs w:val="21"/>
          <w:u w:val="single" w:color="auto"/>
          <w:color w:val="auto"/>
        </w:rPr>
        <w:t>Section 1.01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8.08</w:t>
      </w:r>
      <w:r>
        <w:rPr>
          <w:rFonts w:ascii="Times New Roman" w:cs="Times New Roman" w:eastAsia="Times New Roman" w:hAnsi="Times New Roman"/>
          <w:sz w:val="21"/>
          <w:szCs w:val="21"/>
          <w:color w:val="auto"/>
        </w:rPr>
        <w:t>, the percentage obtained by dividing (a) the sum of the Commitments then in effect that have not been funded and the outstanding Funded Amount of such Purchaser by (b) the sum of the Commitments then in effect that have not been funded and the outstanding Funded Amount of all Purchasers.”</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2.4 </w:t>
      </w:r>
      <w:r>
        <w:rPr>
          <w:rFonts w:ascii="Times New Roman" w:cs="Times New Roman" w:eastAsia="Times New Roman" w:hAnsi="Times New Roman"/>
          <w:sz w:val="22"/>
          <w:szCs w:val="22"/>
          <w:u w:val="single" w:color="auto"/>
          <w:color w:val="auto"/>
        </w:rPr>
        <w:t>Definition of Takeout Payment</w:t>
      </w:r>
      <w:r>
        <w:rPr>
          <w:rFonts w:ascii="Times New Roman" w:cs="Times New Roman" w:eastAsia="Times New Roman" w:hAnsi="Times New Roman"/>
          <w:sz w:val="22"/>
          <w:szCs w:val="22"/>
          <w:color w:val="auto"/>
        </w:rPr>
        <w:t>. Section 1.01 of the Purchase Agreement is hereby amended by adding a new definition of “Takeout Payment” as follows:</w:t>
      </w:r>
    </w:p>
    <w:p>
      <w:pPr>
        <w:spacing w:after="0" w:line="144"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Takeout Payment</w:t>
      </w:r>
      <w:r>
        <w:rPr>
          <w:rFonts w:ascii="Times New Roman" w:cs="Times New Roman" w:eastAsia="Times New Roman" w:hAnsi="Times New Roman"/>
          <w:sz w:val="22"/>
          <w:szCs w:val="22"/>
          <w:color w:val="auto"/>
        </w:rPr>
        <w:t xml:space="preserve">” shall mean, as of any time of determination, any of the following payments that are due at such time: (i) the Event of Default Fee payable by the Company to the Purchasers as a result of an Event of Default under </w:t>
      </w:r>
      <w:r>
        <w:rPr>
          <w:rFonts w:ascii="Times New Roman" w:cs="Times New Roman" w:eastAsia="Times New Roman" w:hAnsi="Times New Roman"/>
          <w:sz w:val="22"/>
          <w:szCs w:val="22"/>
          <w:u w:val="single" w:color="auto"/>
          <w:color w:val="auto"/>
        </w:rPr>
        <w:t>Section 2.03(c)</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2.04(d)</w:t>
      </w:r>
      <w:r>
        <w:rPr>
          <w:rFonts w:ascii="Times New Roman" w:cs="Times New Roman" w:eastAsia="Times New Roman" w:hAnsi="Times New Roman"/>
          <w:sz w:val="22"/>
          <w:szCs w:val="22"/>
          <w:color w:val="auto"/>
        </w:rPr>
        <w:t xml:space="preserve"> and (ii) the Call Price payable by the Company to the Purchasers as a result of the Company’s exercise of the Call Option pursuant to </w:t>
      </w:r>
      <w:r>
        <w:rPr>
          <w:rFonts w:ascii="Times New Roman" w:cs="Times New Roman" w:eastAsia="Times New Roman" w:hAnsi="Times New Roman"/>
          <w:sz w:val="22"/>
          <w:szCs w:val="22"/>
          <w:u w:val="single" w:color="auto"/>
          <w:color w:val="auto"/>
        </w:rPr>
        <w:t>Section 5.05(a)</w:t>
      </w:r>
      <w:r>
        <w:rPr>
          <w:rFonts w:ascii="Times New Roman" w:cs="Times New Roman" w:eastAsia="Times New Roman" w:hAnsi="Times New Roman"/>
          <w:sz w:val="22"/>
          <w:szCs w:val="22"/>
          <w:color w:val="auto"/>
        </w:rPr>
        <w:t>.”</w:t>
      </w:r>
    </w:p>
    <w:p>
      <w:pPr>
        <w:spacing w:after="0" w:line="193"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22"/>
          <w:szCs w:val="22"/>
          <w:u w:val="single" w:color="auto"/>
          <w:color w:val="auto"/>
        </w:rPr>
        <w:t>Definition of Takeout Payment Proportionate Share</w:t>
      </w:r>
      <w:r>
        <w:rPr>
          <w:rFonts w:ascii="Times New Roman" w:cs="Times New Roman" w:eastAsia="Times New Roman" w:hAnsi="Times New Roman"/>
          <w:sz w:val="22"/>
          <w:szCs w:val="22"/>
          <w:color w:val="auto"/>
        </w:rPr>
        <w:t>. Section 1.01 of the Purchase Agreement is hereby amended by adding a new definition of “Takeout Payment Proportionate Share”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333"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Takeout Payment Proportionate Share</w:t>
      </w:r>
      <w:r>
        <w:rPr>
          <w:rFonts w:ascii="Times New Roman" w:cs="Times New Roman" w:eastAsia="Times New Roman" w:hAnsi="Times New Roman"/>
          <w:sz w:val="22"/>
          <w:szCs w:val="22"/>
          <w:color w:val="auto"/>
        </w:rPr>
        <w:t xml:space="preserve">” shall mean, with respect to any Purchaser and a Takeout Payment made at a particular time, the portion of such Takeout Payment allocated to such Purchaser as of such time, as set forth in </w:t>
      </w:r>
      <w:r>
        <w:rPr>
          <w:rFonts w:ascii="Times New Roman" w:cs="Times New Roman" w:eastAsia="Times New Roman" w:hAnsi="Times New Roman"/>
          <w:sz w:val="22"/>
          <w:szCs w:val="22"/>
          <w:u w:val="single" w:color="auto"/>
          <w:color w:val="auto"/>
        </w:rPr>
        <w:t>Schedule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attached hereto.”</w:t>
      </w:r>
    </w:p>
    <w:p>
      <w:pPr>
        <w:spacing w:after="0" w:line="173" w:lineRule="exact"/>
        <w:rPr>
          <w:sz w:val="20"/>
          <w:szCs w:val="20"/>
          <w:color w:val="auto"/>
        </w:rPr>
      </w:pPr>
    </w:p>
    <w:p>
      <w:pPr>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2.6 </w:t>
      </w:r>
      <w:r>
        <w:rPr>
          <w:rFonts w:ascii="Times New Roman" w:cs="Times New Roman" w:eastAsia="Times New Roman" w:hAnsi="Times New Roman"/>
          <w:sz w:val="22"/>
          <w:szCs w:val="22"/>
          <w:u w:val="single" w:color="auto"/>
          <w:color w:val="auto"/>
        </w:rPr>
        <w:t>Replacement of Schedule 1</w:t>
      </w:r>
      <w:r>
        <w:rPr>
          <w:rFonts w:ascii="Times New Roman" w:cs="Times New Roman" w:eastAsia="Times New Roman" w:hAnsi="Times New Roman"/>
          <w:sz w:val="22"/>
          <w:szCs w:val="22"/>
          <w:color w:val="auto"/>
        </w:rPr>
        <w:t xml:space="preserve">. Schedule 1 of the Purchase Agreement is hereby deleted in its entirety and replaced with the Schedule 1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2.7 </w:t>
      </w:r>
      <w:r>
        <w:rPr>
          <w:rFonts w:ascii="Times New Roman" w:cs="Times New Roman" w:eastAsia="Times New Roman" w:hAnsi="Times New Roman"/>
          <w:sz w:val="22"/>
          <w:szCs w:val="22"/>
          <w:u w:val="single" w:color="auto"/>
          <w:color w:val="auto"/>
        </w:rPr>
        <w:t>Addition of Schedule 2</w:t>
      </w:r>
      <w:r>
        <w:rPr>
          <w:rFonts w:ascii="Times New Roman" w:cs="Times New Roman" w:eastAsia="Times New Roman" w:hAnsi="Times New Roman"/>
          <w:sz w:val="22"/>
          <w:szCs w:val="22"/>
          <w:color w:val="auto"/>
        </w:rPr>
        <w:t xml:space="preserve">. The Purchase Agreement is hereby amended by adding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attached hereto as a new Schedule 2 of the Purchase Agreement.</w:t>
      </w:r>
    </w:p>
    <w:p>
      <w:pPr>
        <w:spacing w:after="0" w:line="158"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2.8 </w:t>
      </w:r>
      <w:r>
        <w:rPr>
          <w:rFonts w:ascii="Times New Roman" w:cs="Times New Roman" w:eastAsia="Times New Roman" w:hAnsi="Times New Roman"/>
          <w:sz w:val="22"/>
          <w:szCs w:val="22"/>
          <w:u w:val="single" w:color="auto"/>
          <w:color w:val="auto"/>
        </w:rPr>
        <w:t>Amendment of Section 2.02(c)</w:t>
      </w:r>
      <w:r>
        <w:rPr>
          <w:rFonts w:ascii="Times New Roman" w:cs="Times New Roman" w:eastAsia="Times New Roman" w:hAnsi="Times New Roman"/>
          <w:sz w:val="22"/>
          <w:szCs w:val="22"/>
          <w:color w:val="auto"/>
        </w:rPr>
        <w:t>. The last sentence of Section 2.02(c) of the Purchase Agreement is hereby deleted in its entirety and replaced with the following:</w:t>
      </w:r>
    </w:p>
    <w:p>
      <w:pPr>
        <w:spacing w:after="0" w:line="171" w:lineRule="exact"/>
        <w:rPr>
          <w:sz w:val="20"/>
          <w:szCs w:val="20"/>
          <w:color w:val="auto"/>
        </w:rPr>
      </w:pPr>
    </w:p>
    <w:p>
      <w:pPr>
        <w:jc w:val="both"/>
        <w:ind w:left="660"/>
        <w:spacing w:after="0" w:line="257" w:lineRule="auto"/>
        <w:rPr>
          <w:sz w:val="20"/>
          <w:szCs w:val="20"/>
          <w:color w:val="auto"/>
        </w:rPr>
      </w:pPr>
      <w:r>
        <w:rPr>
          <w:rFonts w:ascii="Times New Roman" w:cs="Times New Roman" w:eastAsia="Times New Roman" w:hAnsi="Times New Roman"/>
          <w:sz w:val="22"/>
          <w:szCs w:val="22"/>
          <w:color w:val="auto"/>
        </w:rPr>
        <w:t>“Except as otherwise provided in this Agreement, each payment by the Company will be deemed to be made ratably in accordance with the Purchasers’ Proportionate Shares; provided, that in the case of a Takeout Payment, such Takeout Payment shall be made ratably in accordance with the Purchasers’ Takeout Payment Proportionate Share.”</w:t>
      </w:r>
    </w:p>
    <w:p>
      <w:pPr>
        <w:spacing w:after="0" w:line="173"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2.9 </w:t>
      </w:r>
      <w:r>
        <w:rPr>
          <w:rFonts w:ascii="Times New Roman" w:cs="Times New Roman" w:eastAsia="Times New Roman" w:hAnsi="Times New Roman"/>
          <w:sz w:val="22"/>
          <w:szCs w:val="22"/>
          <w:u w:val="single" w:color="auto"/>
          <w:color w:val="auto"/>
        </w:rPr>
        <w:t>Amendment of Section 2.03(d)</w:t>
      </w:r>
      <w:r>
        <w:rPr>
          <w:rFonts w:ascii="Times New Roman" w:cs="Times New Roman" w:eastAsia="Times New Roman" w:hAnsi="Times New Roman"/>
          <w:sz w:val="22"/>
          <w:szCs w:val="22"/>
          <w:color w:val="auto"/>
        </w:rPr>
        <w:t>. The second-to-last sentence of Section 2.03(d) of the Purchase Agreement is hereby deleted in its entirety and replaced with the following:</w:t>
      </w:r>
    </w:p>
    <w:p>
      <w:pPr>
        <w:spacing w:after="0" w:line="171" w:lineRule="exact"/>
        <w:rPr>
          <w:sz w:val="20"/>
          <w:szCs w:val="20"/>
          <w:color w:val="auto"/>
        </w:rPr>
      </w:pPr>
    </w:p>
    <w:p>
      <w:pPr>
        <w:jc w:val="both"/>
        <w:ind w:left="660"/>
        <w:spacing w:after="0" w:line="250" w:lineRule="auto"/>
        <w:rPr>
          <w:sz w:val="20"/>
          <w:szCs w:val="20"/>
          <w:color w:val="auto"/>
        </w:rPr>
      </w:pPr>
      <w:r>
        <w:rPr>
          <w:rFonts w:ascii="Times New Roman" w:cs="Times New Roman" w:eastAsia="Times New Roman" w:hAnsi="Times New Roman"/>
          <w:sz w:val="22"/>
          <w:szCs w:val="22"/>
          <w:color w:val="auto"/>
        </w:rPr>
        <w:t>“In the event the Purchasers unanimously make such demand in writing, (i) the Pre-Funding Event of Default Fee or Event of Default Fee (other than in respect of a Change of Control occurring after the Tranche A Funding Date), as applicable, shall be due and payable within five (5) Business Days after delivery of such demand in writing and (ii) the Event of Default Fee in respect of a Change of Control occurring after the Tranche A Funding Date shall be due and payable concurrently with the consummation of such Change of Control.”</w:t>
      </w:r>
    </w:p>
    <w:p>
      <w:pPr>
        <w:spacing w:after="0" w:line="177" w:lineRule="exact"/>
        <w:rPr>
          <w:sz w:val="20"/>
          <w:szCs w:val="20"/>
          <w:color w:val="auto"/>
        </w:rPr>
      </w:pPr>
    </w:p>
    <w:p>
      <w:pPr>
        <w:jc w:val="both"/>
        <w:ind w:firstLine="8"/>
        <w:spacing w:after="0" w:line="265" w:lineRule="auto"/>
        <w:tabs>
          <w:tab w:leader="none" w:pos="64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Acknowledgement of Assigned Interests Allocation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Obligor and the Administrative Agent hereby acknowledges,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as of the First Amendment Effective Date, the assignment of certain Assigned Interests between the Purchasers as reflected by each Purchaser’s respective Funded Amount as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attached hereto.</w:t>
      </w:r>
    </w:p>
    <w:p>
      <w:pPr>
        <w:spacing w:after="0" w:line="161" w:lineRule="exact"/>
        <w:rPr>
          <w:rFonts w:ascii="Times New Roman" w:cs="Times New Roman" w:eastAsia="Times New Roman" w:hAnsi="Times New Roman"/>
          <w:sz w:val="22"/>
          <w:szCs w:val="22"/>
          <w:b w:val="1"/>
          <w:bCs w:val="1"/>
          <w:color w:val="auto"/>
        </w:rPr>
      </w:pPr>
    </w:p>
    <w:p>
      <w:pPr>
        <w:jc w:val="both"/>
        <w:ind w:firstLine="8"/>
        <w:spacing w:after="0" w:line="252" w:lineRule="auto"/>
        <w:tabs>
          <w:tab w:leader="none" w:pos="64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Effect on Agreement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execution and delivery of this Amendment by the Parties, the Purchase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amended and/or restated as hereinabove set forth as fully and with the same effect as if the amendments made hereby were originally set forth in the Purchase Agreement, and this Amendment and the Purchase Agreement shall henceforth respectively be read, taken and construed as one and the same instrument, but such amendments shall not operate so as to render invalid or improper any action heretofore taken under the Purchase Agreement. Except as specifically provided for in this Amendment, the Purchase Agreement shall remain unmodified and in full force and effect.</w:t>
      </w:r>
    </w:p>
    <w:p>
      <w:pPr>
        <w:spacing w:after="0" w:line="174" w:lineRule="exact"/>
        <w:rPr>
          <w:rFonts w:ascii="Times New Roman" w:cs="Times New Roman" w:eastAsia="Times New Roman" w:hAnsi="Times New Roman"/>
          <w:sz w:val="22"/>
          <w:szCs w:val="22"/>
          <w:b w:val="1"/>
          <w:bCs w:val="1"/>
          <w:color w:val="auto"/>
        </w:rPr>
      </w:pPr>
    </w:p>
    <w:p>
      <w:pPr>
        <w:ind w:right="20" w:firstLine="8"/>
        <w:spacing w:after="0" w:line="275" w:lineRule="auto"/>
        <w:tabs>
          <w:tab w:leader="none" w:pos="648" w:val="left"/>
        </w:tabs>
        <w:numPr>
          <w:ilvl w:val="0"/>
          <w:numId w:val="8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Other Miscellaneous Terms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provisions of Article VII of the Purchase Agreement (other than Section 7.09 (Entire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Section 7.10 (Amendments; No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33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Section 7.13 (Counterparts; Effectiveness) and Section 7.18 (Release of Liens upon Certain Permitted Financings; Non-Disturbance; Permitted First Lien Intercreditor Agreement; Permitted Pari Passu Intercreditor Agreement) of the Purchase Agreement) shall apply, </w:t>
      </w:r>
      <w:r>
        <w:rPr>
          <w:rFonts w:ascii="Times New Roman" w:cs="Times New Roman" w:eastAsia="Times New Roman" w:hAnsi="Times New Roman"/>
          <w:sz w:val="22"/>
          <w:szCs w:val="22"/>
          <w:i w:val="1"/>
          <w:iCs w:val="1"/>
          <w:color w:val="auto"/>
        </w:rPr>
        <w:t>mutatis mutandis</w:t>
      </w:r>
      <w:r>
        <w:rPr>
          <w:rFonts w:ascii="Times New Roman" w:cs="Times New Roman" w:eastAsia="Times New Roman" w:hAnsi="Times New Roman"/>
          <w:sz w:val="22"/>
          <w:szCs w:val="22"/>
          <w:color w:val="auto"/>
        </w:rPr>
        <w:t>, to this Amendment and to the Purchase Agreement as modified by this Amendment, taken together as a single agreement, reflecting the terms therein as modified thereby.</w:t>
      </w:r>
    </w:p>
    <w:p>
      <w:pPr>
        <w:spacing w:after="0" w:line="189" w:lineRule="exact"/>
        <w:rPr>
          <w:sz w:val="20"/>
          <w:szCs w:val="20"/>
          <w:color w:val="auto"/>
        </w:rPr>
      </w:pPr>
    </w:p>
    <w:p>
      <w:pPr>
        <w:jc w:val="both"/>
        <w:ind w:firstLine="8"/>
        <w:spacing w:after="0" w:line="253" w:lineRule="auto"/>
        <w:tabs>
          <w:tab w:leader="none" w:pos="648"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Amendment may be executed in two or more counterparts, each of which shall be an original, but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which together shall constitute one and the same instrument. This Amendment shall become effective when each Party hereto shall have received a counterpart hereof signed by the other Parties hereto. Any counterpart may be executed by facsimile or pdf signature and such facsimile or pdf signature shall be deemed an original.</w:t>
      </w:r>
    </w:p>
    <w:p>
      <w:pPr>
        <w:spacing w:after="0" w:line="175" w:lineRule="exact"/>
        <w:rPr>
          <w:rFonts w:ascii="Times New Roman" w:cs="Times New Roman" w:eastAsia="Times New Roman" w:hAnsi="Times New Roman"/>
          <w:sz w:val="22"/>
          <w:szCs w:val="22"/>
          <w:b w:val="1"/>
          <w:bCs w:val="1"/>
          <w:color w:val="auto"/>
        </w:rPr>
      </w:pPr>
    </w:p>
    <w:p>
      <w:pPr>
        <w:jc w:val="both"/>
        <w:ind w:firstLine="8"/>
        <w:spacing w:after="0" w:line="251" w:lineRule="auto"/>
        <w:tabs>
          <w:tab w:leader="none" w:pos="648"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Entire Agreement; Amendments; No Conflicts</w:t>
      </w:r>
      <w:r>
        <w:rPr>
          <w:rFonts w:ascii="Times New Roman" w:cs="Times New Roman" w:eastAsia="Times New Roman" w:hAnsi="Times New Roman"/>
          <w:sz w:val="22"/>
          <w:szCs w:val="22"/>
          <w:color w:val="auto"/>
        </w:rPr>
        <w:t>. This Amendment, the Purchase Agreement, the other Transaction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Documents and the other documents and instruments referred to herein and therein constitute the entire agreement among the Parties and supersede any prior understandings, agreements or representations by or among the Parties, written or oral, that may have related in any way to the subject matter hereof. In the event of any conflict between the terms and provisions of this Amendment and any Transaction Document, the terms and provisions of this Amendment shall control. This Amendment or any term or provision hereof may not be amended, changed or modified except with the written consent of the Parties. No waiver of any right hereunder shall be effective unless such waiver is signed in writing by the Party against whom such waiver is sought to be enforced.</w:t>
      </w:r>
    </w:p>
    <w:p>
      <w:pPr>
        <w:spacing w:after="0" w:line="178" w:lineRule="exact"/>
        <w:rPr>
          <w:rFonts w:ascii="Times New Roman" w:cs="Times New Roman" w:eastAsia="Times New Roman" w:hAnsi="Times New Roman"/>
          <w:sz w:val="22"/>
          <w:szCs w:val="22"/>
          <w:b w:val="1"/>
          <w:bCs w:val="1"/>
          <w:color w:val="auto"/>
        </w:rPr>
      </w:pPr>
    </w:p>
    <w:p>
      <w:pPr>
        <w:jc w:val="both"/>
        <w:ind w:firstLine="8"/>
        <w:spacing w:after="0" w:line="254" w:lineRule="auto"/>
        <w:tabs>
          <w:tab w:leader="none" w:pos="648" w:val="left"/>
        </w:tabs>
        <w:numPr>
          <w:ilvl w:val="0"/>
          <w:numId w:val="9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No Waiver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Nothing herein shall constitute a waiver or relinquishment of (i) any Default or Event of Default under any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Transaction Documents, (ii) any of the agreements, terms or conditions contained in any of the Transaction Documents, (iii) any rights or remedies of any Obligor, the Administrative Agent or any Purchaser with respect to the Transaction Documents or (iv) the rights of any Obligor, the Administrative Agent or any Purchaser to collect the full amounts owing to them under the Transaction Documents.</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94" w:lineRule="exact"/>
        <w:rPr>
          <w:sz w:val="20"/>
          <w:szCs w:val="20"/>
          <w:color w:val="auto"/>
        </w:rPr>
      </w:pPr>
    </w:p>
    <w:p>
      <w:pPr>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IN WITNESS WHEREOF, </w:t>
      </w:r>
      <w:r>
        <w:rPr>
          <w:rFonts w:ascii="Times New Roman" w:cs="Times New Roman" w:eastAsia="Times New Roman" w:hAnsi="Times New Roman"/>
          <w:sz w:val="22"/>
          <w:szCs w:val="22"/>
          <w:color w:val="auto"/>
        </w:rPr>
        <w:t>the parties hereto have caused this Amendment to be duly executed by their respective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officers as of the First Amendment Effective Date.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u w:val="single" w:color="auto"/>
          <w:color w:val="auto"/>
        </w:rPr>
        <w:t>COMPANY</w:t>
      </w:r>
      <w:r>
        <w:rPr>
          <w:rFonts w:ascii="Times New Roman" w:cs="Times New Roman" w:eastAsia="Times New Roman" w:hAnsi="Times New Roman"/>
          <w:sz w:val="22"/>
          <w:szCs w:val="22"/>
          <w:b w:val="1"/>
          <w:bCs w:val="1"/>
          <w:color w:val="auto"/>
        </w:rPr>
        <w:t>:</w:t>
      </w:r>
    </w:p>
    <w:p>
      <w:pPr>
        <w:spacing w:after="0" w:line="23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VERONA PHARMA, INC.</w:t>
      </w:r>
    </w:p>
    <w:p>
      <w:pPr>
        <w:spacing w:after="0" w:line="200" w:lineRule="exact"/>
        <w:rPr>
          <w:sz w:val="20"/>
          <w:szCs w:val="20"/>
          <w:color w:val="auto"/>
        </w:rPr>
      </w:pPr>
    </w:p>
    <w:p>
      <w:pPr>
        <w:spacing w:after="0" w:line="240"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150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5">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Mark W. Hahn</w:t>
      </w:r>
    </w:p>
    <w:p>
      <w:pPr>
        <w:spacing w:after="0" w:line="4"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Treasurer, Secretary and Chief Financial Officer</w:t>
      </w:r>
    </w:p>
    <w:p>
      <w:pPr>
        <w:spacing w:after="0" w:line="200" w:lineRule="exact"/>
        <w:rPr>
          <w:sz w:val="20"/>
          <w:szCs w:val="20"/>
          <w:color w:val="auto"/>
        </w:rPr>
      </w:pPr>
    </w:p>
    <w:p>
      <w:pPr>
        <w:spacing w:after="0" w:line="20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VERONA PHARMA PLC</w:t>
      </w:r>
    </w:p>
    <w:p>
      <w:pPr>
        <w:spacing w:after="0" w:line="200" w:lineRule="exact"/>
        <w:rPr>
          <w:sz w:val="20"/>
          <w:szCs w:val="20"/>
          <w:color w:val="auto"/>
        </w:rPr>
      </w:pPr>
    </w:p>
    <w:p>
      <w:pPr>
        <w:spacing w:after="0" w:line="253"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2809240</wp:posOffset>
            </wp:positionH>
            <wp:positionV relativeFrom="paragraph">
              <wp:posOffset>-13970</wp:posOffset>
            </wp:positionV>
            <wp:extent cx="11150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6">
                      <a:extLst>
                        <a:ext uri="{28A0092B-C50C-407E-A947-70E740481C1C}"/>
                      </a:extLst>
                    </a:blip>
                    <a:srcRect/>
                    <a:stretch>
                      <a:fillRect/>
                    </a:stretch>
                  </pic:blipFill>
                  <pic:spPr bwMode="auto">
                    <a:xfrm>
                      <a:off x="0" y="0"/>
                      <a:ext cx="1115060" cy="8255"/>
                    </a:xfrm>
                    <a:prstGeom prst="rect">
                      <a:avLst/>
                    </a:prstGeom>
                    <a:noFill/>
                  </pic:spPr>
                </pic:pic>
              </a:graphicData>
            </a:graphic>
          </wp:anchor>
        </w:drawing>
      </w:r>
    </w:p>
    <w:p>
      <w:pPr>
        <w:spacing w:after="0" w:line="8" w:lineRule="exact"/>
        <w:rPr>
          <w:sz w:val="20"/>
          <w:szCs w:val="20"/>
          <w:color w:val="auto"/>
        </w:rPr>
      </w:pPr>
    </w:p>
    <w:p>
      <w:pPr>
        <w:ind w:left="4540"/>
        <w:spacing w:after="0"/>
        <w:tabs>
          <w:tab w:leader="none" w:pos="532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Mark W. Hahn</w:t>
      </w:r>
    </w:p>
    <w:p>
      <w:pPr>
        <w:spacing w:after="0" w:line="4" w:lineRule="exact"/>
        <w:rPr>
          <w:sz w:val="20"/>
          <w:szCs w:val="20"/>
          <w:color w:val="auto"/>
        </w:rPr>
      </w:pPr>
    </w:p>
    <w:p>
      <w:pPr>
        <w:ind w:left="4540"/>
        <w:spacing w:after="0"/>
        <w:tabs>
          <w:tab w:leader="none" w:pos="5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First Amendment to Revenue Interest Purchase and Sale Agreement]</w:t>
      </w:r>
    </w:p>
    <w:p>
      <w:pPr>
        <w:sectPr>
          <w:pgSz w:w="11900" w:h="16838" w:orient="portrait"/>
          <w:cols w:equalWidth="0" w:num="1">
            <w:col w:w="11240"/>
          </w:cols>
          <w:pgMar w:left="320" w:top="1440" w:right="339" w:bottom="1440" w:gutter="0" w:footer="0" w:header="0"/>
        </w:sectPr>
      </w:pPr>
    </w:p>
    <w:bookmarkStart w:id="171" w:name="page172"/>
    <w:bookmarkEnd w:id="171"/>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ADMINISTRATIVE AGENT</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color w:val="auto"/>
        </w:rPr>
        <w:t>OAKTREE FUND ADMINISTRATION, LLC</w:t>
      </w:r>
    </w:p>
    <w:p>
      <w:pPr>
        <w:spacing w:after="0" w:line="224"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23"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1049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7">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2623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8">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9"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15" w:lineRule="exact"/>
        <w:rPr>
          <w:sz w:val="20"/>
          <w:szCs w:val="20"/>
          <w:color w:val="auto"/>
        </w:rPr>
      </w:pPr>
    </w:p>
    <w:p>
      <w:pPr>
        <w:ind w:left="2780"/>
        <w:spacing w:after="0"/>
        <w:tabs>
          <w:tab w:leader="none" w:pos="344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1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Rahul Anand</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tabs>
          <w:tab w:leader="none" w:pos="340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Ari Blaut</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18" w:right="1440" w:bottom="1440" w:gutter="0" w:footer="0" w:header="0"/>
        </w:sectPr>
      </w:pPr>
    </w:p>
    <w:bookmarkStart w:id="172" w:name="page173"/>
    <w:bookmarkEnd w:id="172"/>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PURCHASER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Oaktree-TCDRS Strategic Credit, LLC</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23"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9">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0">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1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1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18" w:right="1440" w:bottom="1440" w:gutter="0" w:footer="0" w:header="0"/>
        </w:sectPr>
      </w:pPr>
    </w:p>
    <w:bookmarkStart w:id="173" w:name="page174"/>
    <w:bookmarkEnd w:id="173"/>
    <w:p>
      <w:pPr>
        <w:jc w:val="center"/>
        <w:ind w:right="299"/>
        <w:spacing w:after="0"/>
        <w:rPr>
          <w:sz w:val="20"/>
          <w:szCs w:val="20"/>
          <w:color w:val="auto"/>
        </w:rPr>
      </w:pPr>
      <w:r>
        <w:rPr>
          <w:rFonts w:ascii="Times New Roman" w:cs="Times New Roman" w:eastAsia="Times New Roman" w:hAnsi="Times New Roman"/>
          <w:sz w:val="22"/>
          <w:szCs w:val="22"/>
          <w:color w:val="auto"/>
        </w:rPr>
        <w:t>SC Investments UBTI Blocker, LLC</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IIA, LLC</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1">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2">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74" w:name="page175"/>
    <w:bookmarkEnd w:id="174"/>
    <w:p>
      <w:pPr>
        <w:jc w:val="center"/>
        <w:ind w:right="119"/>
        <w:spacing w:after="0"/>
        <w:rPr>
          <w:sz w:val="20"/>
          <w:szCs w:val="20"/>
          <w:color w:val="auto"/>
        </w:rPr>
      </w:pPr>
      <w:r>
        <w:rPr>
          <w:rFonts w:ascii="Times New Roman" w:cs="Times New Roman" w:eastAsia="Times New Roman" w:hAnsi="Times New Roman"/>
          <w:sz w:val="22"/>
          <w:szCs w:val="22"/>
          <w:color w:val="auto"/>
        </w:rPr>
        <w:t>Oaktree-TSE 16 Strategic Credit, LLC</w:t>
      </w:r>
    </w:p>
    <w:p>
      <w:pPr>
        <w:spacing w:after="0" w:line="200" w:lineRule="exact"/>
        <w:rPr>
          <w:sz w:val="20"/>
          <w:szCs w:val="20"/>
          <w:color w:val="auto"/>
        </w:rPr>
      </w:pPr>
    </w:p>
    <w:p>
      <w:pPr>
        <w:spacing w:after="0" w:line="290"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3">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4">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75" w:name="page176"/>
    <w:bookmarkEnd w:id="175"/>
    <w:p>
      <w:pPr>
        <w:ind w:left="2780"/>
        <w:spacing w:after="0"/>
        <w:rPr>
          <w:sz w:val="20"/>
          <w:szCs w:val="20"/>
          <w:color w:val="auto"/>
        </w:rPr>
      </w:pPr>
      <w:r>
        <w:rPr>
          <w:rFonts w:ascii="Times New Roman" w:cs="Times New Roman" w:eastAsia="Times New Roman" w:hAnsi="Times New Roman"/>
          <w:sz w:val="22"/>
          <w:szCs w:val="22"/>
          <w:color w:val="auto"/>
        </w:rPr>
        <w:t>INPRS Strategic Credit Holdings,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5">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6">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76" w:name="page177"/>
    <w:bookmarkEnd w:id="176"/>
    <w:p>
      <w:pPr>
        <w:ind w:left="2780"/>
        <w:spacing w:after="0"/>
        <w:rPr>
          <w:sz w:val="20"/>
          <w:szCs w:val="20"/>
          <w:color w:val="auto"/>
        </w:rPr>
      </w:pPr>
      <w:r>
        <w:rPr>
          <w:rFonts w:ascii="Times New Roman" w:cs="Times New Roman" w:eastAsia="Times New Roman" w:hAnsi="Times New Roman"/>
          <w:sz w:val="22"/>
          <w:szCs w:val="22"/>
          <w:color w:val="auto"/>
        </w:rPr>
        <w:t>FSFC Holdings, Inc.</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7">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1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77" w:name="page178"/>
    <w:bookmarkEnd w:id="177"/>
    <w:p>
      <w:pPr>
        <w:ind w:left="2780"/>
        <w:spacing w:after="0"/>
        <w:rPr>
          <w:sz w:val="20"/>
          <w:szCs w:val="20"/>
          <w:color w:val="auto"/>
        </w:rPr>
      </w:pPr>
      <w:r>
        <w:rPr>
          <w:rFonts w:ascii="Times New Roman" w:cs="Times New Roman" w:eastAsia="Times New Roman" w:hAnsi="Times New Roman"/>
          <w:sz w:val="22"/>
          <w:szCs w:val="22"/>
          <w:color w:val="auto"/>
        </w:rPr>
        <w:t>OSCF Blocker Holdings, Inc.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Strategic Credit Fund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Advisors, LLC</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Investment Advisor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8">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9">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78" w:name="page179"/>
    <w:bookmarkEnd w:id="178"/>
    <w:p>
      <w:pPr>
        <w:ind w:left="2780"/>
        <w:spacing w:after="0"/>
        <w:rPr>
          <w:sz w:val="20"/>
          <w:szCs w:val="20"/>
          <w:color w:val="auto"/>
        </w:rPr>
      </w:pPr>
      <w:r>
        <w:rPr>
          <w:rFonts w:ascii="Times New Roman" w:cs="Times New Roman" w:eastAsia="Times New Roman" w:hAnsi="Times New Roman"/>
          <w:sz w:val="21"/>
          <w:szCs w:val="21"/>
          <w:color w:val="auto"/>
        </w:rPr>
        <w:t>Oaktree Direct Lending Fund Delaware Holdings Non-EURRC, L.P</w:t>
      </w:r>
    </w:p>
    <w:p>
      <w:pPr>
        <w:spacing w:after="0" w:line="2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Ltd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0">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15" w:lineRule="exact"/>
        <w:rPr>
          <w:sz w:val="20"/>
          <w:szCs w:val="20"/>
          <w:color w:val="auto"/>
        </w:rPr>
      </w:pPr>
    </w:p>
    <w:p>
      <w:pPr>
        <w:jc w:val="center"/>
        <w:ind w:right="-160"/>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1">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2"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ectPr>
          <w:pgSz w:w="11900" w:h="16838" w:orient="portrait"/>
          <w:cols w:equalWidth="0" w:num="1">
            <w:col w:w="9019"/>
          </w:cols>
          <w:pgMar w:left="144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type w:val="continuous"/>
        </w:sectPr>
      </w:pPr>
    </w:p>
    <w:bookmarkStart w:id="179" w:name="page180"/>
    <w:bookmarkEnd w:id="179"/>
    <w:p>
      <w:pPr>
        <w:ind w:left="2780"/>
        <w:spacing w:after="0"/>
        <w:rPr>
          <w:sz w:val="20"/>
          <w:szCs w:val="20"/>
          <w:color w:val="auto"/>
        </w:rPr>
      </w:pPr>
      <w:r>
        <w:rPr>
          <w:rFonts w:ascii="Times New Roman" w:cs="Times New Roman" w:eastAsia="Times New Roman" w:hAnsi="Times New Roman"/>
          <w:sz w:val="21"/>
          <w:szCs w:val="21"/>
          <w:color w:val="auto"/>
        </w:rPr>
        <w:t>Oaktree Direct Lending Fund Unlevered Delaware Holdings Non-EURRC, L.P.</w:t>
      </w:r>
    </w:p>
    <w:p>
      <w:pPr>
        <w:spacing w:after="0" w:line="2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Ltd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2">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1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3">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2"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ectPr>
          <w:pgSz w:w="11900" w:h="16838" w:orient="portrait"/>
          <w:cols w:equalWidth="0" w:num="1">
            <w:col w:w="9660"/>
          </w:cols>
          <w:pgMar w:left="1440" w:top="142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660"/>
          </w:cols>
          <w:pgMar w:left="1440" w:top="1422" w:right="799" w:bottom="1440" w:gutter="0" w:footer="0" w:header="0"/>
          <w:type w:val="continuous"/>
        </w:sectPr>
      </w:pPr>
    </w:p>
    <w:bookmarkStart w:id="180" w:name="page181"/>
    <w:bookmarkEnd w:id="180"/>
    <w:p>
      <w:pPr>
        <w:ind w:left="2780"/>
        <w:spacing w:after="0"/>
        <w:rPr>
          <w:sz w:val="20"/>
          <w:szCs w:val="20"/>
          <w:color w:val="auto"/>
        </w:rPr>
      </w:pPr>
      <w:r>
        <w:rPr>
          <w:rFonts w:ascii="Times New Roman" w:cs="Times New Roman" w:eastAsia="Times New Roman" w:hAnsi="Times New Roman"/>
          <w:sz w:val="21"/>
          <w:szCs w:val="21"/>
          <w:color w:val="auto"/>
        </w:rPr>
        <w:t>Oaktree Direct Lending Fund VCOC Delaware Holdings Non-EURRC, L.P.</w:t>
      </w:r>
    </w:p>
    <w:p>
      <w:pPr>
        <w:spacing w:after="0" w:line="258"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VCOC (Parallel),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Direct Lending Fund GP Ltd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9"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23"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4">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5">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5"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5"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15"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ectPr>
          <w:pgSz w:w="11900" w:h="16838" w:orient="portrait"/>
          <w:cols w:equalWidth="0" w:num="1">
            <w:col w:w="9360"/>
          </w:cols>
          <w:pgMar w:left="1440" w:top="1422" w:right="10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360"/>
          </w:cols>
          <w:pgMar w:left="1440" w:top="1422" w:right="1099" w:bottom="1440" w:gutter="0" w:footer="0" w:header="0"/>
          <w:type w:val="continuous"/>
        </w:sectPr>
      </w:pPr>
    </w:p>
    <w:bookmarkStart w:id="181" w:name="page182"/>
    <w:bookmarkEnd w:id="181"/>
    <w:p>
      <w:pPr>
        <w:ind w:left="2780"/>
        <w:spacing w:after="0"/>
        <w:rPr>
          <w:sz w:val="20"/>
          <w:szCs w:val="20"/>
          <w:color w:val="auto"/>
        </w:rPr>
      </w:pPr>
      <w:r>
        <w:rPr>
          <w:rFonts w:ascii="Times New Roman" w:cs="Times New Roman" w:eastAsia="Times New Roman" w:hAnsi="Times New Roman"/>
          <w:sz w:val="22"/>
          <w:szCs w:val="22"/>
          <w:color w:val="auto"/>
        </w:rPr>
        <w:t>Oaktree LSL Equity Holdings, LLC</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Life Science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Life Science Lending Fund GP Ltd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6">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1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7">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2"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82" w:name="page183"/>
    <w:bookmarkEnd w:id="182"/>
    <w:p>
      <w:pPr>
        <w:ind w:left="2780"/>
        <w:spacing w:after="0"/>
        <w:rPr>
          <w:sz w:val="20"/>
          <w:szCs w:val="20"/>
          <w:color w:val="auto"/>
        </w:rPr>
      </w:pPr>
      <w:r>
        <w:rPr>
          <w:rFonts w:ascii="Times New Roman" w:cs="Times New Roman" w:eastAsia="Times New Roman" w:hAnsi="Times New Roman"/>
          <w:sz w:val="22"/>
          <w:szCs w:val="22"/>
          <w:color w:val="auto"/>
        </w:rPr>
        <w:t>Oaktree AZ Strategic Lending Fund, L.P.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AZ Strategic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IIA, LLC</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8">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15"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9">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2"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83" w:name="page184"/>
    <w:bookmarkEnd w:id="183"/>
    <w:p>
      <w:pPr>
        <w:ind w:left="2780"/>
        <w:spacing w:after="0"/>
        <w:rPr>
          <w:sz w:val="20"/>
          <w:szCs w:val="20"/>
          <w:color w:val="auto"/>
        </w:rPr>
      </w:pPr>
      <w:r>
        <w:rPr>
          <w:rFonts w:ascii="Times New Roman" w:cs="Times New Roman" w:eastAsia="Times New Roman" w:hAnsi="Times New Roman"/>
          <w:sz w:val="22"/>
          <w:szCs w:val="22"/>
          <w:color w:val="auto"/>
        </w:rPr>
        <w:t>Oaktree LSL Fund Delaware Holdings EURRC, L.P.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Life Science Lending Fund GP,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Life Sciences Lending Fund GP Ltd</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19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Capital Management,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0">
                      <a:extLst>
                        <a:ext uri="{28A0092B-C50C-407E-A947-70E740481C1C}"/>
                      </a:extLst>
                    </a:blip>
                    <a:srcRect/>
                    <a:stretch>
                      <a:fillRect/>
                    </a:stretch>
                  </pic:blipFill>
                  <pic:spPr bwMode="auto">
                    <a:xfrm>
                      <a:off x="0" y="0"/>
                      <a:ext cx="1104900" cy="8255"/>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1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Director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1">
                      <a:extLst>
                        <a:ext uri="{28A0092B-C50C-407E-A947-70E740481C1C}"/>
                      </a:extLst>
                    </a:blip>
                    <a:srcRect/>
                    <a:stretch>
                      <a:fillRect/>
                    </a:stretch>
                  </pic:blipFill>
                  <pic:spPr bwMode="auto">
                    <a:xfrm>
                      <a:off x="0" y="0"/>
                      <a:ext cx="126238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Senior Vice President</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2"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19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84" w:name="page185"/>
    <w:bookmarkEnd w:id="184"/>
    <w:p>
      <w:pPr>
        <w:ind w:left="2780"/>
        <w:spacing w:after="0"/>
        <w:rPr>
          <w:sz w:val="20"/>
          <w:szCs w:val="20"/>
          <w:color w:val="auto"/>
        </w:rPr>
      </w:pPr>
      <w:r>
        <w:rPr>
          <w:rFonts w:ascii="Times New Roman" w:cs="Times New Roman" w:eastAsia="Times New Roman" w:hAnsi="Times New Roman"/>
          <w:sz w:val="22"/>
          <w:szCs w:val="22"/>
          <w:color w:val="auto"/>
        </w:rPr>
        <w:t>Oaktree Loan Acquisition Fund, L.P.</w:t>
      </w:r>
    </w:p>
    <w:p>
      <w:pPr>
        <w:spacing w:after="0" w:line="247"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IIA, LLC</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General Partner</w:t>
      </w:r>
    </w:p>
    <w:p>
      <w:pPr>
        <w:spacing w:after="0" w:line="209"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Oaktree Fund GP II, L.P.</w:t>
      </w:r>
    </w:p>
    <w:p>
      <w:pPr>
        <w:spacing w:after="0" w:line="28"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12"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Mary Gallegly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1049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2">
                      <a:extLst>
                        <a:ext uri="{28A0092B-C50C-407E-A947-70E740481C1C}"/>
                      </a:extLst>
                    </a:blip>
                    <a:srcRect/>
                    <a:stretch>
                      <a:fillRect/>
                    </a:stretch>
                  </pic:blipFill>
                  <pic:spPr bwMode="auto">
                    <a:xfrm>
                      <a:off x="0" y="0"/>
                      <a:ext cx="1104900" cy="8890"/>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Mary Gallegly</w:t>
      </w:r>
    </w:p>
    <w:p>
      <w:pPr>
        <w:spacing w:after="0" w:line="4"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25" w:lineRule="exact"/>
        <w:rPr>
          <w:sz w:val="20"/>
          <w:szCs w:val="20"/>
          <w:color w:val="auto"/>
        </w:rPr>
      </w:pPr>
    </w:p>
    <w:p>
      <w:pPr>
        <w:ind w:left="3000"/>
        <w:spacing w:after="0"/>
        <w:tabs>
          <w:tab w:leader="none" w:pos="35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Jessica Dombroff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2235200</wp:posOffset>
            </wp:positionH>
            <wp:positionV relativeFrom="paragraph">
              <wp:posOffset>-13970</wp:posOffset>
            </wp:positionV>
            <wp:extent cx="12623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3">
                      <a:extLst>
                        <a:ext uri="{28A0092B-C50C-407E-A947-70E740481C1C}"/>
                      </a:extLst>
                    </a:blip>
                    <a:srcRect/>
                    <a:stretch>
                      <a:fillRect/>
                    </a:stretch>
                  </pic:blipFill>
                  <pic:spPr bwMode="auto">
                    <a:xfrm>
                      <a:off x="0" y="0"/>
                      <a:ext cx="1262380" cy="8890"/>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Jessica Dombroff</w:t>
      </w:r>
    </w:p>
    <w:p>
      <w:pPr>
        <w:spacing w:after="0" w:line="4" w:lineRule="exact"/>
        <w:rPr>
          <w:sz w:val="20"/>
          <w:szCs w:val="20"/>
          <w:color w:val="auto"/>
        </w:rPr>
      </w:pPr>
    </w:p>
    <w:p>
      <w:pPr>
        <w:ind w:left="3420"/>
        <w:spacing w:after="0"/>
        <w:tabs>
          <w:tab w:leader="none" w:pos="406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12"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Fund Administration, LLC</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tabs>
          <w:tab w:leader="none" w:pos="3420" w:val="left"/>
        </w:tabs>
        <w:rPr>
          <w:sz w:val="20"/>
          <w:szCs w:val="20"/>
          <w:color w:val="auto"/>
        </w:rPr>
      </w:pPr>
      <w:r>
        <w:rPr>
          <w:rFonts w:ascii="Times New Roman" w:cs="Times New Roman" w:eastAsia="Times New Roman" w:hAnsi="Times New Roman"/>
          <w:sz w:val="22"/>
          <w:szCs w:val="22"/>
          <w:color w:val="auto"/>
        </w:rPr>
        <w:t>Attn:</w:t>
      </w:r>
      <w:r>
        <w:rPr>
          <w:sz w:val="20"/>
          <w:szCs w:val="20"/>
          <w:color w:val="auto"/>
        </w:rPr>
        <w:tab/>
      </w:r>
      <w:r>
        <w:rPr>
          <w:rFonts w:ascii="Times New Roman" w:cs="Times New Roman" w:eastAsia="Times New Roman" w:hAnsi="Times New Roman"/>
          <w:sz w:val="21"/>
          <w:szCs w:val="21"/>
          <w:color w:val="auto"/>
        </w:rPr>
        <w:t>Oaktree Agency</w:t>
      </w:r>
    </w:p>
    <w:p>
      <w:pPr>
        <w:spacing w:after="0" w:line="4" w:lineRule="exact"/>
        <w:rPr>
          <w:sz w:val="20"/>
          <w:szCs w:val="20"/>
          <w:color w:val="auto"/>
        </w:rPr>
      </w:pPr>
    </w:p>
    <w:p>
      <w:pPr>
        <w:ind w:left="2780"/>
        <w:spacing w:after="0"/>
        <w:tabs>
          <w:tab w:leader="none" w:pos="3540" w:val="left"/>
        </w:tabs>
        <w:rPr>
          <w:sz w:val="20"/>
          <w:szCs w:val="20"/>
          <w:color w:val="auto"/>
        </w:rPr>
      </w:pPr>
      <w:r>
        <w:rPr>
          <w:rFonts w:ascii="Times New Roman" w:cs="Times New Roman" w:eastAsia="Times New Roman" w:hAnsi="Times New Roman"/>
          <w:sz w:val="22"/>
          <w:szCs w:val="22"/>
          <w:color w:val="auto"/>
        </w:rPr>
        <w:t>Email:</w:t>
        <w:tab/>
        <w:t xml:space="preserve">[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Oaktree Capital Management, L.P.</w:t>
      </w:r>
    </w:p>
    <w:p>
      <w:pPr>
        <w:ind w:left="2780"/>
        <w:spacing w:after="0" w:line="203" w:lineRule="auto"/>
        <w:rPr>
          <w:sz w:val="20"/>
          <w:szCs w:val="20"/>
          <w:color w:val="auto"/>
        </w:rPr>
      </w:pPr>
      <w:r>
        <w:rPr>
          <w:rFonts w:ascii="Times New Roman" w:cs="Times New Roman" w:eastAsia="Times New Roman" w:hAnsi="Times New Roman"/>
          <w:sz w:val="22"/>
          <w:szCs w:val="22"/>
          <w:color w:val="auto"/>
        </w:rPr>
        <w:t>333 S. Grand Avenue, 28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Fl.</w:t>
      </w:r>
    </w:p>
    <w:p>
      <w:pPr>
        <w:spacing w:after="0" w:line="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Los Angeles, CA 90071</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Rahul Anand</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Sullivan &amp; Cromwell LLP</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125 Broad Street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Ari Blaut</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22" w:right="1440" w:bottom="1440" w:gutter="0" w:footer="0" w:header="0"/>
        </w:sectPr>
      </w:pPr>
    </w:p>
    <w:bookmarkStart w:id="185" w:name="page186"/>
    <w:bookmarkEnd w:id="185"/>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b w:val="1"/>
          <w:bCs w:val="1"/>
          <w:u w:val="single" w:color="auto"/>
          <w:color w:val="auto"/>
        </w:rPr>
        <w:t>PURCHASER</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OPE Life Sciences Royalties S.à r.l.</w:t>
      </w:r>
    </w:p>
    <w:p>
      <w:pPr>
        <w:spacing w:after="0" w:line="200" w:lineRule="exact"/>
        <w:rPr>
          <w:sz w:val="20"/>
          <w:szCs w:val="20"/>
          <w:color w:val="auto"/>
        </w:rPr>
      </w:pPr>
    </w:p>
    <w:p>
      <w:pPr>
        <w:spacing w:after="0" w:line="236"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Mark Dunstan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108966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4">
                      <a:extLst>
                        <a:ext uri="{28A0092B-C50C-407E-A947-70E740481C1C}"/>
                      </a:extLst>
                    </a:blip>
                    <a:srcRect/>
                    <a:stretch>
                      <a:fillRect/>
                    </a:stretch>
                  </pic:blipFill>
                  <pic:spPr bwMode="auto">
                    <a:xfrm>
                      <a:off x="0" y="0"/>
                      <a:ext cx="1089660" cy="8890"/>
                    </a:xfrm>
                    <a:prstGeom prst="rect">
                      <a:avLst/>
                    </a:prstGeom>
                    <a:noFill/>
                  </pic:spPr>
                </pic:pic>
              </a:graphicData>
            </a:graphic>
          </wp:anchor>
        </w:drawing>
      </w:r>
    </w:p>
    <w:p>
      <w:pPr>
        <w:spacing w:after="0" w:line="9" w:lineRule="exact"/>
        <w:rPr>
          <w:sz w:val="20"/>
          <w:szCs w:val="20"/>
          <w:color w:val="auto"/>
        </w:rPr>
      </w:pPr>
    </w:p>
    <w:p>
      <w:pPr>
        <w:ind w:left="3420"/>
        <w:spacing w:after="0"/>
        <w:tabs>
          <w:tab w:leader="none" w:pos="42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Mark Dunstan</w:t>
      </w:r>
    </w:p>
    <w:p>
      <w:pPr>
        <w:spacing w:after="0" w:line="15"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12" w:lineRule="exact"/>
        <w:rPr>
          <w:sz w:val="20"/>
          <w:szCs w:val="20"/>
          <w:color w:val="auto"/>
        </w:rPr>
      </w:pPr>
    </w:p>
    <w:p>
      <w:pPr>
        <w:ind w:left="2780"/>
        <w:spacing w:after="0"/>
        <w:tabs>
          <w:tab w:leader="none" w:pos="328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Adil Salah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2098040</wp:posOffset>
            </wp:positionH>
            <wp:positionV relativeFrom="paragraph">
              <wp:posOffset>-13970</wp:posOffset>
            </wp:positionV>
            <wp:extent cx="8839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5">
                      <a:extLst>
                        <a:ext uri="{28A0092B-C50C-407E-A947-70E740481C1C}"/>
                      </a:extLst>
                    </a:blip>
                    <a:srcRect/>
                    <a:stretch>
                      <a:fillRect/>
                    </a:stretch>
                  </pic:blipFill>
                  <pic:spPr bwMode="auto">
                    <a:xfrm>
                      <a:off x="0" y="0"/>
                      <a:ext cx="883920" cy="8255"/>
                    </a:xfrm>
                    <a:prstGeom prst="rect">
                      <a:avLst/>
                    </a:prstGeom>
                    <a:noFill/>
                  </pic:spPr>
                </pic:pic>
              </a:graphicData>
            </a:graphic>
          </wp:anchor>
        </w:drawing>
      </w:r>
    </w:p>
    <w:p>
      <w:pPr>
        <w:spacing w:after="0" w:line="8" w:lineRule="exact"/>
        <w:rPr>
          <w:sz w:val="20"/>
          <w:szCs w:val="20"/>
          <w:color w:val="auto"/>
        </w:rPr>
      </w:pPr>
    </w:p>
    <w:p>
      <w:pPr>
        <w:ind w:left="3420"/>
        <w:spacing w:after="0"/>
        <w:tabs>
          <w:tab w:leader="none" w:pos="41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Adil Salah</w:t>
      </w:r>
    </w:p>
    <w:p>
      <w:pPr>
        <w:spacing w:after="0" w:line="4" w:lineRule="exact"/>
        <w:rPr>
          <w:sz w:val="20"/>
          <w:szCs w:val="20"/>
          <w:color w:val="auto"/>
        </w:rPr>
      </w:pPr>
    </w:p>
    <w:p>
      <w:pPr>
        <w:ind w:left="3420"/>
        <w:spacing w:after="0"/>
        <w:tabs>
          <w:tab w:leader="none" w:pos="408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Manager</w:t>
      </w:r>
    </w:p>
    <w:p>
      <w:pPr>
        <w:spacing w:after="0" w:line="200" w:lineRule="exact"/>
        <w:rPr>
          <w:sz w:val="20"/>
          <w:szCs w:val="20"/>
          <w:color w:val="auto"/>
        </w:rPr>
      </w:pPr>
    </w:p>
    <w:p>
      <w:pPr>
        <w:spacing w:after="0" w:line="22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Address for Notices:</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OPE Life Sciences Royalties S.à r.l.</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6 Rue Jean Monnet, L-2180 Luxembourg</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Grand Duchy of Luxembourg</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Rob Missere and Suzanne Szczetnikowicz</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and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OMERS Capital Solutions 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100 Adelaide St. W, Suite 900</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Toronto, Ontario, Canada M5H 0E2</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Suzanne Szczetnikowicz, Director, Legal</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21"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Sidley Austin LLP</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2850 Quarry Lake Dr., Suite 280</w:t>
      </w:r>
    </w:p>
    <w:p>
      <w:pPr>
        <w:spacing w:after="0" w:line="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Baltimore, MD 21209</w:t>
      </w:r>
    </w:p>
    <w:p>
      <w:pPr>
        <w:spacing w:after="0" w:line="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Attn: Asher Rubin; Adriana Tibbitts</w:t>
      </w:r>
    </w:p>
    <w:p>
      <w:pPr>
        <w:spacing w:after="0" w:line="15"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 xml:space="preserve">Email: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and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[Signature Page to First Amendment to Revenue Interest Purchase and Sale Agreement]</w:t>
      </w:r>
    </w:p>
    <w:p>
      <w:pPr>
        <w:sectPr>
          <w:pgSz w:w="11900" w:h="16838" w:orient="portrait"/>
          <w:cols w:equalWidth="0" w:num="1">
            <w:col w:w="9019"/>
          </w:cols>
          <w:pgMar w:left="1440" w:top="1440" w:right="1440" w:bottom="1440" w:gutter="0" w:footer="0" w:header="0"/>
        </w:sectPr>
      </w:pPr>
    </w:p>
    <w:bookmarkStart w:id="186" w:name="page187"/>
    <w:bookmarkEnd w:id="186"/>
    <w:p>
      <w:pPr>
        <w:spacing w:after="0" w:line="1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SCHEDULE 1</w:t>
      </w: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Purchasers and Allocations</w:t>
      </w:r>
    </w:p>
    <w:p>
      <w:pPr>
        <w:spacing w:after="0" w:line="258"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3300" w:type="dxa"/>
            <w:vAlign w:val="bottom"/>
            <w:tcBorders>
              <w:top w:val="single" w:sz="8" w:color="auto"/>
              <w:left w:val="single" w:sz="8" w:color="auto"/>
              <w:right w:val="single" w:sz="8" w:color="auto"/>
            </w:tcBorders>
            <w:vMerge w:val="restart"/>
            <w:shd w:val="clear" w:color="auto" w:fill="D9E2F3"/>
          </w:tcPr>
          <w:p>
            <w:pPr>
              <w:ind w:left="1220"/>
              <w:spacing w:after="0"/>
              <w:rPr>
                <w:sz w:val="20"/>
                <w:szCs w:val="20"/>
                <w:color w:val="auto"/>
              </w:rPr>
            </w:pPr>
            <w:r>
              <w:rPr>
                <w:rFonts w:ascii="Times New Roman" w:cs="Times New Roman" w:eastAsia="Times New Roman" w:hAnsi="Times New Roman"/>
                <w:sz w:val="18"/>
                <w:szCs w:val="18"/>
                <w:b w:val="1"/>
                <w:bCs w:val="1"/>
                <w:color w:val="auto"/>
              </w:rPr>
              <w:t>Purchasers</w:t>
            </w:r>
          </w:p>
        </w:tc>
        <w:tc>
          <w:tcPr>
            <w:tcW w:w="2500" w:type="dxa"/>
            <w:vAlign w:val="bottom"/>
            <w:tcBorders>
              <w:top w:val="single" w:sz="8" w:color="auto"/>
              <w:right w:val="single" w:sz="8" w:color="auto"/>
            </w:tcBorders>
            <w:shd w:val="clear" w:color="auto" w:fill="D9E2F3"/>
          </w:tcPr>
          <w:p>
            <w:pPr>
              <w:jc w:val="right"/>
              <w:ind w:right="330"/>
              <w:spacing w:after="0" w:line="189" w:lineRule="exact"/>
              <w:rPr>
                <w:sz w:val="20"/>
                <w:szCs w:val="20"/>
                <w:color w:val="auto"/>
              </w:rPr>
            </w:pPr>
            <w:r>
              <w:rPr>
                <w:rFonts w:ascii="Times New Roman" w:cs="Times New Roman" w:eastAsia="Times New Roman" w:hAnsi="Times New Roman"/>
                <w:sz w:val="18"/>
                <w:szCs w:val="18"/>
                <w:b w:val="1"/>
                <w:bCs w:val="1"/>
                <w:color w:val="auto"/>
              </w:rPr>
              <w:t>Tranche A Applicable</w:t>
            </w:r>
          </w:p>
        </w:tc>
        <w:tc>
          <w:tcPr>
            <w:tcW w:w="1800" w:type="dxa"/>
            <w:vAlign w:val="bottom"/>
            <w:tcBorders>
              <w:top w:val="single" w:sz="8" w:color="auto"/>
              <w:right w:val="single" w:sz="8" w:color="auto"/>
            </w:tcBorders>
            <w:shd w:val="clear" w:color="auto" w:fill="D9E2F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Tranche B Applicable</w:t>
            </w:r>
          </w:p>
        </w:tc>
        <w:tc>
          <w:tcPr>
            <w:tcW w:w="3660" w:type="dxa"/>
            <w:vAlign w:val="bottom"/>
            <w:tcBorders>
              <w:top w:val="single" w:sz="8" w:color="auto"/>
              <w:right w:val="single" w:sz="8" w:color="auto"/>
            </w:tcBorders>
            <w:shd w:val="clear" w:color="auto" w:fill="D9E2F3"/>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Applicable Outstanding Funded Amount as of</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vMerge w:val="continue"/>
            <w:shd w:val="clear" w:color="auto" w:fill="D9E2F3"/>
          </w:tcPr>
          <w:p>
            <w:pPr>
              <w:spacing w:after="0"/>
              <w:rPr>
                <w:sz w:val="21"/>
                <w:szCs w:val="21"/>
                <w:color w:val="auto"/>
              </w:rPr>
            </w:pPr>
          </w:p>
        </w:tc>
        <w:tc>
          <w:tcPr>
            <w:tcW w:w="2500" w:type="dxa"/>
            <w:vAlign w:val="bottom"/>
            <w:tcBorders>
              <w:bottom w:val="single" w:sz="8" w:color="auto"/>
              <w:right w:val="single" w:sz="8" w:color="auto"/>
            </w:tcBorders>
            <w:shd w:val="clear" w:color="auto" w:fill="D9E2F3"/>
          </w:tcPr>
          <w:p>
            <w:pPr>
              <w:jc w:val="right"/>
              <w:spacing w:after="0"/>
              <w:rPr>
                <w:sz w:val="20"/>
                <w:szCs w:val="20"/>
                <w:color w:val="auto"/>
              </w:rPr>
            </w:pPr>
            <w:r>
              <w:rPr>
                <w:rFonts w:ascii="Times New Roman" w:cs="Times New Roman" w:eastAsia="Times New Roman" w:hAnsi="Times New Roman"/>
                <w:sz w:val="18"/>
                <w:szCs w:val="18"/>
                <w:b w:val="1"/>
                <w:bCs w:val="1"/>
                <w:color w:val="auto"/>
              </w:rPr>
              <w:t>Commitment as of May 9, 2024</w:t>
            </w:r>
          </w:p>
        </w:tc>
        <w:tc>
          <w:tcPr>
            <w:tcW w:w="1800" w:type="dxa"/>
            <w:vAlign w:val="bottom"/>
            <w:tcBorders>
              <w:bottom w:val="single" w:sz="8" w:color="auto"/>
              <w:right w:val="single" w:sz="8" w:color="auto"/>
            </w:tcBorders>
            <w:shd w:val="clear" w:color="auto" w:fill="D9E2F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Commitment</w:t>
            </w:r>
          </w:p>
        </w:tc>
        <w:tc>
          <w:tcPr>
            <w:tcW w:w="3660" w:type="dxa"/>
            <w:vAlign w:val="bottom"/>
            <w:tcBorders>
              <w:bottom w:val="single" w:sz="8" w:color="auto"/>
              <w:right w:val="single" w:sz="8" w:color="auto"/>
            </w:tcBorders>
            <w:shd w:val="clear" w:color="auto" w:fill="D9E2F3"/>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the First Amendment Effective Date</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Oaktree-TCDRS Strategic Credit, LLC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SC Investments UBTI Blocker, LLC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Oaktree-TSE 16 Strategic Credit, LLC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INPRS Strategic Credit Holdings, LLC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FSFC Holdings, Inc.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OSCF Blocker Holdings, Inc.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Oaktree AZ Strategic Lending Fund,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Oaktree LSL Fund Delaware Holdings</w:t>
            </w:r>
          </w:p>
        </w:tc>
        <w:tc>
          <w:tcPr>
            <w:tcW w:w="25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EURRC,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Oaktree Direct Lending Fund Delaware</w:t>
            </w:r>
          </w:p>
        </w:tc>
        <w:tc>
          <w:tcPr>
            <w:tcW w:w="25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Holdings Non-EURRC,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Oaktree Direct Lending Fund Unlevered</w:t>
            </w:r>
          </w:p>
        </w:tc>
        <w:tc>
          <w:tcPr>
            <w:tcW w:w="25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 Holdings Non-EURRC,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3300" w:type="dxa"/>
            <w:vAlign w:val="bottom"/>
            <w:tcBorders>
              <w:left w:val="single" w:sz="8" w:color="auto"/>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Oaktree Direct Lending Fund VCOC</w:t>
            </w:r>
          </w:p>
        </w:tc>
        <w:tc>
          <w:tcPr>
            <w:tcW w:w="2500" w:type="dxa"/>
            <w:vAlign w:val="bottom"/>
            <w:tcBorders>
              <w:right w:val="single" w:sz="8" w:color="auto"/>
            </w:tcBorders>
          </w:tcPr>
          <w:p>
            <w:pPr>
              <w:spacing w:after="0"/>
              <w:rPr>
                <w:sz w:val="14"/>
                <w:szCs w:val="14"/>
                <w:color w:val="auto"/>
              </w:rPr>
            </w:pPr>
          </w:p>
        </w:tc>
        <w:tc>
          <w:tcPr>
            <w:tcW w:w="1800" w:type="dxa"/>
            <w:vAlign w:val="bottom"/>
            <w:tcBorders>
              <w:right w:val="single" w:sz="8" w:color="auto"/>
            </w:tcBorders>
          </w:tcPr>
          <w:p>
            <w:pPr>
              <w:spacing w:after="0"/>
              <w:rPr>
                <w:sz w:val="14"/>
                <w:szCs w:val="14"/>
                <w:color w:val="auto"/>
              </w:rPr>
            </w:pPr>
          </w:p>
        </w:tc>
        <w:tc>
          <w:tcPr>
            <w:tcW w:w="3660" w:type="dxa"/>
            <w:vAlign w:val="bottom"/>
            <w:tcBorders>
              <w:righ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Delaware Holdings Non-EURRC,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Oaktree Loan Acquisition Fund, L.P.</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Oaktree LSL Equity Holdings, LLC</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OPE Life Sciences Royalties S.à r.l.</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5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w:t>
            </w:r>
          </w:p>
        </w:tc>
        <w:tc>
          <w:tcPr>
            <w:tcW w:w="180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150,000,000.00</w:t>
            </w:r>
          </w:p>
        </w:tc>
        <w:tc>
          <w:tcPr>
            <w:tcW w:w="36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100,000,000.00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[Annex A to Exhibit B]</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60"/>
          </w:cols>
          <w:pgMar w:left="320" w:top="1440" w:right="319" w:bottom="1440" w:gutter="0" w:footer="0" w:header="0"/>
        </w:sectPr>
      </w:pPr>
    </w:p>
    <w:bookmarkStart w:id="187" w:name="page188"/>
    <w:bookmarkEnd w:id="187"/>
    <w:p>
      <w:pPr>
        <w:jc w:val="center"/>
        <w:ind w:right="-159"/>
        <w:spacing w:after="0"/>
        <w:rPr>
          <w:sz w:val="20"/>
          <w:szCs w:val="20"/>
          <w:color w:val="auto"/>
        </w:rPr>
      </w:pPr>
      <w:r>
        <w:rPr>
          <w:rFonts w:ascii="Calibri" w:cs="Calibri" w:eastAsia="Calibri" w:hAnsi="Calibri"/>
          <w:sz w:val="20"/>
          <w:szCs w:val="20"/>
          <w:b w:val="1"/>
          <w:bCs w:val="1"/>
          <w:color w:val="auto"/>
        </w:rPr>
        <w:t>VERONA PHARMA PLC</w:t>
      </w:r>
    </w:p>
    <w:p>
      <w:pPr>
        <w:jc w:val="center"/>
        <w:ind w:right="-159"/>
        <w:spacing w:after="0" w:line="225" w:lineRule="auto"/>
        <w:rPr>
          <w:sz w:val="20"/>
          <w:szCs w:val="20"/>
          <w:color w:val="auto"/>
        </w:rPr>
      </w:pPr>
      <w:r>
        <w:rPr>
          <w:rFonts w:ascii="Calibri" w:cs="Calibri" w:eastAsia="Calibri" w:hAnsi="Calibri"/>
          <w:sz w:val="20"/>
          <w:szCs w:val="20"/>
          <w:color w:val="auto"/>
        </w:rPr>
        <w:t>(the “Company”)</w:t>
      </w:r>
    </w:p>
    <w:p>
      <w:pPr>
        <w:spacing w:after="0" w:line="202" w:lineRule="exact"/>
        <w:rPr>
          <w:sz w:val="20"/>
          <w:szCs w:val="20"/>
          <w:color w:val="auto"/>
        </w:rPr>
      </w:pPr>
    </w:p>
    <w:p>
      <w:pPr>
        <w:jc w:val="center"/>
        <w:ind w:right="-159"/>
        <w:spacing w:after="0"/>
        <w:rPr>
          <w:sz w:val="20"/>
          <w:szCs w:val="20"/>
          <w:color w:val="auto"/>
        </w:rPr>
      </w:pPr>
      <w:r>
        <w:rPr>
          <w:rFonts w:ascii="Calibri" w:cs="Calibri" w:eastAsia="Calibri" w:hAnsi="Calibri"/>
          <w:sz w:val="20"/>
          <w:szCs w:val="20"/>
          <w:b w:val="1"/>
          <w:bCs w:val="1"/>
          <w:color w:val="auto"/>
        </w:rPr>
        <w:t>INSIDER TRADING COMPLIANCE POLICY</w:t>
      </w:r>
    </w:p>
    <w:p>
      <w:pPr>
        <w:spacing w:after="0" w:line="238" w:lineRule="exact"/>
        <w:rPr>
          <w:sz w:val="20"/>
          <w:szCs w:val="20"/>
          <w:color w:val="auto"/>
        </w:rPr>
      </w:pPr>
    </w:p>
    <w:p>
      <w:pPr>
        <w:jc w:val="center"/>
        <w:ind w:left="500" w:right="40"/>
        <w:spacing w:after="0" w:line="236" w:lineRule="auto"/>
        <w:rPr>
          <w:sz w:val="20"/>
          <w:szCs w:val="20"/>
          <w:color w:val="auto"/>
        </w:rPr>
      </w:pPr>
      <w:r>
        <w:rPr>
          <w:rFonts w:ascii="Calibri" w:cs="Calibri" w:eastAsia="Calibri" w:hAnsi="Calibri"/>
          <w:sz w:val="20"/>
          <w:szCs w:val="20"/>
          <w:b w:val="1"/>
          <w:bCs w:val="1"/>
          <w:color w:val="auto"/>
        </w:rPr>
        <w:t>Adopted by the Board of Directors of the Company (“Board of Directors”) on January 1, 2021, as amended by the Board of Directors on February 17, 2023, with efect from February 27, 2023, and as further amended by the Board of Directors on January 17, 2025, with efect from January 17, 2025</w:t>
      </w:r>
    </w:p>
    <w:p>
      <w:pPr>
        <w:spacing w:after="0" w:line="200" w:lineRule="exact"/>
        <w:rPr>
          <w:sz w:val="20"/>
          <w:szCs w:val="20"/>
          <w:color w:val="auto"/>
        </w:rPr>
      </w:pPr>
    </w:p>
    <w:p>
      <w:pPr>
        <w:spacing w:after="0" w:line="272" w:lineRule="exact"/>
        <w:rPr>
          <w:sz w:val="20"/>
          <w:szCs w:val="20"/>
          <w:color w:val="auto"/>
        </w:rPr>
      </w:pPr>
    </w:p>
    <w:p>
      <w:pPr>
        <w:ind w:left="740"/>
        <w:spacing w:after="0"/>
        <w:rPr>
          <w:sz w:val="20"/>
          <w:szCs w:val="20"/>
          <w:color w:val="auto"/>
        </w:rPr>
      </w:pPr>
      <w:r>
        <w:rPr>
          <w:rFonts w:ascii="Calibri" w:cs="Calibri" w:eastAsia="Calibri" w:hAnsi="Calibri"/>
          <w:sz w:val="20"/>
          <w:szCs w:val="20"/>
          <w:color w:val="auto"/>
        </w:rPr>
        <w:t>This Insider Trading Compliance Policy (this “</w:t>
      </w:r>
      <w:r>
        <w:rPr>
          <w:rFonts w:ascii="Calibri" w:cs="Calibri" w:eastAsia="Calibri" w:hAnsi="Calibri"/>
          <w:sz w:val="20"/>
          <w:szCs w:val="20"/>
          <w:b w:val="1"/>
          <w:bCs w:val="1"/>
          <w:i w:val="1"/>
          <w:iCs w:val="1"/>
          <w:color w:val="auto"/>
        </w:rPr>
        <w:t>Policy</w:t>
      </w:r>
      <w:r>
        <w:rPr>
          <w:rFonts w:ascii="Calibri" w:cs="Calibri" w:eastAsia="Calibri" w:hAnsi="Calibri"/>
          <w:sz w:val="20"/>
          <w:szCs w:val="20"/>
          <w:color w:val="auto"/>
        </w:rPr>
        <w:t>”) of Verona Pharma plc (the “</w:t>
      </w:r>
      <w:r>
        <w:rPr>
          <w:rFonts w:ascii="Calibri" w:cs="Calibri" w:eastAsia="Calibri" w:hAnsi="Calibri"/>
          <w:sz w:val="20"/>
          <w:szCs w:val="20"/>
          <w:b w:val="1"/>
          <w:bCs w:val="1"/>
          <w:i w:val="1"/>
          <w:iCs w:val="1"/>
          <w:color w:val="auto"/>
        </w:rPr>
        <w:t>Company</w:t>
      </w:r>
      <w:r>
        <w:rPr>
          <w:rFonts w:ascii="Calibri" w:cs="Calibri" w:eastAsia="Calibri" w:hAnsi="Calibri"/>
          <w:sz w:val="20"/>
          <w:szCs w:val="20"/>
          <w:color w:val="auto"/>
        </w:rPr>
        <w:t>”) consists of seven sectons:</w:t>
      </w:r>
    </w:p>
    <w:p>
      <w:pPr>
        <w:spacing w:after="0" w:line="107" w:lineRule="exact"/>
        <w:rPr>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I provides an overview;</w:t>
      </w:r>
    </w:p>
    <w:p>
      <w:pPr>
        <w:spacing w:after="0" w:line="120"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II sets forth the policies of the Company prohibitng insider trading;</w:t>
      </w:r>
    </w:p>
    <w:p>
      <w:pPr>
        <w:spacing w:after="0" w:line="120"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III explains insider trading;</w:t>
      </w:r>
    </w:p>
    <w:p>
      <w:pPr>
        <w:spacing w:after="0" w:line="106"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IV consists of procedures that have been put in place by the Company to prevent insider trading;</w:t>
      </w:r>
    </w:p>
    <w:p>
      <w:pPr>
        <w:spacing w:after="0" w:line="120"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V sets forth additonal transactons that are prohibited by this Policy;</w:t>
      </w:r>
    </w:p>
    <w:p>
      <w:pPr>
        <w:spacing w:after="0" w:line="106"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VI explains Rule 10b5-1 trading plans;</w:t>
      </w:r>
    </w:p>
    <w:p>
      <w:pPr>
        <w:spacing w:after="0" w:line="120"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VII explains how this Policy is administered; and</w:t>
      </w:r>
    </w:p>
    <w:p>
      <w:pPr>
        <w:spacing w:after="0" w:line="106" w:lineRule="exact"/>
        <w:rPr>
          <w:rFonts w:ascii="Times New Roman" w:cs="Times New Roman" w:eastAsia="Times New Roman" w:hAnsi="Times New Roman"/>
          <w:sz w:val="20"/>
          <w:szCs w:val="20"/>
          <w:color w:val="auto"/>
        </w:rPr>
      </w:pPr>
    </w:p>
    <w:p>
      <w:pPr>
        <w:ind w:left="1380" w:hanging="307"/>
        <w:spacing w:after="0"/>
        <w:tabs>
          <w:tab w:leader="none" w:pos="1380" w:val="left"/>
        </w:tabs>
        <w:numPr>
          <w:ilvl w:val="1"/>
          <w:numId w:val="91"/>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VIII refers to the executon and return of a certfcate of compliance.</w:t>
      </w:r>
    </w:p>
    <w:p>
      <w:pPr>
        <w:spacing w:after="0" w:line="214" w:lineRule="exact"/>
        <w:rPr>
          <w:rFonts w:ascii="Times New Roman" w:cs="Times New Roman" w:eastAsia="Times New Roman" w:hAnsi="Times New Roman"/>
          <w:sz w:val="20"/>
          <w:szCs w:val="20"/>
          <w:color w:val="auto"/>
        </w:rPr>
      </w:pPr>
    </w:p>
    <w:p>
      <w:pPr>
        <w:ind w:left="100"/>
        <w:spacing w:after="0"/>
        <w:rPr>
          <w:rFonts w:ascii="Times New Roman" w:cs="Times New Roman" w:eastAsia="Times New Roman" w:hAnsi="Times New Roman"/>
          <w:sz w:val="20"/>
          <w:szCs w:val="20"/>
          <w:color w:val="auto"/>
        </w:rPr>
      </w:pPr>
      <w:r>
        <w:rPr>
          <w:rFonts w:ascii="Calibri" w:cs="Calibri" w:eastAsia="Calibri" w:hAnsi="Calibri"/>
          <w:sz w:val="20"/>
          <w:szCs w:val="20"/>
          <w:b w:val="1"/>
          <w:bCs w:val="1"/>
          <w:color w:val="auto"/>
        </w:rPr>
        <w:t>I.Summary</w:t>
      </w:r>
    </w:p>
    <w:p>
      <w:pPr>
        <w:spacing w:after="0" w:line="265" w:lineRule="exact"/>
        <w:rPr>
          <w:sz w:val="20"/>
          <w:szCs w:val="20"/>
          <w:color w:val="auto"/>
        </w:rPr>
      </w:pPr>
    </w:p>
    <w:p>
      <w:pPr>
        <w:ind w:left="100"/>
        <w:spacing w:after="0" w:line="233" w:lineRule="auto"/>
        <w:rPr>
          <w:sz w:val="20"/>
          <w:szCs w:val="20"/>
          <w:color w:val="auto"/>
        </w:rPr>
      </w:pPr>
      <w:r>
        <w:rPr>
          <w:rFonts w:ascii="Calibri" w:cs="Calibri" w:eastAsia="Calibri" w:hAnsi="Calibri"/>
          <w:sz w:val="20"/>
          <w:szCs w:val="20"/>
          <w:color w:val="auto"/>
        </w:rPr>
        <w:t>This Policy applies to all ofcers, directors and employees of the Company. For purposes of this Policy, “ofcers” refer to those individuals who meet the defniton of “ofcer” under Secton 16 of the Securites Exchange Act of 1934 (as amended, the “</w:t>
      </w:r>
      <w:r>
        <w:rPr>
          <w:rFonts w:ascii="Calibri" w:cs="Calibri" w:eastAsia="Calibri" w:hAnsi="Calibri"/>
          <w:sz w:val="20"/>
          <w:szCs w:val="20"/>
          <w:b w:val="1"/>
          <w:bCs w:val="1"/>
          <w:i w:val="1"/>
          <w:iCs w:val="1"/>
          <w:color w:val="auto"/>
        </w:rPr>
        <w:t>Exchange</w:t>
      </w:r>
      <w:r>
        <w:rPr>
          <w:rFonts w:ascii="Calibri" w:cs="Calibri" w:eastAsia="Calibri" w:hAnsi="Calibri"/>
          <w:sz w:val="20"/>
          <w:szCs w:val="20"/>
          <w:color w:val="auto"/>
        </w:rPr>
        <w:t xml:space="preserve"> </w:t>
      </w:r>
      <w:r>
        <w:rPr>
          <w:rFonts w:ascii="Calibri" w:cs="Calibri" w:eastAsia="Calibri" w:hAnsi="Calibri"/>
          <w:sz w:val="20"/>
          <w:szCs w:val="20"/>
          <w:b w:val="1"/>
          <w:bCs w:val="1"/>
          <w:i w:val="1"/>
          <w:iCs w:val="1"/>
          <w:color w:val="auto"/>
        </w:rPr>
        <w:t>Act</w:t>
      </w:r>
      <w:r>
        <w:rPr>
          <w:rFonts w:ascii="Calibri" w:cs="Calibri" w:eastAsia="Calibri" w:hAnsi="Calibri"/>
          <w:sz w:val="20"/>
          <w:szCs w:val="20"/>
          <w:color w:val="auto"/>
        </w:rPr>
        <w:t>”). Individuals subject to this Policy are responsible for ensuring that members of their respectve households also comply with this</w:t>
      </w:r>
      <w:r>
        <w:rPr>
          <w:rFonts w:ascii="Calibri" w:cs="Calibri" w:eastAsia="Calibri" w:hAnsi="Calibri"/>
          <w:sz w:val="20"/>
          <w:szCs w:val="20"/>
          <w:b w:val="1"/>
          <w:bCs w:val="1"/>
          <w:i w:val="1"/>
          <w:iCs w:val="1"/>
          <w:color w:val="auto"/>
        </w:rPr>
        <w:t xml:space="preserve"> </w:t>
      </w:r>
      <w:r>
        <w:rPr>
          <w:rFonts w:ascii="Calibri" w:cs="Calibri" w:eastAsia="Calibri" w:hAnsi="Calibri"/>
          <w:sz w:val="20"/>
          <w:szCs w:val="20"/>
          <w:color w:val="auto"/>
        </w:rPr>
        <w:t>Policy. This Policy also applies to any enttes controlled by individuals subject to this Policy, including any corporatons, limited liability companies, partnerships or trusts (such enttes, together with all ofcers, directors and employees of the Company, are referred to as the “</w:t>
      </w:r>
      <w:r>
        <w:rPr>
          <w:rFonts w:ascii="Calibri" w:cs="Calibri" w:eastAsia="Calibri" w:hAnsi="Calibri"/>
          <w:sz w:val="20"/>
          <w:szCs w:val="20"/>
          <w:b w:val="1"/>
          <w:bCs w:val="1"/>
          <w:i w:val="1"/>
          <w:iCs w:val="1"/>
          <w:color w:val="auto"/>
        </w:rPr>
        <w:t>Covered Persons</w:t>
      </w:r>
      <w:r>
        <w:rPr>
          <w:rFonts w:ascii="Calibri" w:cs="Calibri" w:eastAsia="Calibri" w:hAnsi="Calibri"/>
          <w:sz w:val="20"/>
          <w:szCs w:val="20"/>
          <w:color w:val="auto"/>
        </w:rPr>
        <w:t>”), and transactons by these enttes should be treated for the purposes of this Policy and applicable securites laws as if they were for the individual’s own account.</w:t>
      </w:r>
    </w:p>
    <w:p>
      <w:pPr>
        <w:spacing w:after="0" w:line="244" w:lineRule="exact"/>
        <w:rPr>
          <w:sz w:val="20"/>
          <w:szCs w:val="20"/>
          <w:color w:val="auto"/>
        </w:rPr>
      </w:pPr>
    </w:p>
    <w:p>
      <w:pPr>
        <w:ind w:right="20" w:firstLine="93"/>
        <w:spacing w:after="0" w:line="234" w:lineRule="auto"/>
        <w:rPr>
          <w:sz w:val="20"/>
          <w:szCs w:val="20"/>
          <w:color w:val="auto"/>
        </w:rPr>
      </w:pPr>
      <w:r>
        <w:rPr>
          <w:rFonts w:ascii="Calibri" w:cs="Calibri" w:eastAsia="Calibri" w:hAnsi="Calibri"/>
          <w:sz w:val="20"/>
          <w:szCs w:val="20"/>
          <w:color w:val="auto"/>
        </w:rPr>
        <w:t>Questons regarding the Policy should be directed to the Company’s General Counsel, who is responsible for the administraton of this Policy.</w:t>
      </w:r>
    </w:p>
    <w:p>
      <w:pPr>
        <w:spacing w:after="0" w:line="257" w:lineRule="exact"/>
        <w:rPr>
          <w:sz w:val="20"/>
          <w:szCs w:val="20"/>
          <w:color w:val="auto"/>
        </w:rPr>
      </w:pPr>
    </w:p>
    <w:p>
      <w:pPr>
        <w:ind w:left="740" w:hanging="639"/>
        <w:spacing w:after="0"/>
        <w:tabs>
          <w:tab w:leader="none" w:pos="740" w:val="left"/>
        </w:tabs>
        <w:numPr>
          <w:ilvl w:val="0"/>
          <w:numId w:val="92"/>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Statement of Policies Prohibitng Insider Trading</w:t>
      </w:r>
    </w:p>
    <w:p>
      <w:pPr>
        <w:spacing w:after="0" w:line="265" w:lineRule="exact"/>
        <w:rPr>
          <w:sz w:val="20"/>
          <w:szCs w:val="20"/>
          <w:color w:val="auto"/>
        </w:rPr>
      </w:pPr>
    </w:p>
    <w:p>
      <w:pPr>
        <w:jc w:val="both"/>
        <w:ind w:left="100" w:right="140" w:firstLine="648"/>
        <w:spacing w:after="0" w:line="231" w:lineRule="auto"/>
        <w:rPr>
          <w:sz w:val="20"/>
          <w:szCs w:val="20"/>
          <w:color w:val="auto"/>
        </w:rPr>
      </w:pPr>
      <w:r>
        <w:rPr>
          <w:rFonts w:ascii="Calibri" w:cs="Calibri" w:eastAsia="Calibri" w:hAnsi="Calibri"/>
          <w:sz w:val="20"/>
          <w:szCs w:val="20"/>
          <w:color w:val="auto"/>
        </w:rPr>
        <w:t>No ofcer, director or employee shall purchase or sell any type of security while in possession of material, non-public informaton relatng to the security or its issuer, whether the issuer of such security is the Company or any other company. For example, if a director, ofcer or employee learns material, non-public informaton about another company with which the Company does business, including a business partner or collaborator, that person may not trade in such other company’s securites untl the informaton becomes public or is no longer material.</w:t>
      </w:r>
    </w:p>
    <w:p>
      <w:pPr>
        <w:spacing w:after="0" w:line="111" w:lineRule="exact"/>
        <w:rPr>
          <w:sz w:val="20"/>
          <w:szCs w:val="20"/>
          <w:color w:val="auto"/>
        </w:rPr>
      </w:pPr>
    </w:p>
    <w:p>
      <w:pPr>
        <w:ind w:left="740"/>
        <w:spacing w:after="0"/>
        <w:rPr>
          <w:sz w:val="20"/>
          <w:szCs w:val="20"/>
          <w:color w:val="auto"/>
        </w:rPr>
      </w:pPr>
      <w:r>
        <w:rPr>
          <w:rFonts w:ascii="Calibri" w:cs="Calibri" w:eastAsia="Calibri" w:hAnsi="Calibri"/>
          <w:sz w:val="20"/>
          <w:szCs w:val="20"/>
          <w:color w:val="auto"/>
        </w:rPr>
        <w:t>These prohibitons do not apply to the following “</w:t>
      </w:r>
      <w:r>
        <w:rPr>
          <w:rFonts w:ascii="Calibri" w:cs="Calibri" w:eastAsia="Calibri" w:hAnsi="Calibri"/>
          <w:sz w:val="20"/>
          <w:szCs w:val="20"/>
          <w:b w:val="1"/>
          <w:bCs w:val="1"/>
          <w:i w:val="1"/>
          <w:iCs w:val="1"/>
          <w:color w:val="auto"/>
        </w:rPr>
        <w:t>permited transactons</w:t>
      </w:r>
      <w:r>
        <w:rPr>
          <w:rFonts w:ascii="Calibri" w:cs="Calibri" w:eastAsia="Calibri" w:hAnsi="Calibri"/>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80"/>
          </w:cols>
          <w:pgMar w:left="320" w:top="1429" w:right="499" w:bottom="1440" w:gutter="0" w:footer="0" w:header="0"/>
        </w:sectPr>
      </w:pPr>
    </w:p>
    <w:bookmarkStart w:id="188" w:name="page189"/>
    <w:bookmarkEnd w:id="188"/>
    <w:p>
      <w:pPr>
        <w:spacing w:after="0" w:line="3" w:lineRule="exact"/>
        <w:rPr>
          <w:sz w:val="20"/>
          <w:szCs w:val="20"/>
          <w:color w:val="auto"/>
        </w:rPr>
      </w:pPr>
    </w:p>
    <w:p>
      <w:pPr>
        <w:ind w:left="1220" w:hanging="320"/>
        <w:spacing w:after="0"/>
        <w:tabs>
          <w:tab w:leader="none" w:pos="1220" w:val="left"/>
        </w:tabs>
        <w:numPr>
          <w:ilvl w:val="0"/>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transactons directly with the Company;</w:t>
      </w:r>
    </w:p>
    <w:p>
      <w:pPr>
        <w:spacing w:after="0" w:line="224" w:lineRule="exact"/>
        <w:rPr>
          <w:rFonts w:ascii="Times New Roman" w:cs="Times New Roman" w:eastAsia="Times New Roman" w:hAnsi="Times New Roman"/>
          <w:sz w:val="20"/>
          <w:szCs w:val="20"/>
          <w:color w:val="auto"/>
        </w:rPr>
      </w:pPr>
    </w:p>
    <w:p>
      <w:pPr>
        <w:ind w:left="580" w:firstLine="320"/>
        <w:spacing w:after="0" w:line="234" w:lineRule="auto"/>
        <w:tabs>
          <w:tab w:leader="none" w:pos="1216" w:val="left"/>
        </w:tabs>
        <w:numPr>
          <w:ilvl w:val="0"/>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gif transactons for family or estate planning purposes, where securites are gifed to a person or entty subject to this Policy, except that gif transactons involving Company securites are subject to pre-clearance;</w:t>
      </w:r>
    </w:p>
    <w:p>
      <w:pPr>
        <w:spacing w:after="0" w:line="225" w:lineRule="exact"/>
        <w:rPr>
          <w:rFonts w:ascii="Times New Roman" w:cs="Times New Roman" w:eastAsia="Times New Roman" w:hAnsi="Times New Roman"/>
          <w:sz w:val="20"/>
          <w:szCs w:val="20"/>
          <w:color w:val="auto"/>
        </w:rPr>
      </w:pPr>
    </w:p>
    <w:p>
      <w:pPr>
        <w:jc w:val="both"/>
        <w:ind w:left="580" w:firstLine="320"/>
        <w:spacing w:after="0" w:line="236" w:lineRule="auto"/>
        <w:tabs>
          <w:tab w:leader="none" w:pos="1216" w:val="left"/>
        </w:tabs>
        <w:numPr>
          <w:ilvl w:val="0"/>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transactons relatng to equity incentve awards without any open-market sale of securites (e.g., cash exercises of stock optons or the “net setlement” of restricted stock units but not broker-assisted cashless exercises or open-market sales to cover taxes upon the vestng of restricted stock units);</w:t>
      </w:r>
    </w:p>
    <w:p>
      <w:pPr>
        <w:spacing w:after="0" w:line="224" w:lineRule="exact"/>
        <w:rPr>
          <w:rFonts w:ascii="Times New Roman" w:cs="Times New Roman" w:eastAsia="Times New Roman" w:hAnsi="Times New Roman"/>
          <w:sz w:val="20"/>
          <w:szCs w:val="20"/>
          <w:color w:val="auto"/>
        </w:rPr>
      </w:pPr>
    </w:p>
    <w:p>
      <w:pPr>
        <w:ind w:left="580" w:right="20" w:firstLine="320"/>
        <w:spacing w:after="0" w:line="234" w:lineRule="auto"/>
        <w:tabs>
          <w:tab w:leader="none" w:pos="1216" w:val="left"/>
        </w:tabs>
        <w:numPr>
          <w:ilvl w:val="0"/>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“sell-to-cover” transactons pursuant to a non-discretonary policy adopted by the Company that is intended to facilitate the payment of withholding taxes associated with vestng of equity awards (other than stock optons);</w:t>
      </w:r>
    </w:p>
    <w:p>
      <w:pPr>
        <w:spacing w:after="0" w:line="216" w:lineRule="exact"/>
        <w:rPr>
          <w:rFonts w:ascii="Times New Roman" w:cs="Times New Roman" w:eastAsia="Times New Roman" w:hAnsi="Times New Roman"/>
          <w:sz w:val="20"/>
          <w:szCs w:val="20"/>
          <w:color w:val="auto"/>
        </w:rPr>
      </w:pPr>
    </w:p>
    <w:p>
      <w:pPr>
        <w:ind w:left="1220" w:hanging="320"/>
        <w:spacing w:after="0"/>
        <w:tabs>
          <w:tab w:leader="none" w:pos="1220" w:val="left"/>
        </w:tabs>
        <w:numPr>
          <w:ilvl w:val="0"/>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transactons under a pre-cleared Rule 10b5-1 plan; or</w:t>
      </w:r>
    </w:p>
    <w:p>
      <w:pPr>
        <w:spacing w:after="0" w:line="214"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1"/>
          <w:numId w:val="93"/>
        </w:numPr>
        <w:rPr>
          <w:rFonts w:ascii="Times New Roman" w:cs="Times New Roman" w:eastAsia="Times New Roman" w:hAnsi="Times New Roman"/>
          <w:sz w:val="20"/>
          <w:szCs w:val="20"/>
          <w:color w:val="auto"/>
        </w:rPr>
      </w:pPr>
      <w:r>
        <w:rPr>
          <w:rFonts w:ascii="Calibri" w:cs="Calibri" w:eastAsia="Calibri" w:hAnsi="Calibri"/>
          <w:sz w:val="20"/>
          <w:szCs w:val="20"/>
          <w:color w:val="auto"/>
        </w:rPr>
        <w:t>transactons under a pre-cleared non-Rule 10b5-1 trading arrangement as defned in Item 408(c) of Regulaton S-K).</w:t>
      </w:r>
    </w:p>
    <w:p>
      <w:pPr>
        <w:spacing w:after="0" w:line="200" w:lineRule="exact"/>
        <w:rPr>
          <w:sz w:val="20"/>
          <w:szCs w:val="20"/>
          <w:color w:val="auto"/>
        </w:rPr>
      </w:pPr>
    </w:p>
    <w:p>
      <w:pPr>
        <w:spacing w:after="0" w:line="254" w:lineRule="exact"/>
        <w:rPr>
          <w:sz w:val="20"/>
          <w:szCs w:val="20"/>
          <w:color w:val="auto"/>
        </w:rPr>
      </w:pPr>
    </w:p>
    <w:p>
      <w:pPr>
        <w:jc w:val="both"/>
        <w:ind w:left="20" w:right="300" w:firstLine="648"/>
        <w:spacing w:after="0" w:line="231" w:lineRule="auto"/>
        <w:rPr>
          <w:sz w:val="20"/>
          <w:szCs w:val="20"/>
          <w:color w:val="auto"/>
        </w:rPr>
      </w:pPr>
      <w:r>
        <w:rPr>
          <w:rFonts w:ascii="Calibri" w:cs="Calibri" w:eastAsia="Calibri" w:hAnsi="Calibri"/>
          <w:sz w:val="20"/>
          <w:szCs w:val="20"/>
          <w:color w:val="auto"/>
        </w:rPr>
        <w:t>In additon, no ofcer, director or employee shall directly or indirectly communicate (or “</w:t>
      </w:r>
      <w:r>
        <w:rPr>
          <w:rFonts w:ascii="Calibri" w:cs="Calibri" w:eastAsia="Calibri" w:hAnsi="Calibri"/>
          <w:sz w:val="20"/>
          <w:szCs w:val="20"/>
          <w:b w:val="1"/>
          <w:bCs w:val="1"/>
          <w:i w:val="1"/>
          <w:iCs w:val="1"/>
          <w:color w:val="auto"/>
        </w:rPr>
        <w:t>tp</w:t>
      </w:r>
      <w:r>
        <w:rPr>
          <w:rFonts w:ascii="Calibri" w:cs="Calibri" w:eastAsia="Calibri" w:hAnsi="Calibri"/>
          <w:sz w:val="20"/>
          <w:szCs w:val="20"/>
          <w:color w:val="auto"/>
        </w:rPr>
        <w:t>”) material, non-public informaton to anyone outside of the Company (except in accordance with the Company’s policies regarding the protecton or authorized external disclosure of Company informaton) or to anyone within the Company other than on a need-to-know basis.</w:t>
      </w:r>
    </w:p>
    <w:p>
      <w:pPr>
        <w:spacing w:after="0" w:line="257" w:lineRule="exact"/>
        <w:rPr>
          <w:sz w:val="20"/>
          <w:szCs w:val="20"/>
          <w:color w:val="auto"/>
        </w:rPr>
      </w:pPr>
    </w:p>
    <w:p>
      <w:pPr>
        <w:ind w:left="660" w:hanging="639"/>
        <w:spacing w:after="0"/>
        <w:tabs>
          <w:tab w:leader="none" w:pos="660" w:val="left"/>
        </w:tabs>
        <w:numPr>
          <w:ilvl w:val="0"/>
          <w:numId w:val="94"/>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Explanaton of Insider Trading</w:t>
      </w:r>
    </w:p>
    <w:p>
      <w:pPr>
        <w:spacing w:after="0" w:line="265" w:lineRule="exact"/>
        <w:rPr>
          <w:sz w:val="20"/>
          <w:szCs w:val="20"/>
          <w:color w:val="auto"/>
        </w:rPr>
      </w:pPr>
    </w:p>
    <w:p>
      <w:pPr>
        <w:jc w:val="both"/>
        <w:ind w:left="20" w:right="300" w:firstLine="648"/>
        <w:spacing w:after="0" w:line="228"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Insider trading</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refers to the purchase or sale of a security while in possession of “material,” “non-public” informaton</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(also referred to herein as inside informaton) relatng to the security or its issuer.</w:t>
      </w:r>
    </w:p>
    <w:p>
      <w:pPr>
        <w:spacing w:after="0" w:line="117" w:lineRule="exact"/>
        <w:rPr>
          <w:sz w:val="20"/>
          <w:szCs w:val="20"/>
          <w:color w:val="auto"/>
        </w:rPr>
      </w:pPr>
    </w:p>
    <w:p>
      <w:pPr>
        <w:jc w:val="both"/>
        <w:ind w:left="20" w:right="300" w:firstLine="648"/>
        <w:spacing w:after="0" w:line="231"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Securites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include shares, bonds, notes, debentures, optons, warrants and other convertble securites, as well as</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derivatve instruments. For the avoidance of doubt, all references to shares herein include shares that are in the form of American Depositary Shares (“</w:t>
      </w:r>
      <w:r>
        <w:rPr>
          <w:rFonts w:ascii="Calibri" w:cs="Calibri" w:eastAsia="Calibri" w:hAnsi="Calibri"/>
          <w:sz w:val="20"/>
          <w:szCs w:val="20"/>
          <w:b w:val="1"/>
          <w:bCs w:val="1"/>
          <w:i w:val="1"/>
          <w:iCs w:val="1"/>
          <w:color w:val="auto"/>
        </w:rPr>
        <w:t>ADSs</w:t>
      </w:r>
      <w:r>
        <w:rPr>
          <w:rFonts w:ascii="Calibri" w:cs="Calibri" w:eastAsia="Calibri" w:hAnsi="Calibri"/>
          <w:sz w:val="20"/>
          <w:szCs w:val="20"/>
          <w:color w:val="auto"/>
        </w:rPr>
        <w:t>”).</w:t>
      </w:r>
    </w:p>
    <w:p>
      <w:pPr>
        <w:spacing w:after="0" w:line="119" w:lineRule="exact"/>
        <w:rPr>
          <w:sz w:val="20"/>
          <w:szCs w:val="20"/>
          <w:color w:val="auto"/>
        </w:rPr>
      </w:pPr>
    </w:p>
    <w:p>
      <w:pPr>
        <w:jc w:val="both"/>
        <w:ind w:left="20" w:right="300" w:firstLine="648"/>
        <w:spacing w:after="0" w:line="231" w:lineRule="auto"/>
        <w:rPr>
          <w:sz w:val="20"/>
          <w:szCs w:val="20"/>
          <w:color w:val="auto"/>
        </w:rPr>
      </w:pPr>
      <w:r>
        <w:rPr>
          <w:rFonts w:ascii="Calibri" w:cs="Calibri" w:eastAsia="Calibri" w:hAnsi="Calibri"/>
          <w:sz w:val="20"/>
          <w:szCs w:val="20"/>
          <w:i w:val="1"/>
          <w:iCs w:val="1"/>
          <w:color w:val="auto"/>
        </w:rPr>
        <w:t>“</w:t>
      </w:r>
      <w:r>
        <w:rPr>
          <w:rFonts w:ascii="Calibri" w:cs="Calibri" w:eastAsia="Calibri" w:hAnsi="Calibri"/>
          <w:sz w:val="20"/>
          <w:szCs w:val="20"/>
          <w:b w:val="1"/>
          <w:bCs w:val="1"/>
          <w:i w:val="1"/>
          <w:iCs w:val="1"/>
          <w:color w:val="auto"/>
        </w:rPr>
        <w:t>Purchase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and</w:t>
      </w:r>
      <w:r>
        <w:rPr>
          <w:rFonts w:ascii="Calibri" w:cs="Calibri" w:eastAsia="Calibri" w:hAnsi="Calibri"/>
          <w:sz w:val="20"/>
          <w:szCs w:val="20"/>
          <w:i w:val="1"/>
          <w:iCs w:val="1"/>
          <w:color w:val="auto"/>
        </w:rPr>
        <w:t xml:space="preserve"> “</w:t>
      </w:r>
      <w:r>
        <w:rPr>
          <w:rFonts w:ascii="Calibri" w:cs="Calibri" w:eastAsia="Calibri" w:hAnsi="Calibri"/>
          <w:sz w:val="20"/>
          <w:szCs w:val="20"/>
          <w:b w:val="1"/>
          <w:bCs w:val="1"/>
          <w:i w:val="1"/>
          <w:iCs w:val="1"/>
          <w:color w:val="auto"/>
        </w:rPr>
        <w:t>sale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are defned broadly under the U.S. securites law.</w:t>
      </w:r>
      <w:r>
        <w:rPr>
          <w:rFonts w:ascii="Calibri" w:cs="Calibri" w:eastAsia="Calibri" w:hAnsi="Calibri"/>
          <w:sz w:val="20"/>
          <w:szCs w:val="20"/>
          <w:i w:val="1"/>
          <w:iCs w:val="1"/>
          <w:color w:val="auto"/>
        </w:rPr>
        <w:t xml:space="preserve"> “Purchase” </w:t>
      </w:r>
      <w:r>
        <w:rPr>
          <w:rFonts w:ascii="Calibri" w:cs="Calibri" w:eastAsia="Calibri" w:hAnsi="Calibri"/>
          <w:sz w:val="20"/>
          <w:szCs w:val="20"/>
          <w:color w:val="auto"/>
        </w:rPr>
        <w:t>includes not only the actual purchase</w:t>
      </w:r>
      <w:r>
        <w:rPr>
          <w:rFonts w:ascii="Calibri" w:cs="Calibri" w:eastAsia="Calibri" w:hAnsi="Calibri"/>
          <w:sz w:val="20"/>
          <w:szCs w:val="20"/>
          <w:i w:val="1"/>
          <w:iCs w:val="1"/>
          <w:color w:val="auto"/>
        </w:rPr>
        <w:t xml:space="preserve"> </w:t>
      </w:r>
      <w:r>
        <w:rPr>
          <w:rFonts w:ascii="Calibri" w:cs="Calibri" w:eastAsia="Calibri" w:hAnsi="Calibri"/>
          <w:sz w:val="20"/>
          <w:szCs w:val="20"/>
          <w:color w:val="auto"/>
        </w:rPr>
        <w:t xml:space="preserve">of a security, but any contract to purchase or otherwise acquire a security. </w:t>
      </w:r>
      <w:r>
        <w:rPr>
          <w:rFonts w:ascii="Calibri" w:cs="Calibri" w:eastAsia="Calibri" w:hAnsi="Calibri"/>
          <w:sz w:val="20"/>
          <w:szCs w:val="20"/>
          <w:i w:val="1"/>
          <w:iCs w:val="1"/>
          <w:color w:val="auto"/>
        </w:rPr>
        <w:t>“Sale”</w:t>
      </w:r>
      <w:r>
        <w:rPr>
          <w:rFonts w:ascii="Calibri" w:cs="Calibri" w:eastAsia="Calibri" w:hAnsi="Calibri"/>
          <w:sz w:val="20"/>
          <w:szCs w:val="20"/>
          <w:color w:val="auto"/>
        </w:rPr>
        <w:t xml:space="preserve"> includes not only the actual sale of a security, but any contract to sell or otherwise dispose of a security. These defnitons extend to a broad range of transactons, including conventonal cash-for-share transactons, conversions, the exercise of share optons, and acquisitons and exercises of warrants or puts, calls or other derivatve securites.</w:t>
      </w:r>
    </w:p>
    <w:p>
      <w:pPr>
        <w:spacing w:after="0" w:line="229" w:lineRule="exact"/>
        <w:rPr>
          <w:sz w:val="20"/>
          <w:szCs w:val="20"/>
          <w:color w:val="auto"/>
        </w:rPr>
      </w:pPr>
    </w:p>
    <w:p>
      <w:pPr>
        <w:jc w:val="both"/>
        <w:ind w:left="20" w:right="300" w:firstLine="648"/>
        <w:spacing w:after="0" w:line="231" w:lineRule="auto"/>
        <w:rPr>
          <w:sz w:val="20"/>
          <w:szCs w:val="20"/>
          <w:color w:val="auto"/>
        </w:rPr>
      </w:pPr>
      <w:r>
        <w:rPr>
          <w:rFonts w:ascii="Calibri" w:cs="Calibri" w:eastAsia="Calibri" w:hAnsi="Calibri"/>
          <w:sz w:val="20"/>
          <w:szCs w:val="20"/>
          <w:color w:val="auto"/>
        </w:rPr>
        <w:t>Informaton is considered “material” if there is a substantal likelihood that a reasonable investor would consider it important in making a decision to buy, sell or hold a security, or if the informaton is likely to have a signifcant efect on the market price of the security. Material informaton can be positve or negatve and can relate to virtually any aspect of a company’s business or to any type of security, debt or equity. Also, informaton that something is likely to happen in the future—or even just that it may happen—could be deemed material.</w:t>
      </w:r>
    </w:p>
    <w:p>
      <w:pPr>
        <w:spacing w:after="0" w:line="111" w:lineRule="exact"/>
        <w:rPr>
          <w:sz w:val="20"/>
          <w:szCs w:val="20"/>
          <w:color w:val="auto"/>
        </w:rPr>
      </w:pPr>
    </w:p>
    <w:p>
      <w:pPr>
        <w:ind w:left="660"/>
        <w:spacing w:after="0"/>
        <w:rPr>
          <w:sz w:val="20"/>
          <w:szCs w:val="20"/>
          <w:color w:val="auto"/>
        </w:rPr>
      </w:pPr>
      <w:r>
        <w:rPr>
          <w:rFonts w:ascii="Calibri" w:cs="Calibri" w:eastAsia="Calibri" w:hAnsi="Calibri"/>
          <w:sz w:val="20"/>
          <w:szCs w:val="20"/>
          <w:color w:val="auto"/>
        </w:rPr>
        <w:t>Examples of material informaton may include (but are not limited to) informaton about: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60"/>
          </w:cols>
          <w:pgMar w:left="400" w:top="1440" w:right="339" w:bottom="1440" w:gutter="0" w:footer="0" w:header="0"/>
        </w:sectPr>
      </w:pPr>
    </w:p>
    <w:bookmarkStart w:id="189" w:name="page190"/>
    <w:bookmarkEnd w:id="189"/>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corporate earnings or earnings forecasts;</w:t>
      </w:r>
    </w:p>
    <w:p>
      <w:pPr>
        <w:spacing w:after="0" w:line="106"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possible mergers, acquisitons, tender ofers or dispositons;</w:t>
      </w:r>
    </w:p>
    <w:p>
      <w:pPr>
        <w:spacing w:after="0" w:line="120"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major new products or product developments;</w:t>
      </w:r>
    </w:p>
    <w:p>
      <w:pPr>
        <w:spacing w:after="0" w:line="116" w:lineRule="exact"/>
        <w:rPr>
          <w:rFonts w:ascii="Times New Roman" w:cs="Times New Roman" w:eastAsia="Times New Roman" w:hAnsi="Times New Roman"/>
          <w:sz w:val="20"/>
          <w:szCs w:val="20"/>
          <w:color w:val="auto"/>
        </w:rPr>
      </w:pPr>
    </w:p>
    <w:p>
      <w:pPr>
        <w:ind w:left="1320" w:right="740" w:hanging="327"/>
        <w:spacing w:after="0" w:line="234" w:lineRule="auto"/>
        <w:tabs>
          <w:tab w:leader="none" w:pos="1308"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important business developments such as pre-clinical data or trial results, developments regarding strategic collaboratons or the status of regulatory submissions;</w:t>
      </w:r>
    </w:p>
    <w:p>
      <w:pPr>
        <w:spacing w:after="0" w:line="108"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incidents involving cybersecurity or data protecton;</w:t>
      </w:r>
    </w:p>
    <w:p>
      <w:pPr>
        <w:spacing w:after="0" w:line="120"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management or control changes;</w:t>
      </w:r>
    </w:p>
    <w:p>
      <w:pPr>
        <w:spacing w:after="0" w:line="120"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fnancing developments including pending public sales or oferings of debt or equity securites;</w:t>
      </w:r>
    </w:p>
    <w:p>
      <w:pPr>
        <w:spacing w:after="0" w:line="93"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defaults on borrowings;</w:t>
      </w:r>
    </w:p>
    <w:p>
      <w:pPr>
        <w:spacing w:after="0" w:line="120"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bankruptcies; and</w:t>
      </w:r>
    </w:p>
    <w:p>
      <w:pPr>
        <w:spacing w:after="0" w:line="120"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95"/>
        </w:numPr>
        <w:rPr>
          <w:rFonts w:ascii="Times New Roman" w:cs="Times New Roman" w:eastAsia="Times New Roman" w:hAnsi="Times New Roman"/>
          <w:sz w:val="20"/>
          <w:szCs w:val="20"/>
          <w:color w:val="auto"/>
        </w:rPr>
      </w:pPr>
      <w:r>
        <w:rPr>
          <w:rFonts w:ascii="Calibri" w:cs="Calibri" w:eastAsia="Calibri" w:hAnsi="Calibri"/>
          <w:sz w:val="20"/>
          <w:szCs w:val="20"/>
          <w:color w:val="auto"/>
        </w:rPr>
        <w:t>signifcant litgaton or regulatory actons.</w:t>
      </w:r>
    </w:p>
    <w:p>
      <w:pPr>
        <w:spacing w:after="0" w:line="211" w:lineRule="exact"/>
        <w:rPr>
          <w:sz w:val="20"/>
          <w:szCs w:val="20"/>
          <w:color w:val="auto"/>
        </w:rPr>
      </w:pPr>
    </w:p>
    <w:p>
      <w:pPr>
        <w:jc w:val="both"/>
        <w:ind w:left="20" w:firstLine="648"/>
        <w:spacing w:after="0" w:line="231" w:lineRule="auto"/>
        <w:rPr>
          <w:sz w:val="20"/>
          <w:szCs w:val="20"/>
          <w:color w:val="auto"/>
        </w:rPr>
      </w:pPr>
      <w:r>
        <w:rPr>
          <w:rFonts w:ascii="Calibri" w:cs="Calibri" w:eastAsia="Calibri" w:hAnsi="Calibri"/>
          <w:sz w:val="20"/>
          <w:szCs w:val="20"/>
          <w:color w:val="auto"/>
        </w:rPr>
        <w:t>Informaton is “non-public” if it is not available to the general public. In order for informaton to be considered public, it must be widely disseminated in a manner making it generally available to investors in a Regulaton FD-compliant method, such as through a press release, a fling with the U.S. Securites and Exchange Commission (the “</w:t>
      </w:r>
      <w:r>
        <w:rPr>
          <w:rFonts w:ascii="Calibri" w:cs="Calibri" w:eastAsia="Calibri" w:hAnsi="Calibri"/>
          <w:sz w:val="20"/>
          <w:szCs w:val="20"/>
          <w:b w:val="1"/>
          <w:bCs w:val="1"/>
          <w:i w:val="1"/>
          <w:iCs w:val="1"/>
          <w:color w:val="auto"/>
        </w:rPr>
        <w:t>SEC</w:t>
      </w:r>
      <w:r>
        <w:rPr>
          <w:rFonts w:ascii="Calibri" w:cs="Calibri" w:eastAsia="Calibri" w:hAnsi="Calibri"/>
          <w:sz w:val="20"/>
          <w:szCs w:val="20"/>
          <w:color w:val="auto"/>
        </w:rPr>
        <w:t>”) or, a Regulaton FD-compliant</w:t>
      </w:r>
    </w:p>
    <w:p>
      <w:pPr>
        <w:spacing w:after="0" w:line="41"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conference call. The General Counsel shall have sole discreton to decide whether informaton is public for purposes of this Policy.</w:t>
      </w:r>
    </w:p>
    <w:p>
      <w:pPr>
        <w:spacing w:after="0" w:line="117" w:lineRule="exact"/>
        <w:rPr>
          <w:sz w:val="20"/>
          <w:szCs w:val="20"/>
          <w:color w:val="auto"/>
        </w:rPr>
      </w:pPr>
    </w:p>
    <w:p>
      <w:pPr>
        <w:jc w:val="both"/>
        <w:ind w:left="20" w:firstLine="648"/>
        <w:spacing w:after="0" w:line="230" w:lineRule="auto"/>
        <w:rPr>
          <w:sz w:val="20"/>
          <w:szCs w:val="20"/>
          <w:color w:val="auto"/>
        </w:rPr>
      </w:pPr>
      <w:r>
        <w:rPr>
          <w:rFonts w:ascii="Calibri" w:cs="Calibri" w:eastAsia="Calibri" w:hAnsi="Calibri"/>
          <w:sz w:val="20"/>
          <w:szCs w:val="20"/>
          <w:color w:val="auto"/>
        </w:rPr>
        <w:t>The circulaton of rumors, even if accurate and reported in the media, does not consttute public disseminaton. In additon, even afer a public announcement, a reasonable period of tme may need to lapse in order for the market to react to the informaton. Generally, the passage of two full trading days following release of the informaton to the public, is as a reasonable waitng period before such informaton is deemed to be public.</w:t>
      </w:r>
    </w:p>
    <w:p>
      <w:pPr>
        <w:spacing w:after="0" w:line="215" w:lineRule="exact"/>
        <w:rPr>
          <w:sz w:val="20"/>
          <w:szCs w:val="20"/>
          <w:color w:val="auto"/>
        </w:rPr>
      </w:pPr>
    </w:p>
    <w:p>
      <w:pPr>
        <w:ind w:left="20"/>
        <w:spacing w:after="0"/>
        <w:tabs>
          <w:tab w:leader="none" w:pos="620" w:val="left"/>
        </w:tabs>
        <w:rPr>
          <w:sz w:val="20"/>
          <w:szCs w:val="20"/>
          <w:color w:val="auto"/>
        </w:rPr>
      </w:pPr>
      <w:r>
        <w:rPr>
          <w:rFonts w:ascii="Calibri" w:cs="Calibri" w:eastAsia="Calibri" w:hAnsi="Calibri"/>
          <w:sz w:val="20"/>
          <w:szCs w:val="20"/>
          <w:b w:val="1"/>
          <w:bCs w:val="1"/>
          <w:color w:val="auto"/>
        </w:rPr>
        <w:t>IV.</w:t>
      </w:r>
      <w:r>
        <w:rPr>
          <w:sz w:val="20"/>
          <w:szCs w:val="20"/>
          <w:color w:val="auto"/>
        </w:rPr>
        <w:tab/>
      </w:r>
      <w:r>
        <w:rPr>
          <w:rFonts w:ascii="Calibri" w:cs="Calibri" w:eastAsia="Calibri" w:hAnsi="Calibri"/>
          <w:sz w:val="20"/>
          <w:szCs w:val="20"/>
          <w:b w:val="1"/>
          <w:bCs w:val="1"/>
          <w:color w:val="auto"/>
        </w:rPr>
        <w:t>Statement of Procedures Preventng Insider Trading</w:t>
      </w:r>
    </w:p>
    <w:p>
      <w:pPr>
        <w:spacing w:after="0" w:line="265" w:lineRule="exact"/>
        <w:rPr>
          <w:sz w:val="20"/>
          <w:szCs w:val="20"/>
          <w:color w:val="auto"/>
        </w:rPr>
      </w:pPr>
    </w:p>
    <w:p>
      <w:pPr>
        <w:jc w:val="both"/>
        <w:ind w:left="20" w:right="20" w:firstLine="648"/>
        <w:spacing w:after="0" w:line="228" w:lineRule="auto"/>
        <w:rPr>
          <w:sz w:val="20"/>
          <w:szCs w:val="20"/>
          <w:color w:val="auto"/>
        </w:rPr>
      </w:pPr>
      <w:r>
        <w:rPr>
          <w:rFonts w:ascii="Calibri" w:cs="Calibri" w:eastAsia="Calibri" w:hAnsi="Calibri"/>
          <w:sz w:val="20"/>
          <w:szCs w:val="20"/>
          <w:color w:val="auto"/>
        </w:rPr>
        <w:t>The following procedures have been established, and will be maintained and enforced, by the Company to prevent insider trading. Every ofcer, director and employee is required to follow these procedures.</w:t>
      </w:r>
    </w:p>
    <w:p>
      <w:pPr>
        <w:spacing w:after="0" w:line="215" w:lineRule="exact"/>
        <w:rPr>
          <w:sz w:val="20"/>
          <w:szCs w:val="20"/>
          <w:color w:val="auto"/>
        </w:rPr>
      </w:pPr>
    </w:p>
    <w:p>
      <w:pPr>
        <w:ind w:left="1320" w:hanging="651"/>
        <w:spacing w:after="0"/>
        <w:tabs>
          <w:tab w:leader="none" w:pos="1320" w:val="left"/>
        </w:tabs>
        <w:numPr>
          <w:ilvl w:val="0"/>
          <w:numId w:val="96"/>
        </w:numPr>
        <w:rPr>
          <w:rFonts w:ascii="Calibri" w:cs="Calibri" w:eastAsia="Calibri" w:hAnsi="Calibri"/>
          <w:sz w:val="20"/>
          <w:szCs w:val="20"/>
          <w:color w:val="auto"/>
        </w:rPr>
      </w:pPr>
      <w:r>
        <w:rPr>
          <w:rFonts w:ascii="Calibri" w:cs="Calibri" w:eastAsia="Calibri" w:hAnsi="Calibri"/>
          <w:sz w:val="20"/>
          <w:szCs w:val="20"/>
          <w:u w:val="single" w:color="auto"/>
          <w:color w:val="auto"/>
        </w:rPr>
        <w:t>Pre-Clearance of Transactons by Ofcers, Directors and Employees</w:t>
      </w:r>
    </w:p>
    <w:p>
      <w:pPr>
        <w:spacing w:after="0" w:line="225" w:lineRule="exact"/>
        <w:rPr>
          <w:sz w:val="20"/>
          <w:szCs w:val="20"/>
          <w:color w:val="auto"/>
        </w:rPr>
      </w:pPr>
    </w:p>
    <w:p>
      <w:pPr>
        <w:jc w:val="both"/>
        <w:ind w:left="20" w:firstLine="648"/>
        <w:spacing w:after="0" w:line="231" w:lineRule="auto"/>
        <w:rPr>
          <w:sz w:val="20"/>
          <w:szCs w:val="20"/>
          <w:color w:val="auto"/>
        </w:rPr>
      </w:pPr>
      <w:r>
        <w:rPr>
          <w:rFonts w:ascii="Calibri" w:cs="Calibri" w:eastAsia="Calibri" w:hAnsi="Calibri"/>
          <w:sz w:val="20"/>
          <w:szCs w:val="20"/>
          <w:color w:val="auto"/>
        </w:rPr>
        <w:t xml:space="preserve">To provide assistance in preventng inadvertent violatons of applicable securites laws and to avoid the appearance of impropriety in connecton with the purchase and sale of the Company’s securites, </w:t>
      </w:r>
      <w:r>
        <w:rPr>
          <w:rFonts w:ascii="Calibri" w:cs="Calibri" w:eastAsia="Calibri" w:hAnsi="Calibri"/>
          <w:sz w:val="20"/>
          <w:szCs w:val="20"/>
          <w:b w:val="1"/>
          <w:bCs w:val="1"/>
          <w:color w:val="auto"/>
        </w:rPr>
        <w:t>all transactons in the Company’s securites</w:t>
      </w:r>
      <w:r>
        <w:rPr>
          <w:rFonts w:ascii="Calibri" w:cs="Calibri" w:eastAsia="Calibri" w:hAnsi="Calibri"/>
          <w:sz w:val="20"/>
          <w:szCs w:val="20"/>
          <w:color w:val="auto"/>
        </w:rPr>
        <w:t xml:space="preserve"> </w:t>
      </w:r>
      <w:r>
        <w:rPr>
          <w:rFonts w:ascii="Calibri" w:cs="Calibri" w:eastAsia="Calibri" w:hAnsi="Calibri"/>
          <w:sz w:val="20"/>
          <w:szCs w:val="20"/>
          <w:b w:val="1"/>
          <w:bCs w:val="1"/>
          <w:color w:val="auto"/>
        </w:rPr>
        <w:t xml:space="preserve">(including without limitaton, acquisitons and dispositons of Company shares, gifs, the exercise of share optons and the sale of Company shares issued upon exercise of share optons) by Covered Persons must be pre-cleared </w:t>
      </w:r>
      <w:r>
        <w:rPr>
          <w:rFonts w:ascii="Calibri" w:cs="Calibri" w:eastAsia="Calibri" w:hAnsi="Calibri"/>
          <w:sz w:val="20"/>
          <w:szCs w:val="20"/>
          <w:color w:val="auto"/>
        </w:rPr>
        <w:t>by the Chief Executve Ofcer or</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General Counsel. Pre-clearance does not relieve anyone of his or her responsibility under SEC rules.</w:t>
      </w:r>
    </w:p>
    <w:p>
      <w:pPr>
        <w:spacing w:after="0" w:line="121" w:lineRule="exact"/>
        <w:rPr>
          <w:sz w:val="20"/>
          <w:szCs w:val="20"/>
          <w:color w:val="auto"/>
        </w:rPr>
      </w:pPr>
    </w:p>
    <w:p>
      <w:pPr>
        <w:jc w:val="both"/>
        <w:ind w:left="20" w:firstLine="648"/>
        <w:spacing w:after="0" w:line="230" w:lineRule="auto"/>
        <w:rPr>
          <w:sz w:val="20"/>
          <w:szCs w:val="20"/>
          <w:color w:val="auto"/>
        </w:rPr>
      </w:pPr>
      <w:r>
        <w:rPr>
          <w:rFonts w:ascii="Calibri" w:cs="Calibri" w:eastAsia="Calibri" w:hAnsi="Calibri"/>
          <w:sz w:val="20"/>
          <w:szCs w:val="20"/>
          <w:color w:val="auto"/>
        </w:rPr>
        <w:t>A request for pre-clearance must be in writng (including without limitaton by e-mail or other electronic form), should be made at least one (1) full business day in advance of the proposed transacton and should include the identty of the Covered Person, the type of proposed transacton (for example, an open market purchase, a privately negotated sale, a gif, an opton exercise, etc.), the proposed date of the transacton and the number of shares, optons or other securites to be involved.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400" w:top="1307" w:right="639" w:bottom="1440" w:gutter="0" w:footer="0" w:header="0"/>
        </w:sectPr>
      </w:pPr>
    </w:p>
    <w:bookmarkStart w:id="190" w:name="page191"/>
    <w:bookmarkEnd w:id="190"/>
    <w:p>
      <w:pPr>
        <w:jc w:val="both"/>
        <w:ind w:left="100" w:right="180"/>
        <w:spacing w:after="0" w:line="232" w:lineRule="auto"/>
        <w:rPr>
          <w:sz w:val="20"/>
          <w:szCs w:val="20"/>
          <w:color w:val="auto"/>
        </w:rPr>
      </w:pPr>
      <w:r>
        <w:rPr>
          <w:rFonts w:ascii="Calibri" w:cs="Calibri" w:eastAsia="Calibri" w:hAnsi="Calibri"/>
          <w:sz w:val="20"/>
          <w:szCs w:val="20"/>
          <w:color w:val="auto"/>
        </w:rPr>
        <w:t>pre-clearance request may be made via the Company’s electronic share plan platorm or, if not available via that platorm, via the form atached hereto as “</w:t>
      </w:r>
      <w:r>
        <w:rPr>
          <w:rFonts w:ascii="Calibri" w:cs="Calibri" w:eastAsia="Calibri" w:hAnsi="Calibri"/>
          <w:sz w:val="20"/>
          <w:szCs w:val="20"/>
          <w:u w:val="single" w:color="auto"/>
          <w:color w:val="auto"/>
        </w:rPr>
        <w:t>Atachment A</w:t>
      </w:r>
      <w:r>
        <w:rPr>
          <w:rFonts w:ascii="Calibri" w:cs="Calibri" w:eastAsia="Calibri" w:hAnsi="Calibri"/>
          <w:sz w:val="20"/>
          <w:szCs w:val="20"/>
          <w:color w:val="auto"/>
        </w:rPr>
        <w:t>.” The Chief Executve Ofcer or General Counsel shall have sole discreton to decide whether to clear any contemplated transacton, provided that the Chairman shall have sole discreton to decide whether to clear transactons by the Chief Executve Ofcer or persons or enttes subject to this policy as a result of their relatonship with the Chief Executve Ofcer, and provided further that the Chief Executve Ofcer shall have sole discreton to decide whether to clear transactons by the General Counsel or persons or enttes subject to this policy as a result of their relatonship with the General Counsel. All trades that are pre-cleared must be efected within fve business days of receipt of the pre-clearance unless a specifc excepton has been granted by the Chief Executve Ofcer or General Counsel (or the Chairman, in the case of the Chief Executve Ofcer or persons or enttes subject to this policy as a result of their relatonship with the Chief Executve Ofcer). A pre- cleared trade (or any porton of a pre-cleared trade) that has not been efected during the fve business day period must be pre-cleared again prior to executon. Notwithstanding receipt of pre-clearance, if the Covered Person becomes aware of material, non-public informaton or becomes subject to a black-out period before the transacton is efected, the transacton may not be completed.</w:t>
      </w:r>
    </w:p>
    <w:p>
      <w:pPr>
        <w:spacing w:after="0" w:line="36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0"/>
          <w:szCs w:val="20"/>
          <w:color w:val="auto"/>
        </w:rPr>
        <w:t>Pre-clearance should not be understood to represent legal advice by the Company that a proposed transaction complies with the law. None of the Company, the General Counsel, the Chief Executive Officer, or the Company’s other employees will have any liability for any delay in reviewing, or refusal of, a request for pre-clearance.</w:t>
      </w:r>
    </w:p>
    <w:p>
      <w:pPr>
        <w:spacing w:after="0" w:line="170" w:lineRule="exact"/>
        <w:rPr>
          <w:sz w:val="20"/>
          <w:szCs w:val="20"/>
          <w:color w:val="auto"/>
        </w:rPr>
      </w:pPr>
    </w:p>
    <w:p>
      <w:pPr>
        <w:ind w:left="1400" w:hanging="651"/>
        <w:spacing w:after="0"/>
        <w:tabs>
          <w:tab w:leader="none" w:pos="1400" w:val="left"/>
        </w:tabs>
        <w:numPr>
          <w:ilvl w:val="0"/>
          <w:numId w:val="97"/>
        </w:numPr>
        <w:rPr>
          <w:rFonts w:ascii="Calibri" w:cs="Calibri" w:eastAsia="Calibri" w:hAnsi="Calibri"/>
          <w:sz w:val="20"/>
          <w:szCs w:val="20"/>
          <w:color w:val="auto"/>
        </w:rPr>
      </w:pPr>
      <w:r>
        <w:rPr>
          <w:rFonts w:ascii="Calibri" w:cs="Calibri" w:eastAsia="Calibri" w:hAnsi="Calibri"/>
          <w:sz w:val="20"/>
          <w:szCs w:val="20"/>
          <w:u w:val="single" w:color="auto"/>
          <w:color w:val="auto"/>
        </w:rPr>
        <w:t>Black-Out Periods</w:t>
      </w:r>
    </w:p>
    <w:p>
      <w:pPr>
        <w:spacing w:after="0" w:line="211" w:lineRule="exact"/>
        <w:rPr>
          <w:sz w:val="20"/>
          <w:szCs w:val="20"/>
          <w:color w:val="auto"/>
        </w:rPr>
      </w:pPr>
    </w:p>
    <w:p>
      <w:pPr>
        <w:jc w:val="both"/>
        <w:ind w:left="100" w:right="180" w:firstLine="648"/>
        <w:spacing w:after="0"/>
        <w:rPr>
          <w:sz w:val="20"/>
          <w:szCs w:val="20"/>
          <w:color w:val="auto"/>
        </w:rPr>
      </w:pPr>
      <w:r>
        <w:rPr>
          <w:rFonts w:ascii="Calibri" w:cs="Calibri" w:eastAsia="Calibri" w:hAnsi="Calibri"/>
          <w:sz w:val="20"/>
          <w:szCs w:val="20"/>
          <w:b w:val="1"/>
          <w:bCs w:val="1"/>
          <w:color w:val="auto"/>
        </w:rPr>
        <w:t>Additonally, no Covered Persons shall purchase or sell any security of the Company during the period beginning at 11:59 p.m., Eastern tme, on the 7</w:t>
      </w:r>
      <w:r>
        <w:rPr>
          <w:rFonts w:ascii="Calibri" w:cs="Calibri" w:eastAsia="Calibri" w:hAnsi="Calibri"/>
          <w:sz w:val="25"/>
          <w:szCs w:val="25"/>
          <w:b w:val="1"/>
          <w:bCs w:val="1"/>
          <w:color w:val="auto"/>
          <w:vertAlign w:val="superscript"/>
        </w:rPr>
        <w:t>th</w:t>
      </w:r>
      <w:r>
        <w:rPr>
          <w:rFonts w:ascii="Calibri" w:cs="Calibri" w:eastAsia="Calibri" w:hAnsi="Calibri"/>
          <w:sz w:val="20"/>
          <w:szCs w:val="20"/>
          <w:b w:val="1"/>
          <w:bCs w:val="1"/>
          <w:color w:val="auto"/>
        </w:rPr>
        <w:t xml:space="preserve"> calendar day before the end of any fscal quarter of the Company and ending upon the completon of the second full trading day afer the public release of earnings data for such fscal quarter, or during any other trading suspension period declared by the Company, </w:t>
      </w:r>
      <w:r>
        <w:rPr>
          <w:rFonts w:ascii="Calibri" w:cs="Calibri" w:eastAsia="Calibri" w:hAnsi="Calibri"/>
          <w:sz w:val="20"/>
          <w:szCs w:val="20"/>
          <w:color w:val="auto"/>
        </w:rPr>
        <w:t>except for purchases and sales made pursuant to the permited transactons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described in Secton II.</w:t>
      </w:r>
    </w:p>
    <w:p>
      <w:pPr>
        <w:spacing w:after="0" w:line="258" w:lineRule="exact"/>
        <w:rPr>
          <w:sz w:val="20"/>
          <w:szCs w:val="20"/>
          <w:color w:val="auto"/>
        </w:rPr>
      </w:pPr>
    </w:p>
    <w:p>
      <w:pPr>
        <w:jc w:val="both"/>
        <w:ind w:left="100" w:right="180" w:firstLine="648"/>
        <w:spacing w:after="0" w:line="234" w:lineRule="auto"/>
        <w:rPr>
          <w:sz w:val="20"/>
          <w:szCs w:val="20"/>
          <w:color w:val="auto"/>
        </w:rPr>
      </w:pPr>
      <w:r>
        <w:rPr>
          <w:rFonts w:ascii="Calibri" w:cs="Calibri" w:eastAsia="Calibri" w:hAnsi="Calibri"/>
          <w:sz w:val="20"/>
          <w:szCs w:val="20"/>
          <w:color w:val="auto"/>
        </w:rPr>
        <w:t>For example, if the Company’s fourth fscal quarter ends at 11:59 p.m., Eastern tme, on December 31, the corresponding black-out period would begin at 11:59 p.m., Eastern tme, on December 24.</w:t>
      </w:r>
    </w:p>
    <w:p>
      <w:pPr>
        <w:spacing w:after="0" w:line="104" w:lineRule="exact"/>
        <w:rPr>
          <w:sz w:val="20"/>
          <w:szCs w:val="20"/>
          <w:color w:val="auto"/>
        </w:rPr>
      </w:pPr>
    </w:p>
    <w:p>
      <w:pPr>
        <w:jc w:val="both"/>
        <w:ind w:left="100" w:right="180" w:firstLine="692"/>
        <w:spacing w:after="0" w:line="231" w:lineRule="auto"/>
        <w:rPr>
          <w:sz w:val="20"/>
          <w:szCs w:val="20"/>
          <w:color w:val="auto"/>
        </w:rPr>
      </w:pPr>
      <w:r>
        <w:rPr>
          <w:rFonts w:ascii="Calibri" w:cs="Calibri" w:eastAsia="Calibri" w:hAnsi="Calibri"/>
          <w:sz w:val="20"/>
          <w:szCs w:val="20"/>
          <w:color w:val="auto"/>
        </w:rPr>
        <w:t>Exceptons to the black-out period policy may be approved only by the General Counsel (or, in the case of an excepton for the General Counsel or persons or enttes subject to this Policy as a result of their relatonship with the General Counsel, the Chief Executve Ofcer).</w:t>
      </w:r>
    </w:p>
    <w:p>
      <w:pPr>
        <w:spacing w:after="0" w:line="119" w:lineRule="exact"/>
        <w:rPr>
          <w:sz w:val="20"/>
          <w:szCs w:val="20"/>
          <w:color w:val="auto"/>
        </w:rPr>
      </w:pPr>
    </w:p>
    <w:p>
      <w:pPr>
        <w:jc w:val="both"/>
        <w:ind w:left="100" w:right="180" w:firstLine="648"/>
        <w:spacing w:after="0"/>
        <w:rPr>
          <w:sz w:val="20"/>
          <w:szCs w:val="20"/>
          <w:color w:val="auto"/>
        </w:rPr>
      </w:pPr>
      <w:r>
        <w:rPr>
          <w:rFonts w:ascii="Calibri" w:cs="Calibri" w:eastAsia="Calibri" w:hAnsi="Calibri"/>
          <w:sz w:val="20"/>
          <w:szCs w:val="20"/>
          <w:color w:val="auto"/>
        </w:rPr>
        <w:t>From tme to tme, the Company, through the Board of Directors, the Company’s disclosure commitee or the General Counsel, may recommend that ofcers, directors, employees or others suspend trading in the Company’s securites because of developments that have not yet been disclosed to the public. Subject to the exceptons noted above, all of those afected should not trade in the Company’s securites while the suspension is in efect, and should not disclose to others that the Company has suspended trading.</w:t>
      </w:r>
    </w:p>
    <w:p>
      <w:pPr>
        <w:spacing w:after="0" w:line="319" w:lineRule="exact"/>
        <w:rPr>
          <w:sz w:val="20"/>
          <w:szCs w:val="20"/>
          <w:color w:val="auto"/>
        </w:rPr>
      </w:pPr>
    </w:p>
    <w:p>
      <w:pPr>
        <w:jc w:val="both"/>
        <w:ind w:left="100" w:right="180" w:firstLine="648"/>
        <w:spacing w:after="0"/>
        <w:rPr>
          <w:sz w:val="20"/>
          <w:szCs w:val="20"/>
          <w:color w:val="auto"/>
        </w:rPr>
      </w:pPr>
      <w:r>
        <w:rPr>
          <w:rFonts w:ascii="Calibri" w:cs="Calibri" w:eastAsia="Calibri" w:hAnsi="Calibri"/>
          <w:sz w:val="20"/>
          <w:szCs w:val="20"/>
          <w:color w:val="auto"/>
        </w:rPr>
        <w:t>If the Company is required to impose a “pension fund black-out period” under Regulaton BTR, each director and executve ofcer shall not, directly or indirectly sell, purchase or otherwise transfer during such black-out period any equity securites of the Company acquired in connecton with his or her service as a director or ofcer of the Company, except as permited by Regulaton BTR.</w:t>
      </w:r>
    </w:p>
    <w:p>
      <w:pPr>
        <w:spacing w:after="0" w:line="200" w:lineRule="exact"/>
        <w:rPr>
          <w:sz w:val="20"/>
          <w:szCs w:val="20"/>
          <w:color w:val="auto"/>
        </w:rPr>
      </w:pPr>
    </w:p>
    <w:p>
      <w:pPr>
        <w:spacing w:after="0" w:line="232" w:lineRule="exact"/>
        <w:rPr>
          <w:sz w:val="20"/>
          <w:szCs w:val="20"/>
          <w:color w:val="auto"/>
        </w:rPr>
      </w:pPr>
    </w:p>
    <w:p>
      <w:pPr>
        <w:ind w:left="1400" w:hanging="651"/>
        <w:spacing w:after="0"/>
        <w:tabs>
          <w:tab w:leader="none" w:pos="1400" w:val="left"/>
        </w:tabs>
        <w:numPr>
          <w:ilvl w:val="0"/>
          <w:numId w:val="98"/>
        </w:numPr>
        <w:rPr>
          <w:rFonts w:ascii="Calibri" w:cs="Calibri" w:eastAsia="Calibri" w:hAnsi="Calibri"/>
          <w:sz w:val="20"/>
          <w:szCs w:val="20"/>
          <w:color w:val="auto"/>
        </w:rPr>
      </w:pPr>
      <w:r>
        <w:rPr>
          <w:rFonts w:ascii="Calibri" w:cs="Calibri" w:eastAsia="Calibri" w:hAnsi="Calibri"/>
          <w:sz w:val="20"/>
          <w:szCs w:val="20"/>
          <w:u w:val="single" w:color="auto"/>
          <w:color w:val="auto"/>
        </w:rPr>
        <w:t>Post-Terminaton Transactons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1303" w:right="459" w:bottom="1440" w:gutter="0" w:footer="0" w:header="0"/>
        </w:sectPr>
      </w:pPr>
    </w:p>
    <w:bookmarkStart w:id="191" w:name="page192"/>
    <w:bookmarkEnd w:id="191"/>
    <w:p>
      <w:pPr>
        <w:ind w:left="20" w:firstLine="648"/>
        <w:spacing w:after="0" w:line="228" w:lineRule="auto"/>
        <w:rPr>
          <w:sz w:val="20"/>
          <w:szCs w:val="20"/>
          <w:color w:val="auto"/>
        </w:rPr>
      </w:pPr>
      <w:r>
        <w:rPr>
          <w:rFonts w:ascii="Calibri" w:cs="Calibri" w:eastAsia="Calibri" w:hAnsi="Calibri"/>
          <w:sz w:val="20"/>
          <w:szCs w:val="20"/>
          <w:color w:val="auto"/>
        </w:rPr>
        <w:t>If an individual is in possession of material, non-public informaton when his or her service terminates, that individual may not trade in the Company’s securites untl that informaton has become public or is no longer material.</w:t>
      </w:r>
    </w:p>
    <w:p>
      <w:pPr>
        <w:spacing w:after="0" w:line="215" w:lineRule="exact"/>
        <w:rPr>
          <w:sz w:val="20"/>
          <w:szCs w:val="20"/>
          <w:color w:val="auto"/>
        </w:rPr>
      </w:pPr>
    </w:p>
    <w:p>
      <w:pPr>
        <w:ind w:left="640" w:hanging="619"/>
        <w:spacing w:after="0"/>
        <w:tabs>
          <w:tab w:leader="none" w:pos="640" w:val="left"/>
        </w:tabs>
        <w:numPr>
          <w:ilvl w:val="0"/>
          <w:numId w:val="99"/>
        </w:numPr>
        <w:rPr>
          <w:rFonts w:ascii="Calibri" w:cs="Calibri" w:eastAsia="Calibri" w:hAnsi="Calibri"/>
          <w:sz w:val="20"/>
          <w:szCs w:val="20"/>
          <w:b w:val="1"/>
          <w:bCs w:val="1"/>
          <w:color w:val="auto"/>
        </w:rPr>
      </w:pPr>
      <w:r>
        <w:rPr>
          <w:rFonts w:ascii="Calibri" w:cs="Calibri" w:eastAsia="Calibri" w:hAnsi="Calibri"/>
          <w:sz w:val="20"/>
          <w:szCs w:val="20"/>
          <w:b w:val="1"/>
          <w:bCs w:val="1"/>
          <w:color w:val="auto"/>
        </w:rPr>
        <w:t>Additonal Prohibited Transactons</w:t>
      </w:r>
    </w:p>
    <w:p>
      <w:pPr>
        <w:spacing w:after="0" w:line="252" w:lineRule="exact"/>
        <w:rPr>
          <w:sz w:val="20"/>
          <w:szCs w:val="20"/>
          <w:color w:val="auto"/>
        </w:rPr>
      </w:pPr>
    </w:p>
    <w:p>
      <w:pPr>
        <w:jc w:val="both"/>
        <w:ind w:left="20" w:firstLine="648"/>
        <w:spacing w:after="0" w:line="227" w:lineRule="auto"/>
        <w:rPr>
          <w:sz w:val="20"/>
          <w:szCs w:val="20"/>
          <w:color w:val="auto"/>
        </w:rPr>
      </w:pPr>
      <w:r>
        <w:rPr>
          <w:rFonts w:ascii="Calibri" w:cs="Calibri" w:eastAsia="Calibri" w:hAnsi="Calibri"/>
          <w:sz w:val="20"/>
          <w:szCs w:val="20"/>
          <w:color w:val="auto"/>
        </w:rPr>
        <w:t>The Company has determined that there is a heightened legal risk and/or the appearance of improper or inappropriate conduct if the persons subject to this Policy engage in certain types of transactons. Therefore, ofcers, directors and employees shall comply with the following policies with respect to certain transactons in the Company securites:</w:t>
      </w:r>
    </w:p>
    <w:p>
      <w:pPr>
        <w:spacing w:after="0" w:line="216" w:lineRule="exact"/>
        <w:rPr>
          <w:sz w:val="20"/>
          <w:szCs w:val="20"/>
          <w:color w:val="auto"/>
        </w:rPr>
      </w:pPr>
    </w:p>
    <w:p>
      <w:pPr>
        <w:ind w:left="1320" w:hanging="651"/>
        <w:spacing w:after="0"/>
        <w:tabs>
          <w:tab w:leader="none" w:pos="1320" w:val="left"/>
        </w:tabs>
        <w:numPr>
          <w:ilvl w:val="0"/>
          <w:numId w:val="100"/>
        </w:numPr>
        <w:rPr>
          <w:rFonts w:ascii="Calibri" w:cs="Calibri" w:eastAsia="Calibri" w:hAnsi="Calibri"/>
          <w:sz w:val="20"/>
          <w:szCs w:val="20"/>
          <w:color w:val="auto"/>
        </w:rPr>
      </w:pPr>
      <w:r>
        <w:rPr>
          <w:rFonts w:ascii="Calibri" w:cs="Calibri" w:eastAsia="Calibri" w:hAnsi="Calibri"/>
          <w:sz w:val="20"/>
          <w:szCs w:val="20"/>
          <w:u w:val="single" w:color="auto"/>
          <w:color w:val="auto"/>
        </w:rPr>
        <w:t>Short Sales</w:t>
      </w:r>
    </w:p>
    <w:p>
      <w:pPr>
        <w:spacing w:after="0" w:line="225" w:lineRule="exact"/>
        <w:rPr>
          <w:sz w:val="20"/>
          <w:szCs w:val="20"/>
          <w:color w:val="auto"/>
        </w:rPr>
      </w:pPr>
    </w:p>
    <w:p>
      <w:pPr>
        <w:jc w:val="both"/>
        <w:ind w:left="20" w:firstLine="648"/>
        <w:spacing w:after="0" w:line="231" w:lineRule="auto"/>
        <w:rPr>
          <w:sz w:val="20"/>
          <w:szCs w:val="20"/>
          <w:color w:val="auto"/>
        </w:rPr>
      </w:pPr>
      <w:r>
        <w:rPr>
          <w:rFonts w:ascii="Calibri" w:cs="Calibri" w:eastAsia="Calibri" w:hAnsi="Calibri"/>
          <w:sz w:val="20"/>
          <w:szCs w:val="20"/>
          <w:color w:val="auto"/>
        </w:rPr>
        <w:t xml:space="preserve">Short sales of the Company’s securites evidence an expectaton on the part of the seller that the securites will decline in value, and therefore signal to the market that the seller has no confdence in the Company or its short-term prospects. In additon, short sales may reduce the seller’s incentve to improve the Company’s performance. For these reasons, short sales of the Company’s securites are prohibited by this Policy. In additon, Secton 16(c) of the 1934 Act absolutely prohibits Secton 16 reportng persons (i.e., directors, certain ofcers and the Company’s 10% shareholders) from making short sales of the Company’s equity securites, </w:t>
      </w:r>
      <w:r>
        <w:rPr>
          <w:rFonts w:ascii="Calibri" w:cs="Calibri" w:eastAsia="Calibri" w:hAnsi="Calibri"/>
          <w:sz w:val="20"/>
          <w:szCs w:val="20"/>
          <w:i w:val="1"/>
          <w:iCs w:val="1"/>
          <w:color w:val="auto"/>
        </w:rPr>
        <w:t>i.e.</w:t>
      </w:r>
      <w:r>
        <w:rPr>
          <w:rFonts w:ascii="Calibri" w:cs="Calibri" w:eastAsia="Calibri" w:hAnsi="Calibri"/>
          <w:sz w:val="20"/>
          <w:szCs w:val="20"/>
          <w:color w:val="auto"/>
        </w:rPr>
        <w:t>, sales of shares that the insider does not own at the tme of sale, or sales of shares against which the insider does not deliver the shares within 20 days afer the sale.</w:t>
      </w:r>
    </w:p>
    <w:p>
      <w:pPr>
        <w:spacing w:after="0" w:line="222" w:lineRule="exact"/>
        <w:rPr>
          <w:sz w:val="20"/>
          <w:szCs w:val="20"/>
          <w:color w:val="auto"/>
        </w:rPr>
      </w:pPr>
    </w:p>
    <w:p>
      <w:pPr>
        <w:ind w:left="1320" w:hanging="651"/>
        <w:spacing w:after="0"/>
        <w:tabs>
          <w:tab w:leader="none" w:pos="1320" w:val="left"/>
        </w:tabs>
        <w:numPr>
          <w:ilvl w:val="0"/>
          <w:numId w:val="101"/>
        </w:numPr>
        <w:rPr>
          <w:rFonts w:ascii="Calibri" w:cs="Calibri" w:eastAsia="Calibri" w:hAnsi="Calibri"/>
          <w:sz w:val="20"/>
          <w:szCs w:val="20"/>
          <w:color w:val="auto"/>
        </w:rPr>
      </w:pPr>
      <w:r>
        <w:rPr>
          <w:rFonts w:ascii="Calibri" w:cs="Calibri" w:eastAsia="Calibri" w:hAnsi="Calibri"/>
          <w:sz w:val="20"/>
          <w:szCs w:val="20"/>
          <w:u w:val="single" w:color="auto"/>
          <w:color w:val="auto"/>
        </w:rPr>
        <w:t>Optons</w:t>
      </w:r>
    </w:p>
    <w:p>
      <w:pPr>
        <w:spacing w:after="0" w:line="211"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A transacton in optons is, in efect, a bet on the short-term movement of the Company’s shares and therefore creates the appearance that an ofcer, director or employee is trading based on inside informaton. Transactons in optons, whether traded on an exchange, on any other organized market or on an over-the- counter market, also may focus an ofcer’s, director’s or employee’s atenton on short-term performance at the expense of the Company’s long-term objectves. Accordingly, transactons in puts, calls or other derivatve securites involving the Company’s equity securites, on an exchange, on any other organized market or on an over-the-counter market, are prohibited by this Policy.</w:t>
      </w:r>
    </w:p>
    <w:p>
      <w:pPr>
        <w:spacing w:after="0" w:line="215" w:lineRule="exact"/>
        <w:rPr>
          <w:sz w:val="20"/>
          <w:szCs w:val="20"/>
          <w:color w:val="auto"/>
        </w:rPr>
      </w:pPr>
    </w:p>
    <w:p>
      <w:pPr>
        <w:ind w:left="1320" w:hanging="651"/>
        <w:spacing w:after="0"/>
        <w:tabs>
          <w:tab w:leader="none" w:pos="1320" w:val="left"/>
        </w:tabs>
        <w:numPr>
          <w:ilvl w:val="0"/>
          <w:numId w:val="102"/>
        </w:numPr>
        <w:rPr>
          <w:rFonts w:ascii="Calibri" w:cs="Calibri" w:eastAsia="Calibri" w:hAnsi="Calibri"/>
          <w:sz w:val="20"/>
          <w:szCs w:val="20"/>
          <w:color w:val="auto"/>
        </w:rPr>
      </w:pPr>
      <w:r>
        <w:rPr>
          <w:rFonts w:ascii="Calibri" w:cs="Calibri" w:eastAsia="Calibri" w:hAnsi="Calibri"/>
          <w:sz w:val="20"/>
          <w:szCs w:val="20"/>
          <w:u w:val="single" w:color="auto"/>
          <w:color w:val="auto"/>
        </w:rPr>
        <w:t>Hedging Transactons</w:t>
      </w:r>
    </w:p>
    <w:p>
      <w:pPr>
        <w:spacing w:after="0" w:line="211" w:lineRule="exact"/>
        <w:rPr>
          <w:sz w:val="20"/>
          <w:szCs w:val="20"/>
          <w:color w:val="auto"/>
        </w:rPr>
      </w:pPr>
    </w:p>
    <w:p>
      <w:pPr>
        <w:jc w:val="both"/>
        <w:ind w:left="20" w:firstLine="648"/>
        <w:spacing w:after="0" w:line="234" w:lineRule="auto"/>
        <w:rPr>
          <w:sz w:val="20"/>
          <w:szCs w:val="20"/>
          <w:color w:val="auto"/>
        </w:rPr>
      </w:pPr>
      <w:r>
        <w:rPr>
          <w:rFonts w:ascii="Calibri" w:cs="Calibri" w:eastAsia="Calibri" w:hAnsi="Calibri"/>
          <w:sz w:val="20"/>
          <w:szCs w:val="20"/>
          <w:color w:val="auto"/>
        </w:rPr>
        <w:t>Purchasing fnancial instruments, such as prepaid variable forward contracts, equity swaps, collars, and exchange funds, or otherwise engaging in transactons that hedge or ofset, or are designed to hedge or ofset, any decrease in the market value of the Company’s equity securites, may cause an ofcer, director, or employee to no longer have the same objectves as the Company’s other shareholders. Therefore, all such transactons involving the Company’s equity securites, whether such securites were granted as compensaton or are otherwise held, directly or indirectly, are prohibited by this Policy.</w:t>
      </w:r>
    </w:p>
    <w:p>
      <w:pPr>
        <w:spacing w:after="0" w:line="214" w:lineRule="exact"/>
        <w:rPr>
          <w:sz w:val="20"/>
          <w:szCs w:val="20"/>
          <w:color w:val="auto"/>
        </w:rPr>
      </w:pPr>
    </w:p>
    <w:p>
      <w:pPr>
        <w:ind w:left="1340" w:right="400" w:hanging="646"/>
        <w:spacing w:after="0" w:line="234" w:lineRule="auto"/>
        <w:tabs>
          <w:tab w:leader="none" w:pos="1332" w:val="left"/>
        </w:tabs>
        <w:numPr>
          <w:ilvl w:val="0"/>
          <w:numId w:val="103"/>
        </w:numPr>
        <w:rPr>
          <w:rFonts w:ascii="Calibri" w:cs="Calibri" w:eastAsia="Calibri" w:hAnsi="Calibri"/>
          <w:sz w:val="20"/>
          <w:szCs w:val="20"/>
          <w:color w:val="auto"/>
        </w:rPr>
      </w:pPr>
      <w:r>
        <w:rPr>
          <w:rFonts w:ascii="Calibri" w:cs="Calibri" w:eastAsia="Calibri" w:hAnsi="Calibri"/>
          <w:sz w:val="20"/>
          <w:szCs w:val="20"/>
          <w:u w:val="single" w:color="auto"/>
          <w:color w:val="auto"/>
        </w:rPr>
        <w:t>Purchases of the Company’s Securites on Margin; Pledging the Company’s Securites to Secure Margin or Other Loans</w:t>
      </w:r>
    </w:p>
    <w:p>
      <w:pPr>
        <w:spacing w:after="0" w:line="212"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Purchasing on margin means borrowing from a brokerage frm, bank or other entty in order to purchase the Company’s securites (other than in connecton with a cashless exercise of share optons through a broker under the Company’s equity plans). Margin purchases of the Company’s securites are prohibited by this Policy. Pledging the Company’s securites as collateral to secure loans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60"/>
          </w:cols>
          <w:pgMar w:left="400" w:top="1411" w:right="639" w:bottom="1440" w:gutter="0" w:footer="0" w:header="0"/>
        </w:sectPr>
      </w:pPr>
    </w:p>
    <w:bookmarkStart w:id="192" w:name="page193"/>
    <w:bookmarkEnd w:id="192"/>
    <w:p>
      <w:pPr>
        <w:ind w:left="20"/>
        <w:spacing w:after="0" w:line="228" w:lineRule="auto"/>
        <w:rPr>
          <w:sz w:val="20"/>
          <w:szCs w:val="20"/>
          <w:color w:val="auto"/>
        </w:rPr>
      </w:pPr>
      <w:r>
        <w:rPr>
          <w:rFonts w:ascii="Calibri" w:cs="Calibri" w:eastAsia="Calibri" w:hAnsi="Calibri"/>
          <w:sz w:val="20"/>
          <w:szCs w:val="20"/>
          <w:color w:val="auto"/>
        </w:rPr>
        <w:t>This prohibiton means, among other things, that you cannot hold the Company’s securites in a “margin account” (which would allow you to borrow against your holdings to buy securites).</w:t>
      </w:r>
    </w:p>
    <w:p>
      <w:pPr>
        <w:spacing w:after="0" w:line="215" w:lineRule="exact"/>
        <w:rPr>
          <w:sz w:val="20"/>
          <w:szCs w:val="20"/>
          <w:color w:val="auto"/>
        </w:rPr>
      </w:pPr>
    </w:p>
    <w:p>
      <w:pPr>
        <w:ind w:left="1320" w:hanging="651"/>
        <w:spacing w:after="0"/>
        <w:tabs>
          <w:tab w:leader="none" w:pos="1320" w:val="left"/>
        </w:tabs>
        <w:numPr>
          <w:ilvl w:val="0"/>
          <w:numId w:val="104"/>
        </w:numPr>
        <w:rPr>
          <w:rFonts w:ascii="Calibri" w:cs="Calibri" w:eastAsia="Calibri" w:hAnsi="Calibri"/>
          <w:sz w:val="20"/>
          <w:szCs w:val="20"/>
          <w:color w:val="auto"/>
        </w:rPr>
      </w:pPr>
      <w:r>
        <w:rPr>
          <w:rFonts w:ascii="Calibri" w:cs="Calibri" w:eastAsia="Calibri" w:hAnsi="Calibri"/>
          <w:sz w:val="20"/>
          <w:szCs w:val="20"/>
          <w:u w:val="single" w:color="auto"/>
          <w:color w:val="auto"/>
        </w:rPr>
        <w:t>Partnership Distributons</w:t>
      </w:r>
    </w:p>
    <w:p>
      <w:pPr>
        <w:spacing w:after="0" w:line="225" w:lineRule="exact"/>
        <w:rPr>
          <w:sz w:val="20"/>
          <w:szCs w:val="20"/>
          <w:color w:val="auto"/>
        </w:rPr>
      </w:pPr>
    </w:p>
    <w:p>
      <w:pPr>
        <w:jc w:val="both"/>
        <w:ind w:left="20" w:firstLine="648"/>
        <w:spacing w:after="0" w:line="230" w:lineRule="auto"/>
        <w:rPr>
          <w:sz w:val="20"/>
          <w:szCs w:val="20"/>
          <w:color w:val="auto"/>
        </w:rPr>
      </w:pPr>
      <w:r>
        <w:rPr>
          <w:rFonts w:ascii="Calibri" w:cs="Calibri" w:eastAsia="Calibri" w:hAnsi="Calibri"/>
          <w:sz w:val="20"/>
          <w:szCs w:val="20"/>
          <w:color w:val="auto"/>
        </w:rPr>
        <w:t>Nothing in this Policy is intended to limit the ability of a venture capital partnership or other similar entty with which a director is afliated to distribute Company securites to its partners, members or other similar persons. It is the responsibility of each afected director and the afliated entty, in consultaton with their own counsel (as appropriate), to determine the tming of any distributons, based on all relevant facts and circumstances and applicable securites laws.</w:t>
      </w:r>
    </w:p>
    <w:p>
      <w:pPr>
        <w:spacing w:after="0" w:line="215" w:lineRule="exact"/>
        <w:rPr>
          <w:sz w:val="20"/>
          <w:szCs w:val="20"/>
          <w:color w:val="auto"/>
        </w:rPr>
      </w:pPr>
    </w:p>
    <w:p>
      <w:pPr>
        <w:ind w:left="20"/>
        <w:spacing w:after="0"/>
        <w:tabs>
          <w:tab w:leader="none" w:pos="640" w:val="left"/>
        </w:tabs>
        <w:rPr>
          <w:sz w:val="20"/>
          <w:szCs w:val="20"/>
          <w:color w:val="auto"/>
        </w:rPr>
      </w:pPr>
      <w:r>
        <w:rPr>
          <w:rFonts w:ascii="Calibri" w:cs="Calibri" w:eastAsia="Calibri" w:hAnsi="Calibri"/>
          <w:sz w:val="20"/>
          <w:szCs w:val="20"/>
          <w:b w:val="1"/>
          <w:bCs w:val="1"/>
          <w:color w:val="auto"/>
        </w:rPr>
        <w:t>VI.</w:t>
      </w:r>
      <w:r>
        <w:rPr>
          <w:sz w:val="20"/>
          <w:szCs w:val="20"/>
          <w:color w:val="auto"/>
        </w:rPr>
        <w:tab/>
      </w:r>
      <w:r>
        <w:rPr>
          <w:rFonts w:ascii="Calibri" w:cs="Calibri" w:eastAsia="Calibri" w:hAnsi="Calibri"/>
          <w:sz w:val="20"/>
          <w:szCs w:val="20"/>
          <w:b w:val="1"/>
          <w:bCs w:val="1"/>
          <w:color w:val="auto"/>
        </w:rPr>
        <w:t>Rule 10b5-1 Trading Plans</w:t>
      </w:r>
    </w:p>
    <w:p>
      <w:pPr>
        <w:spacing w:after="0" w:line="200" w:lineRule="exact"/>
        <w:rPr>
          <w:sz w:val="20"/>
          <w:szCs w:val="20"/>
          <w:color w:val="auto"/>
        </w:rPr>
      </w:pPr>
    </w:p>
    <w:p>
      <w:pPr>
        <w:spacing w:after="0" w:line="281" w:lineRule="exact"/>
        <w:rPr>
          <w:sz w:val="20"/>
          <w:szCs w:val="20"/>
          <w:color w:val="auto"/>
        </w:rPr>
      </w:pPr>
    </w:p>
    <w:p>
      <w:pPr>
        <w:jc w:val="both"/>
        <w:ind w:left="20" w:firstLine="648"/>
        <w:spacing w:after="0" w:line="234" w:lineRule="auto"/>
        <w:rPr>
          <w:sz w:val="20"/>
          <w:szCs w:val="20"/>
          <w:color w:val="auto"/>
        </w:rPr>
      </w:pPr>
      <w:r>
        <w:rPr>
          <w:rFonts w:ascii="Calibri" w:cs="Calibri" w:eastAsia="Calibri" w:hAnsi="Calibri"/>
          <w:sz w:val="20"/>
          <w:szCs w:val="20"/>
          <w:color w:val="auto"/>
        </w:rPr>
        <w:t>The restrictons in this Policy, except for provisions set forth in the Additonal Prohibited Transactons secton above, do not apply to transactons under a trading plan (a “</w:t>
      </w:r>
      <w:r>
        <w:rPr>
          <w:rFonts w:ascii="Calibri" w:cs="Calibri" w:eastAsia="Calibri" w:hAnsi="Calibri"/>
          <w:sz w:val="20"/>
          <w:szCs w:val="20"/>
          <w:b w:val="1"/>
          <w:bCs w:val="1"/>
          <w:i w:val="1"/>
          <w:iCs w:val="1"/>
          <w:color w:val="auto"/>
        </w:rPr>
        <w:t>Trading Plan</w:t>
      </w:r>
      <w:r>
        <w:rPr>
          <w:rFonts w:ascii="Calibri" w:cs="Calibri" w:eastAsia="Calibri" w:hAnsi="Calibri"/>
          <w:sz w:val="20"/>
          <w:szCs w:val="20"/>
          <w:color w:val="auto"/>
        </w:rPr>
        <w:t>”) that satsfes either:</w:t>
      </w:r>
    </w:p>
    <w:p>
      <w:pPr>
        <w:spacing w:after="0" w:line="216" w:lineRule="exact"/>
        <w:rPr>
          <w:sz w:val="20"/>
          <w:szCs w:val="20"/>
          <w:color w:val="auto"/>
        </w:rPr>
      </w:pPr>
    </w:p>
    <w:p>
      <w:pPr>
        <w:ind w:left="1300" w:hanging="307"/>
        <w:spacing w:after="0"/>
        <w:tabs>
          <w:tab w:leader="none" w:pos="1300" w:val="left"/>
        </w:tabs>
        <w:numPr>
          <w:ilvl w:val="0"/>
          <w:numId w:val="10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conditons of Rule 10b5-1; or</w:t>
      </w:r>
    </w:p>
    <w:p>
      <w:pPr>
        <w:spacing w:after="0" w:line="228"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105"/>
        </w:numPr>
        <w:rPr>
          <w:rFonts w:ascii="Times New Roman" w:cs="Times New Roman" w:eastAsia="Times New Roman" w:hAnsi="Times New Roman"/>
          <w:sz w:val="20"/>
          <w:szCs w:val="20"/>
          <w:color w:val="auto"/>
        </w:rPr>
      </w:pPr>
      <w:r>
        <w:rPr>
          <w:rFonts w:ascii="Calibri" w:cs="Calibri" w:eastAsia="Calibri" w:hAnsi="Calibri"/>
          <w:sz w:val="20"/>
          <w:szCs w:val="20"/>
          <w:color w:val="auto"/>
        </w:rPr>
        <w:t>the elements of a non-Rule 10b5-1 trading arrangement as defned in Item 408(c) of Regulaton S-K; and</w:t>
      </w:r>
    </w:p>
    <w:p>
      <w:pPr>
        <w:spacing w:after="0" w:line="214" w:lineRule="exact"/>
        <w:rPr>
          <w:rFonts w:ascii="Times New Roman" w:cs="Times New Roman" w:eastAsia="Times New Roman" w:hAnsi="Times New Roman"/>
          <w:sz w:val="20"/>
          <w:szCs w:val="20"/>
          <w:color w:val="auto"/>
        </w:rPr>
      </w:pPr>
    </w:p>
    <w:p>
      <w:pPr>
        <w:ind w:left="1300" w:hanging="307"/>
        <w:spacing w:after="0"/>
        <w:tabs>
          <w:tab w:leader="none" w:pos="1300" w:val="left"/>
        </w:tabs>
        <w:numPr>
          <w:ilvl w:val="0"/>
          <w:numId w:val="105"/>
        </w:numPr>
        <w:rPr>
          <w:rFonts w:ascii="Times New Roman" w:cs="Times New Roman" w:eastAsia="Times New Roman" w:hAnsi="Times New Roman"/>
          <w:sz w:val="20"/>
          <w:szCs w:val="20"/>
          <w:color w:val="auto"/>
        </w:rPr>
      </w:pPr>
      <w:r>
        <w:rPr>
          <w:rFonts w:ascii="Calibri" w:cs="Calibri" w:eastAsia="Calibri" w:hAnsi="Calibri"/>
          <w:sz w:val="20"/>
          <w:szCs w:val="20"/>
          <w:color w:val="auto"/>
        </w:rPr>
        <w:t>either the General Counsel or Chief Executve Ofcer has pre-approved.</w:t>
      </w:r>
    </w:p>
    <w:p>
      <w:pPr>
        <w:spacing w:after="0" w:line="225" w:lineRule="exact"/>
        <w:rPr>
          <w:sz w:val="20"/>
          <w:szCs w:val="20"/>
          <w:color w:val="auto"/>
        </w:rPr>
      </w:pPr>
    </w:p>
    <w:p>
      <w:pPr>
        <w:jc w:val="both"/>
        <w:ind w:left="60" w:firstLine="638"/>
        <w:spacing w:after="0" w:line="234" w:lineRule="auto"/>
        <w:rPr>
          <w:sz w:val="20"/>
          <w:szCs w:val="20"/>
          <w:color w:val="auto"/>
        </w:rPr>
      </w:pPr>
      <w:r>
        <w:rPr>
          <w:rFonts w:ascii="Calibri" w:cs="Calibri" w:eastAsia="Calibri" w:hAnsi="Calibri"/>
          <w:sz w:val="20"/>
          <w:szCs w:val="20"/>
          <w:color w:val="auto"/>
        </w:rPr>
        <w:t>The General Counsel or Chief Executve Ofcer may impose such other conditons on the implementaton and operaton of a Trading Plan as they deem necessary or advisable.</w:t>
      </w:r>
    </w:p>
    <w:p>
      <w:pPr>
        <w:spacing w:after="0" w:line="212" w:lineRule="exact"/>
        <w:rPr>
          <w:sz w:val="20"/>
          <w:szCs w:val="20"/>
          <w:color w:val="auto"/>
        </w:rPr>
      </w:pPr>
    </w:p>
    <w:p>
      <w:pPr>
        <w:jc w:val="both"/>
        <w:ind w:left="60" w:firstLine="638"/>
        <w:spacing w:after="0" w:line="231" w:lineRule="auto"/>
        <w:rPr>
          <w:sz w:val="20"/>
          <w:szCs w:val="20"/>
          <w:color w:val="auto"/>
        </w:rPr>
      </w:pPr>
      <w:r>
        <w:rPr>
          <w:rFonts w:ascii="Calibri" w:cs="Calibri" w:eastAsia="Calibri" w:hAnsi="Calibri"/>
          <w:sz w:val="20"/>
          <w:szCs w:val="20"/>
          <w:color w:val="auto"/>
        </w:rPr>
        <w:t>An individual may only modify a Trading Plan outside of a blackout period and, in any event, where the individual does not possess material nonpublic informaton. Modifcatons to and early terminatons of a Trading Plan are subject to pre-approval by the General Counsel or Chief Executve Ofcer.</w:t>
      </w:r>
    </w:p>
    <w:p>
      <w:pPr>
        <w:spacing w:after="0" w:line="227" w:lineRule="exact"/>
        <w:rPr>
          <w:sz w:val="20"/>
          <w:szCs w:val="20"/>
          <w:color w:val="auto"/>
        </w:rPr>
      </w:pPr>
    </w:p>
    <w:p>
      <w:pPr>
        <w:jc w:val="both"/>
        <w:ind w:left="60" w:firstLine="638"/>
        <w:spacing w:after="0" w:line="231" w:lineRule="auto"/>
        <w:rPr>
          <w:sz w:val="20"/>
          <w:szCs w:val="20"/>
          <w:color w:val="auto"/>
        </w:rPr>
      </w:pPr>
      <w:r>
        <w:rPr>
          <w:rFonts w:ascii="Calibri" w:cs="Calibri" w:eastAsia="Calibri" w:hAnsi="Calibri"/>
          <w:sz w:val="20"/>
          <w:szCs w:val="20"/>
          <w:color w:val="auto"/>
        </w:rPr>
        <w:t>The Company also reserves the right from tme to tme to suspend, discontnue, or otherwise prohibit transactons under a Trading Plan in the General Counsel, Chief Executve Ofcer, or the Board of Directors, in its or their discreton, determines that such suspension, discontnuaton, or other prohibiton is in the best interests of the Company.</w:t>
      </w:r>
    </w:p>
    <w:p>
      <w:pPr>
        <w:spacing w:after="0" w:line="227" w:lineRule="exact"/>
        <w:rPr>
          <w:sz w:val="20"/>
          <w:szCs w:val="20"/>
          <w:color w:val="auto"/>
        </w:rPr>
      </w:pPr>
    </w:p>
    <w:p>
      <w:pPr>
        <w:jc w:val="both"/>
        <w:ind w:left="60" w:firstLine="638"/>
        <w:spacing w:after="0" w:line="231" w:lineRule="auto"/>
        <w:rPr>
          <w:sz w:val="20"/>
          <w:szCs w:val="20"/>
          <w:color w:val="auto"/>
        </w:rPr>
      </w:pPr>
      <w:r>
        <w:rPr>
          <w:rFonts w:ascii="Calibri" w:cs="Calibri" w:eastAsia="Calibri" w:hAnsi="Calibri"/>
          <w:sz w:val="20"/>
          <w:szCs w:val="20"/>
          <w:color w:val="auto"/>
        </w:rPr>
        <w:t>Compliance of a Trading Plan with the terms of Rule 10b5-1 and the executon of transactons pursuant to the Trading Plan are the sole responsibility of the person initatng the Trading Plan, and none of the Company, the General Counsel, Chief Executve Ofcer, or the Company’s other employees assumes any liability for any delay in reviewing and/or refusing to approve a Trading Plan submited for approval, nor the legality or consequences relatng to a person entering into, informing the Company of, or trading under, a Trading Plan.</w:t>
      </w:r>
    </w:p>
    <w:p>
      <w:pPr>
        <w:spacing w:after="0" w:line="200" w:lineRule="exact"/>
        <w:rPr>
          <w:sz w:val="20"/>
          <w:szCs w:val="20"/>
          <w:color w:val="auto"/>
        </w:rPr>
      </w:pPr>
    </w:p>
    <w:p>
      <w:pPr>
        <w:spacing w:after="0" w:line="316" w:lineRule="exact"/>
        <w:rPr>
          <w:sz w:val="20"/>
          <w:szCs w:val="20"/>
          <w:color w:val="auto"/>
        </w:rPr>
      </w:pPr>
    </w:p>
    <w:p>
      <w:pPr>
        <w:ind w:left="1320" w:hanging="651"/>
        <w:spacing w:after="0"/>
        <w:tabs>
          <w:tab w:leader="none" w:pos="1320" w:val="left"/>
        </w:tabs>
        <w:numPr>
          <w:ilvl w:val="0"/>
          <w:numId w:val="106"/>
        </w:numPr>
        <w:rPr>
          <w:rFonts w:ascii="Calibri" w:cs="Calibri" w:eastAsia="Calibri" w:hAnsi="Calibri"/>
          <w:sz w:val="20"/>
          <w:szCs w:val="20"/>
          <w:color w:val="auto"/>
        </w:rPr>
      </w:pPr>
      <w:r>
        <w:rPr>
          <w:rFonts w:ascii="Calibri" w:cs="Calibri" w:eastAsia="Calibri" w:hAnsi="Calibri"/>
          <w:sz w:val="20"/>
          <w:szCs w:val="20"/>
          <w:u w:val="single" w:color="auto"/>
          <w:color w:val="auto"/>
        </w:rPr>
        <w:t>Overview and Pre-Approval Process</w:t>
      </w:r>
    </w:p>
    <w:p>
      <w:pPr>
        <w:spacing w:after="0" w:line="225" w:lineRule="exact"/>
        <w:rPr>
          <w:sz w:val="20"/>
          <w:szCs w:val="20"/>
          <w:color w:val="auto"/>
        </w:rPr>
      </w:pPr>
    </w:p>
    <w:p>
      <w:pPr>
        <w:jc w:val="both"/>
        <w:ind w:left="20" w:firstLine="648"/>
        <w:spacing w:after="0" w:line="231" w:lineRule="auto"/>
        <w:rPr>
          <w:sz w:val="20"/>
          <w:szCs w:val="20"/>
          <w:color w:val="auto"/>
        </w:rPr>
      </w:pPr>
      <w:r>
        <w:rPr>
          <w:rFonts w:ascii="Calibri" w:cs="Calibri" w:eastAsia="Calibri" w:hAnsi="Calibri"/>
          <w:sz w:val="20"/>
          <w:szCs w:val="20"/>
          <w:color w:val="auto"/>
        </w:rPr>
        <w:t>Rule 10b5-1 presents an opportunity for insiders to establish arrangements to sell (or purchase) Company shares without the restrictons of trading windows and black-out periods, even when there is undisclosed material informaton. Rule 10b5-1 will protect directors, ofcers and employees from insider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60"/>
          </w:cols>
          <w:pgMar w:left="400" w:top="1411" w:right="639" w:bottom="1440" w:gutter="0" w:footer="0" w:header="0"/>
        </w:sectPr>
      </w:pPr>
    </w:p>
    <w:bookmarkStart w:id="193" w:name="page194"/>
    <w:bookmarkEnd w:id="193"/>
    <w:p>
      <w:pPr>
        <w:jc w:val="both"/>
        <w:ind w:left="20"/>
        <w:spacing w:after="0" w:line="231" w:lineRule="auto"/>
        <w:rPr>
          <w:sz w:val="20"/>
          <w:szCs w:val="20"/>
          <w:color w:val="auto"/>
        </w:rPr>
      </w:pPr>
      <w:r>
        <w:rPr>
          <w:rFonts w:ascii="Calibri" w:cs="Calibri" w:eastAsia="Calibri" w:hAnsi="Calibri"/>
          <w:sz w:val="20"/>
          <w:szCs w:val="20"/>
          <w:color w:val="auto"/>
        </w:rPr>
        <w:t>trading liability under Rule 10b5-1 for transactons under a previously established contract, plan or instructon to trade in the Company’s shares entered into and conducted in good faith and in accordance with the terms of Rule 10b5-1 (a “</w:t>
      </w:r>
      <w:r>
        <w:rPr>
          <w:rFonts w:ascii="Calibri" w:cs="Calibri" w:eastAsia="Calibri" w:hAnsi="Calibri"/>
          <w:sz w:val="20"/>
          <w:szCs w:val="20"/>
          <w:b w:val="1"/>
          <w:bCs w:val="1"/>
          <w:i w:val="1"/>
          <w:iCs w:val="1"/>
          <w:color w:val="auto"/>
        </w:rPr>
        <w:t>Trading Plan</w:t>
      </w:r>
      <w:r>
        <w:rPr>
          <w:rFonts w:ascii="Calibri" w:cs="Calibri" w:eastAsia="Calibri" w:hAnsi="Calibri"/>
          <w:sz w:val="20"/>
          <w:szCs w:val="20"/>
          <w:color w:val="auto"/>
        </w:rPr>
        <w:t>”) and will be exempt from the trading restrictons set forth in this Policy.</w:t>
      </w:r>
    </w:p>
    <w:p>
      <w:pPr>
        <w:spacing w:after="0" w:line="105"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Each such Trading Plan, and any proposed modifcaton or terminaton thereof, must be submited to and pre-approved by the Chief Executve Ofcer or the General Counsel, or such other person as the Board of Directors may designate from tme to tme (the “</w:t>
      </w:r>
      <w:r>
        <w:rPr>
          <w:rFonts w:ascii="Calibri" w:cs="Calibri" w:eastAsia="Calibri" w:hAnsi="Calibri"/>
          <w:sz w:val="20"/>
          <w:szCs w:val="20"/>
          <w:b w:val="1"/>
          <w:bCs w:val="1"/>
          <w:i w:val="1"/>
          <w:iCs w:val="1"/>
          <w:color w:val="auto"/>
        </w:rPr>
        <w:t>Authorizing Ofcer</w:t>
      </w:r>
      <w:r>
        <w:rPr>
          <w:rFonts w:ascii="Calibri" w:cs="Calibri" w:eastAsia="Calibri" w:hAnsi="Calibri"/>
          <w:sz w:val="20"/>
          <w:szCs w:val="20"/>
          <w:color w:val="auto"/>
        </w:rPr>
        <w:t>”), who may impose such conditons on the implementaton and operaton of the Trading Plan as the Authorizing Ofcer deems necessary or advisable. However, compliance of the Trading Plan to the terms of Rule 10b5-1 and the executon of transactons pursuant to the Trading Plan are the sole responsibility of the person initatng the Trading Plan, not the Company or the Authorizing Ofcer.</w:t>
      </w:r>
    </w:p>
    <w:p>
      <w:pPr>
        <w:spacing w:after="0" w:line="117" w:lineRule="exact"/>
        <w:rPr>
          <w:sz w:val="20"/>
          <w:szCs w:val="20"/>
          <w:color w:val="auto"/>
        </w:rPr>
      </w:pPr>
    </w:p>
    <w:p>
      <w:pPr>
        <w:ind w:left="20" w:right="20" w:firstLine="648"/>
        <w:spacing w:after="0" w:line="231" w:lineRule="auto"/>
        <w:rPr>
          <w:sz w:val="20"/>
          <w:szCs w:val="20"/>
          <w:color w:val="auto"/>
        </w:rPr>
      </w:pPr>
      <w:r>
        <w:rPr>
          <w:rFonts w:ascii="Calibri" w:cs="Calibri" w:eastAsia="Calibri" w:hAnsi="Calibri"/>
          <w:sz w:val="20"/>
          <w:szCs w:val="20"/>
          <w:b w:val="1"/>
          <w:bCs w:val="1"/>
          <w:color w:val="auto"/>
        </w:rPr>
        <w:t>Trading Plans do not exempt individuals from complying with Secton 16 reportng obligatons or from short-swing proft rules or liability. Furthermore, Trading Plans only provide an “afrmatve defense” in the event there is an insider trading lawsuit. It does not prevent someone from bringing a lawsuit.</w:t>
      </w:r>
    </w:p>
    <w:p>
      <w:pPr>
        <w:spacing w:after="0" w:line="119" w:lineRule="exact"/>
        <w:rPr>
          <w:sz w:val="20"/>
          <w:szCs w:val="20"/>
          <w:color w:val="auto"/>
        </w:rPr>
      </w:pPr>
    </w:p>
    <w:p>
      <w:pPr>
        <w:jc w:val="both"/>
        <w:ind w:left="20" w:firstLine="648"/>
        <w:spacing w:after="0" w:line="228" w:lineRule="auto"/>
        <w:rPr>
          <w:sz w:val="20"/>
          <w:szCs w:val="20"/>
          <w:color w:val="auto"/>
        </w:rPr>
      </w:pPr>
      <w:r>
        <w:rPr>
          <w:rFonts w:ascii="Calibri" w:cs="Calibri" w:eastAsia="Calibri" w:hAnsi="Calibri"/>
          <w:sz w:val="20"/>
          <w:szCs w:val="20"/>
          <w:color w:val="auto"/>
        </w:rPr>
        <w:t>A director or employee may enter into a Trading Plan only in good faith and only when he or she is not in possession of inside informaton and only during a trading window period outside of a black-out period.</w:t>
      </w:r>
    </w:p>
    <w:p>
      <w:pPr>
        <w:spacing w:after="0" w:line="117" w:lineRule="exact"/>
        <w:rPr>
          <w:sz w:val="20"/>
          <w:szCs w:val="20"/>
          <w:color w:val="auto"/>
        </w:rPr>
      </w:pPr>
    </w:p>
    <w:p>
      <w:pPr>
        <w:jc w:val="both"/>
        <w:ind w:left="20" w:firstLine="648"/>
        <w:spacing w:after="0" w:line="230" w:lineRule="auto"/>
        <w:rPr>
          <w:sz w:val="20"/>
          <w:szCs w:val="20"/>
          <w:color w:val="auto"/>
        </w:rPr>
      </w:pPr>
      <w:r>
        <w:rPr>
          <w:rFonts w:ascii="Calibri" w:cs="Calibri" w:eastAsia="Calibri" w:hAnsi="Calibri"/>
          <w:sz w:val="20"/>
          <w:szCs w:val="20"/>
          <w:color w:val="auto"/>
        </w:rPr>
        <w:t>Although transactons efected under a Trading Plan will not require further pre-clearance at the tme of the trade, any transacton (including the quantty and price) made pursuant to a Trading Plan of a Secton 16 reportng person must be reported to the Company promptly on the day of each trade to permit the Company’s fling coordinator to assist in the preparaton and fling of a required Form 4. However, the ultmate responsibility, and liability, for tmely fling remains with the Secton 16 reportng person.</w:t>
      </w:r>
    </w:p>
    <w:p>
      <w:pPr>
        <w:spacing w:after="0" w:line="117"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The Company reserves the right from tme to tme to suspend, discontnue or otherwise prohibit any transacton in the Company’s securites, even pursuant to a previously approved Trading Plan, if the Authorizing Ofcer or the Board of Directors, in its discreton, determines that such suspension, discontnuaton or other prohibiton is in the best interests of the Company. Any Trading Plan submited for approval hereunder should explicitly acknowledge the Company’s right to prohibit transactons in the Company’s securites. Failure to discontnue purchases and sales as directed shall consttute a violaton of the terms of this Secton VI and result in a loss of the exempton set forth herein.</w:t>
      </w:r>
    </w:p>
    <w:p>
      <w:pPr>
        <w:spacing w:after="0" w:line="117"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Ofcers, directors and employees may adopt Trading Plans with brokers that outline a pre-set plan for trading of the Company’s securites, including the exercise of optons. Trades pursuant to a Trading Plan generally may occur at any tme. However, the Trading Plan must include a minimum “cooling-of period” between the establishment of a Trading Plan and commencement of any transactons under such plan for:</w:t>
      </w:r>
    </w:p>
    <w:p>
      <w:pPr>
        <w:spacing w:after="0" w:line="118" w:lineRule="exact"/>
        <w:rPr>
          <w:sz w:val="20"/>
          <w:szCs w:val="20"/>
          <w:color w:val="auto"/>
        </w:rPr>
      </w:pPr>
    </w:p>
    <w:p>
      <w:pPr>
        <w:jc w:val="both"/>
        <w:ind w:left="1000" w:hanging="331"/>
        <w:spacing w:after="0" w:line="231" w:lineRule="auto"/>
        <w:tabs>
          <w:tab w:leader="none" w:pos="988" w:val="left"/>
        </w:tabs>
        <w:numPr>
          <w:ilvl w:val="0"/>
          <w:numId w:val="107"/>
        </w:numPr>
        <w:rPr>
          <w:rFonts w:ascii="Times New Roman" w:cs="Times New Roman" w:eastAsia="Times New Roman" w:hAnsi="Times New Roman"/>
          <w:sz w:val="20"/>
          <w:szCs w:val="20"/>
          <w:color w:val="auto"/>
        </w:rPr>
      </w:pPr>
      <w:r>
        <w:rPr>
          <w:rFonts w:ascii="Calibri" w:cs="Calibri" w:eastAsia="Calibri" w:hAnsi="Calibri"/>
          <w:sz w:val="20"/>
          <w:szCs w:val="20"/>
          <w:color w:val="auto"/>
        </w:rPr>
        <w:t>Secton 16 reportng persons that extends to the later of 90 days afer adopton or modifcaton of a Trading Plan or two business days afer fling the Form 10-K or Form 10-Q covering the fscal quarter in which the Trading Plan was adopted or modifed, as applicable, up to a maximum of 120 days; and</w:t>
      </w:r>
    </w:p>
    <w:p>
      <w:pPr>
        <w:spacing w:after="0" w:line="24" w:lineRule="exact"/>
        <w:rPr>
          <w:rFonts w:ascii="Times New Roman" w:cs="Times New Roman" w:eastAsia="Times New Roman" w:hAnsi="Times New Roman"/>
          <w:sz w:val="20"/>
          <w:szCs w:val="20"/>
          <w:color w:val="auto"/>
        </w:rPr>
      </w:pPr>
    </w:p>
    <w:p>
      <w:pPr>
        <w:ind w:left="1000" w:hanging="331"/>
        <w:spacing w:after="0" w:line="228" w:lineRule="auto"/>
        <w:tabs>
          <w:tab w:leader="none" w:pos="988" w:val="left"/>
        </w:tabs>
        <w:numPr>
          <w:ilvl w:val="0"/>
          <w:numId w:val="107"/>
        </w:numPr>
        <w:rPr>
          <w:rFonts w:ascii="Times New Roman" w:cs="Times New Roman" w:eastAsia="Times New Roman" w:hAnsi="Times New Roman"/>
          <w:sz w:val="20"/>
          <w:szCs w:val="20"/>
          <w:color w:val="auto"/>
        </w:rPr>
      </w:pPr>
      <w:r>
        <w:rPr>
          <w:rFonts w:ascii="Calibri" w:cs="Calibri" w:eastAsia="Calibri" w:hAnsi="Calibri"/>
          <w:sz w:val="20"/>
          <w:szCs w:val="20"/>
          <w:color w:val="auto"/>
        </w:rPr>
        <w:t>employees who are not Secton 16 reportng persons and any other persons, other than the Company, that extends 30 days afer adopton or modifcaton of a Trading Plan.</w:t>
      </w:r>
    </w:p>
    <w:p>
      <w:pPr>
        <w:spacing w:after="0" w:line="215" w:lineRule="exact"/>
        <w:rPr>
          <w:sz w:val="20"/>
          <w:szCs w:val="20"/>
          <w:color w:val="auto"/>
        </w:rPr>
      </w:pPr>
    </w:p>
    <w:p>
      <w:pPr>
        <w:ind w:left="1320" w:hanging="651"/>
        <w:spacing w:after="0"/>
        <w:tabs>
          <w:tab w:leader="none" w:pos="1320" w:val="left"/>
        </w:tabs>
        <w:numPr>
          <w:ilvl w:val="0"/>
          <w:numId w:val="108"/>
        </w:numPr>
        <w:rPr>
          <w:rFonts w:ascii="Calibri" w:cs="Calibri" w:eastAsia="Calibri" w:hAnsi="Calibri"/>
          <w:sz w:val="20"/>
          <w:szCs w:val="20"/>
          <w:color w:val="auto"/>
        </w:rPr>
      </w:pPr>
      <w:r>
        <w:rPr>
          <w:rFonts w:ascii="Calibri" w:cs="Calibri" w:eastAsia="Calibri" w:hAnsi="Calibri"/>
          <w:sz w:val="20"/>
          <w:szCs w:val="20"/>
          <w:u w:val="single" w:color="auto"/>
          <w:color w:val="auto"/>
        </w:rPr>
        <w:t>Terminatons of and Modifcatons to Trading Plans</w:t>
      </w:r>
    </w:p>
    <w:p>
      <w:pPr>
        <w:spacing w:after="0" w:line="225" w:lineRule="exact"/>
        <w:rPr>
          <w:sz w:val="20"/>
          <w:szCs w:val="20"/>
          <w:color w:val="auto"/>
        </w:rPr>
      </w:pPr>
    </w:p>
    <w:p>
      <w:pPr>
        <w:ind w:left="20" w:firstLine="648"/>
        <w:spacing w:after="0" w:line="228" w:lineRule="auto"/>
        <w:rPr>
          <w:sz w:val="20"/>
          <w:szCs w:val="20"/>
          <w:color w:val="auto"/>
        </w:rPr>
      </w:pPr>
      <w:r>
        <w:rPr>
          <w:rFonts w:ascii="Calibri" w:cs="Calibri" w:eastAsia="Calibri" w:hAnsi="Calibri"/>
          <w:sz w:val="20"/>
          <w:szCs w:val="20"/>
          <w:color w:val="auto"/>
        </w:rPr>
        <w:t>Terminatons of Trading Plans should occur only in unusual circumstances and only if the person terminatng the plan is actng in good faith. Efectveness of any terminaton or modifcaton of a Trading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60"/>
          </w:cols>
          <w:pgMar w:left="400" w:top="1411" w:right="639" w:bottom="1440" w:gutter="0" w:footer="0" w:header="0"/>
        </w:sectPr>
      </w:pPr>
    </w:p>
    <w:bookmarkStart w:id="194" w:name="page195"/>
    <w:bookmarkEnd w:id="194"/>
    <w:p>
      <w:pPr>
        <w:jc w:val="both"/>
        <w:ind w:left="20" w:right="20"/>
        <w:spacing w:after="0" w:line="228" w:lineRule="auto"/>
        <w:rPr>
          <w:sz w:val="20"/>
          <w:szCs w:val="20"/>
          <w:color w:val="auto"/>
        </w:rPr>
      </w:pPr>
      <w:r>
        <w:rPr>
          <w:rFonts w:ascii="Calibri" w:cs="Calibri" w:eastAsia="Calibri" w:hAnsi="Calibri"/>
          <w:sz w:val="20"/>
          <w:szCs w:val="20"/>
          <w:color w:val="auto"/>
        </w:rPr>
        <w:t>Plan will be subject to the prior review and approval of the Authorizing Ofcer. Terminaton is efected upon writen notce to the broker.</w:t>
      </w:r>
    </w:p>
    <w:p>
      <w:pPr>
        <w:spacing w:after="0" w:line="225" w:lineRule="exact"/>
        <w:rPr>
          <w:sz w:val="20"/>
          <w:szCs w:val="20"/>
          <w:color w:val="auto"/>
        </w:rPr>
      </w:pPr>
    </w:p>
    <w:p>
      <w:pPr>
        <w:jc w:val="both"/>
        <w:ind w:left="20" w:firstLine="648"/>
        <w:spacing w:after="0" w:line="231" w:lineRule="auto"/>
        <w:rPr>
          <w:sz w:val="20"/>
          <w:szCs w:val="20"/>
          <w:color w:val="auto"/>
        </w:rPr>
      </w:pPr>
      <w:r>
        <w:rPr>
          <w:rFonts w:ascii="Calibri" w:cs="Calibri" w:eastAsia="Calibri" w:hAnsi="Calibri"/>
          <w:sz w:val="20"/>
          <w:szCs w:val="20"/>
          <w:color w:val="auto"/>
        </w:rPr>
        <w:t>A person actng in good faith may modify a prior Trading Plan so long as such modifcatons are made outside of a quarterly trading black-out period and at a tme when the Trading Plan partcipant does not possess material, non-public informaton. Modifcatons to a Trading Plan are subject to the prior review and pre-approval by the Authorizing Ofcer and modifcatons of a Trading Plan that change the amount, price, or tming of the purchase or sale of the securites underlying a Trading Plan will trigger a new cooling-of period (as described in Secton VI.A above).</w:t>
      </w:r>
    </w:p>
    <w:p>
      <w:pPr>
        <w:spacing w:after="0" w:line="229"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 xml:space="preserve">Under certain circumstances, a Trading Plan </w:t>
      </w:r>
      <w:r>
        <w:rPr>
          <w:rFonts w:ascii="Calibri" w:cs="Calibri" w:eastAsia="Calibri" w:hAnsi="Calibri"/>
          <w:sz w:val="20"/>
          <w:szCs w:val="20"/>
          <w:i w:val="1"/>
          <w:iCs w:val="1"/>
          <w:color w:val="auto"/>
        </w:rPr>
        <w:t>must</w:t>
      </w:r>
      <w:r>
        <w:rPr>
          <w:rFonts w:ascii="Calibri" w:cs="Calibri" w:eastAsia="Calibri" w:hAnsi="Calibri"/>
          <w:sz w:val="20"/>
          <w:szCs w:val="20"/>
          <w:color w:val="auto"/>
        </w:rPr>
        <w:t xml:space="preserve"> be terminated. This may include circumstances such as the announcement of a merger or the occurrence of an event that would cause the transacton either to violate the law or to have an adverse efect on the Company. The Authorizing Ofcer or administrator of the Company’s share plans is authorized to notfy the broker in such circumstances, thereby insulatng the insider in the event of terminaton.</w:t>
      </w:r>
    </w:p>
    <w:p>
      <w:pPr>
        <w:spacing w:after="0" w:line="203" w:lineRule="exact"/>
        <w:rPr>
          <w:sz w:val="20"/>
          <w:szCs w:val="20"/>
          <w:color w:val="auto"/>
        </w:rPr>
      </w:pPr>
    </w:p>
    <w:p>
      <w:pPr>
        <w:ind w:left="1320" w:hanging="651"/>
        <w:spacing w:after="0"/>
        <w:tabs>
          <w:tab w:leader="none" w:pos="1320" w:val="left"/>
        </w:tabs>
        <w:numPr>
          <w:ilvl w:val="0"/>
          <w:numId w:val="109"/>
        </w:numPr>
        <w:rPr>
          <w:rFonts w:ascii="Calibri" w:cs="Calibri" w:eastAsia="Calibri" w:hAnsi="Calibri"/>
          <w:sz w:val="20"/>
          <w:szCs w:val="20"/>
          <w:color w:val="auto"/>
        </w:rPr>
      </w:pPr>
      <w:r>
        <w:rPr>
          <w:rFonts w:ascii="Calibri" w:cs="Calibri" w:eastAsia="Calibri" w:hAnsi="Calibri"/>
          <w:sz w:val="20"/>
          <w:szCs w:val="20"/>
          <w:u w:val="single" w:color="auto"/>
          <w:color w:val="auto"/>
        </w:rPr>
        <w:t>Public Disclosure</w:t>
      </w:r>
    </w:p>
    <w:p>
      <w:pPr>
        <w:spacing w:after="0" w:line="103" w:lineRule="exact"/>
        <w:rPr>
          <w:sz w:val="20"/>
          <w:szCs w:val="20"/>
          <w:color w:val="auto"/>
        </w:rPr>
      </w:pPr>
    </w:p>
    <w:p>
      <w:pPr>
        <w:jc w:val="both"/>
        <w:ind w:left="20" w:firstLine="648"/>
        <w:spacing w:after="0" w:line="227" w:lineRule="auto"/>
        <w:rPr>
          <w:sz w:val="20"/>
          <w:szCs w:val="20"/>
          <w:color w:val="auto"/>
        </w:rPr>
      </w:pPr>
      <w:r>
        <w:rPr>
          <w:rFonts w:ascii="Calibri" w:cs="Calibri" w:eastAsia="Calibri" w:hAnsi="Calibri"/>
          <w:sz w:val="20"/>
          <w:szCs w:val="20"/>
          <w:color w:val="auto"/>
        </w:rPr>
        <w:t>The Company reserves the right to publicly disclose, announce, or respond to inquiries from the media regarding the adopton, modifcaton, or terminaton of a Trading Plan and non-Rule 10b5-1 trading arrangements, or the executon of transactons made under a Trading Plan.</w:t>
      </w:r>
    </w:p>
    <w:p>
      <w:pPr>
        <w:spacing w:after="0" w:line="108" w:lineRule="exact"/>
        <w:rPr>
          <w:sz w:val="20"/>
          <w:szCs w:val="20"/>
          <w:color w:val="auto"/>
        </w:rPr>
      </w:pPr>
    </w:p>
    <w:p>
      <w:pPr>
        <w:ind w:left="1320" w:hanging="651"/>
        <w:spacing w:after="0"/>
        <w:tabs>
          <w:tab w:leader="none" w:pos="1320" w:val="left"/>
        </w:tabs>
        <w:numPr>
          <w:ilvl w:val="0"/>
          <w:numId w:val="110"/>
        </w:numPr>
        <w:rPr>
          <w:rFonts w:ascii="Calibri" w:cs="Calibri" w:eastAsia="Calibri" w:hAnsi="Calibri"/>
          <w:sz w:val="20"/>
          <w:szCs w:val="20"/>
          <w:color w:val="auto"/>
        </w:rPr>
      </w:pPr>
      <w:r>
        <w:rPr>
          <w:rFonts w:ascii="Calibri" w:cs="Calibri" w:eastAsia="Calibri" w:hAnsi="Calibri"/>
          <w:sz w:val="20"/>
          <w:szCs w:val="20"/>
          <w:u w:val="single" w:color="auto"/>
          <w:color w:val="auto"/>
        </w:rPr>
        <w:t>Limitaton on Liability</w:t>
      </w:r>
    </w:p>
    <w:p>
      <w:pPr>
        <w:spacing w:after="0" w:line="103" w:lineRule="exact"/>
        <w:rPr>
          <w:sz w:val="20"/>
          <w:szCs w:val="20"/>
          <w:color w:val="auto"/>
        </w:rPr>
      </w:pPr>
    </w:p>
    <w:p>
      <w:pPr>
        <w:jc w:val="both"/>
        <w:ind w:left="20" w:firstLine="648"/>
        <w:spacing w:after="0" w:line="233" w:lineRule="auto"/>
        <w:rPr>
          <w:sz w:val="20"/>
          <w:szCs w:val="20"/>
          <w:color w:val="auto"/>
        </w:rPr>
      </w:pPr>
      <w:r>
        <w:rPr>
          <w:rFonts w:ascii="Calibri" w:cs="Calibri" w:eastAsia="Calibri" w:hAnsi="Calibri"/>
          <w:sz w:val="20"/>
          <w:szCs w:val="20"/>
          <w:color w:val="auto"/>
        </w:rPr>
        <w:t>None of the Company, the Chief Executve Ofcer, General Counsel, the Authorizing Ofcer, the Company’s other employees or any other person will have any liability for any delay in reviewing, or refusal of, a Trading Plan submited pursuant to this Secton VI or a request for pre-clearance submited pursuant to Secton IV of this Policy. Notwithstanding any review of a Trading Plan pursuant to this Secton VI or pre-clearance of a transacton pursuant to Secton IV of this Policy, none of the Company, General Counsel, the Authorizing Ofcer, the Company’s other employees or any other person assumes any liability for the legality or consequences of such Trading Plan or transacton to the person engaging in or adoptng such Trading Plan or transacton.</w:t>
      </w:r>
    </w:p>
    <w:p>
      <w:pPr>
        <w:spacing w:after="0" w:line="215" w:lineRule="exact"/>
        <w:rPr>
          <w:sz w:val="20"/>
          <w:szCs w:val="20"/>
          <w:color w:val="auto"/>
        </w:rPr>
      </w:pPr>
    </w:p>
    <w:p>
      <w:pPr>
        <w:ind w:left="20"/>
        <w:spacing w:after="0"/>
        <w:tabs>
          <w:tab w:leader="none" w:pos="640" w:val="left"/>
        </w:tabs>
        <w:rPr>
          <w:sz w:val="20"/>
          <w:szCs w:val="20"/>
          <w:color w:val="auto"/>
        </w:rPr>
      </w:pPr>
      <w:r>
        <w:rPr>
          <w:rFonts w:ascii="Calibri" w:cs="Calibri" w:eastAsia="Calibri" w:hAnsi="Calibri"/>
          <w:sz w:val="20"/>
          <w:szCs w:val="20"/>
          <w:b w:val="1"/>
          <w:bCs w:val="1"/>
          <w:color w:val="auto"/>
        </w:rPr>
        <w:t>VII.</w:t>
      </w:r>
      <w:r>
        <w:rPr>
          <w:sz w:val="20"/>
          <w:szCs w:val="20"/>
          <w:color w:val="auto"/>
        </w:rPr>
        <w:tab/>
      </w:r>
      <w:r>
        <w:rPr>
          <w:rFonts w:ascii="Calibri" w:cs="Calibri" w:eastAsia="Calibri" w:hAnsi="Calibri"/>
          <w:sz w:val="20"/>
          <w:szCs w:val="20"/>
          <w:b w:val="1"/>
          <w:bCs w:val="1"/>
          <w:color w:val="auto"/>
        </w:rPr>
        <w:t>Policy Administraton</w:t>
      </w:r>
    </w:p>
    <w:p>
      <w:pPr>
        <w:spacing w:after="0" w:line="117" w:lineRule="exact"/>
        <w:rPr>
          <w:sz w:val="20"/>
          <w:szCs w:val="20"/>
          <w:color w:val="auto"/>
        </w:rPr>
      </w:pPr>
    </w:p>
    <w:p>
      <w:pPr>
        <w:jc w:val="both"/>
        <w:ind w:left="20" w:firstLine="557"/>
        <w:spacing w:after="0" w:line="231" w:lineRule="auto"/>
        <w:rPr>
          <w:sz w:val="20"/>
          <w:szCs w:val="20"/>
          <w:color w:val="auto"/>
        </w:rPr>
      </w:pPr>
      <w:r>
        <w:rPr>
          <w:rFonts w:ascii="Calibri" w:cs="Calibri" w:eastAsia="Calibri" w:hAnsi="Calibri"/>
          <w:sz w:val="20"/>
          <w:szCs w:val="20"/>
          <w:color w:val="auto"/>
        </w:rPr>
        <w:t>The Company’s General Counsel shall be responsible for the administraton of this Policy. The General Counsel shall have the authority to interpret and update this Policy and all related policies and procedures. In partcular, such interpretatons and updates of this Policy, as authorized by the General Counsel, may include amendments to or departures from the terms of this Policy, to the extent consistent with the general purpose of this Policy and applicable securites laws. Actons taken by the Company, the General Counsel, or any other Company personnel do not consttute legal advice, nor do they insulate you from the consequences of noncompliance with this Policy. In the absence of the General Counsel, responsibility for administering this Policy will rest with such other employee as may be designated by the General Counsel.</w:t>
      </w:r>
    </w:p>
    <w:p>
      <w:pPr>
        <w:spacing w:after="0" w:line="114" w:lineRule="exact"/>
        <w:rPr>
          <w:sz w:val="20"/>
          <w:szCs w:val="20"/>
          <w:color w:val="auto"/>
        </w:rPr>
      </w:pPr>
    </w:p>
    <w:p>
      <w:pPr>
        <w:ind w:left="580"/>
        <w:spacing w:after="0"/>
        <w:rPr>
          <w:sz w:val="20"/>
          <w:szCs w:val="20"/>
          <w:color w:val="auto"/>
        </w:rPr>
      </w:pPr>
      <w:r>
        <w:rPr>
          <w:rFonts w:ascii="Calibri" w:cs="Calibri" w:eastAsia="Calibri" w:hAnsi="Calibri"/>
          <w:sz w:val="20"/>
          <w:szCs w:val="20"/>
          <w:color w:val="auto"/>
        </w:rPr>
        <w:t>The Company’s Board of Directors will approve any waiver of the terms of this Policy for directors or ofcers.</w:t>
      </w:r>
    </w:p>
    <w:p>
      <w:pPr>
        <w:spacing w:after="0" w:line="215" w:lineRule="exact"/>
        <w:rPr>
          <w:sz w:val="20"/>
          <w:szCs w:val="20"/>
          <w:color w:val="auto"/>
        </w:rPr>
      </w:pPr>
    </w:p>
    <w:p>
      <w:pPr>
        <w:ind w:left="20"/>
        <w:spacing w:after="0"/>
        <w:tabs>
          <w:tab w:leader="none" w:pos="640" w:val="left"/>
        </w:tabs>
        <w:rPr>
          <w:sz w:val="20"/>
          <w:szCs w:val="20"/>
          <w:color w:val="auto"/>
        </w:rPr>
      </w:pPr>
      <w:r>
        <w:rPr>
          <w:rFonts w:ascii="Calibri" w:cs="Calibri" w:eastAsia="Calibri" w:hAnsi="Calibri"/>
          <w:sz w:val="20"/>
          <w:szCs w:val="20"/>
          <w:b w:val="1"/>
          <w:bCs w:val="1"/>
          <w:color w:val="auto"/>
        </w:rPr>
        <w:t>VIII.</w:t>
      </w:r>
      <w:r>
        <w:rPr>
          <w:sz w:val="20"/>
          <w:szCs w:val="20"/>
          <w:color w:val="auto"/>
        </w:rPr>
        <w:tab/>
      </w:r>
      <w:r>
        <w:rPr>
          <w:rFonts w:ascii="Calibri" w:cs="Calibri" w:eastAsia="Calibri" w:hAnsi="Calibri"/>
          <w:sz w:val="20"/>
          <w:szCs w:val="20"/>
          <w:b w:val="1"/>
          <w:bCs w:val="1"/>
          <w:color w:val="auto"/>
        </w:rPr>
        <w:t>Certfcaton of Compliance</w:t>
      </w:r>
    </w:p>
    <w:p>
      <w:pPr>
        <w:spacing w:after="0" w:line="265" w:lineRule="exact"/>
        <w:rPr>
          <w:sz w:val="20"/>
          <w:szCs w:val="20"/>
          <w:color w:val="auto"/>
        </w:rPr>
      </w:pPr>
    </w:p>
    <w:p>
      <w:pPr>
        <w:ind w:left="20" w:right="720"/>
        <w:spacing w:after="0" w:line="228" w:lineRule="auto"/>
        <w:rPr>
          <w:sz w:val="20"/>
          <w:szCs w:val="20"/>
          <w:color w:val="auto"/>
        </w:rPr>
      </w:pPr>
      <w:r>
        <w:rPr>
          <w:rFonts w:ascii="Calibri" w:cs="Calibri" w:eastAsia="Calibri" w:hAnsi="Calibri"/>
          <w:sz w:val="20"/>
          <w:szCs w:val="20"/>
          <w:color w:val="auto"/>
        </w:rPr>
        <w:t>Afer reading this Policy, all ofcers, directors and employees shall provide confrmaton of compliance with the policies and procedures set forth in this Policy</w:t>
      </w:r>
      <w:r>
        <w:rPr>
          <w:rFonts w:ascii="Calibri" w:cs="Calibri" w:eastAsia="Calibri" w:hAnsi="Calibri"/>
          <w:sz w:val="20"/>
          <w:szCs w:val="20"/>
          <w:color w:val="4472C4"/>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60"/>
          </w:cols>
          <w:pgMar w:left="400" w:top="1411" w:right="639" w:bottom="1440" w:gutter="0" w:footer="0" w:header="0"/>
        </w:sectPr>
      </w:pPr>
    </w:p>
    <w:bookmarkStart w:id="195" w:name="page196"/>
    <w:bookmarkEnd w:id="195"/>
    <w:p>
      <w:pPr>
        <w:ind w:left="2260"/>
        <w:spacing w:after="0"/>
        <w:rPr>
          <w:sz w:val="20"/>
          <w:szCs w:val="20"/>
          <w:color w:val="auto"/>
        </w:rPr>
      </w:pPr>
      <w:r>
        <w:rPr>
          <w:rFonts w:ascii="Times New Roman" w:cs="Times New Roman" w:eastAsia="Times New Roman" w:hAnsi="Times New Roman"/>
          <w:sz w:val="22"/>
          <w:szCs w:val="22"/>
          <w:color w:val="auto"/>
        </w:rPr>
        <w:t>*************************************************************</w:t>
      </w:r>
    </w:p>
    <w:p>
      <w:pPr>
        <w:spacing w:after="0" w:line="240" w:lineRule="exact"/>
        <w:rPr>
          <w:sz w:val="20"/>
          <w:szCs w:val="20"/>
          <w:color w:val="auto"/>
        </w:rPr>
      </w:pPr>
    </w:p>
    <w:p>
      <w:pPr>
        <w:ind w:left="4180"/>
        <w:spacing w:after="0"/>
        <w:rPr>
          <w:sz w:val="20"/>
          <w:szCs w:val="20"/>
          <w:color w:val="auto"/>
        </w:rPr>
      </w:pPr>
      <w:r>
        <w:rPr>
          <w:rFonts w:ascii="Calibri" w:cs="Calibri" w:eastAsia="Calibri" w:hAnsi="Calibri"/>
          <w:sz w:val="20"/>
          <w:szCs w:val="20"/>
          <w:b w:val="1"/>
          <w:bCs w:val="1"/>
          <w:color w:val="auto"/>
        </w:rPr>
        <w:t>CERTIFICATION OF COMPLIANCE</w:t>
      </w:r>
    </w:p>
    <w:p>
      <w:pPr>
        <w:spacing w:after="0" w:line="228" w:lineRule="exact"/>
        <w:rPr>
          <w:sz w:val="20"/>
          <w:szCs w:val="20"/>
          <w:color w:val="auto"/>
        </w:rPr>
      </w:pPr>
    </w:p>
    <w:p>
      <w:pPr>
        <w:ind w:left="20"/>
        <w:spacing w:after="0"/>
        <w:tabs>
          <w:tab w:leader="none" w:pos="440" w:val="left"/>
        </w:tabs>
        <w:rPr>
          <w:sz w:val="20"/>
          <w:szCs w:val="20"/>
          <w:color w:val="auto"/>
        </w:rPr>
      </w:pPr>
      <w:r>
        <w:rPr>
          <w:rFonts w:ascii="Calibri" w:cs="Calibri" w:eastAsia="Calibri" w:hAnsi="Calibri"/>
          <w:sz w:val="20"/>
          <w:szCs w:val="20"/>
          <w:color w:val="auto"/>
        </w:rPr>
        <w:t>RE:</w:t>
        <w:tab/>
        <w:t>INSIDER TRADING COMPLIANCE POLICY OF VERONA PHARMA PLC</w:t>
      </w:r>
    </w:p>
    <w:p>
      <w:pPr>
        <w:spacing w:after="0" w:line="252" w:lineRule="exact"/>
        <w:rPr>
          <w:sz w:val="20"/>
          <w:szCs w:val="20"/>
          <w:color w:val="auto"/>
        </w:rPr>
      </w:pPr>
    </w:p>
    <w:p>
      <w:pPr>
        <w:jc w:val="both"/>
        <w:ind w:left="20" w:firstLine="1296"/>
        <w:spacing w:after="0" w:line="231" w:lineRule="auto"/>
        <w:rPr>
          <w:sz w:val="20"/>
          <w:szCs w:val="20"/>
          <w:color w:val="auto"/>
        </w:rPr>
      </w:pPr>
      <w:r>
        <w:rPr>
          <w:rFonts w:ascii="Calibri" w:cs="Calibri" w:eastAsia="Calibri" w:hAnsi="Calibri"/>
          <w:sz w:val="20"/>
          <w:szCs w:val="20"/>
          <w:color w:val="auto"/>
        </w:rPr>
        <w:t>I have received, reviewed and understand the above-referenced Insider Trading Compliance Policy and undertake, as a conditon to my present and contnued employment with (or, if I am not an employee, engagement or afliaton with) Verona Pharma plc, to comply fully with the policies and procedures contained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613410</wp:posOffset>
            </wp:positionV>
            <wp:extent cx="510921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6">
                      <a:extLst>
                        <a:ext uri="{28A0092B-C50C-407E-A947-70E740481C1C}"/>
                      </a:extLst>
                    </a:blip>
                    <a:srcRect/>
                    <a:stretch>
                      <a:fillRect/>
                    </a:stretch>
                  </pic:blipFill>
                  <pic:spPr bwMode="auto">
                    <a:xfrm>
                      <a:off x="0" y="0"/>
                      <a:ext cx="510921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112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19"/>
          <w:szCs w:val="19"/>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660"/>
          </w:cols>
          <w:pgMar w:left="400" w:top="1408" w:right="839" w:bottom="1440" w:gutter="0" w:footer="0" w:header="0"/>
        </w:sectPr>
      </w:pPr>
    </w:p>
    <w:bookmarkStart w:id="196" w:name="page197"/>
    <w:bookmarkEnd w:id="196"/>
    <w:p>
      <w:pPr>
        <w:spacing w:after="0" w:line="205" w:lineRule="exact"/>
        <w:rPr>
          <w:sz w:val="20"/>
          <w:szCs w:val="20"/>
          <w:color w:val="auto"/>
        </w:rPr>
      </w:pPr>
    </w:p>
    <w:p>
      <w:pPr>
        <w:jc w:val="right"/>
        <w:spacing w:after="0"/>
        <w:rPr>
          <w:sz w:val="20"/>
          <w:szCs w:val="20"/>
          <w:color w:val="auto"/>
        </w:rPr>
      </w:pPr>
      <w:r>
        <w:rPr>
          <w:rFonts w:ascii="Calibri" w:cs="Calibri" w:eastAsia="Calibri" w:hAnsi="Calibri"/>
          <w:sz w:val="20"/>
          <w:szCs w:val="20"/>
          <w:b w:val="1"/>
          <w:bCs w:val="1"/>
          <w:u w:val="single" w:color="auto"/>
          <w:color w:val="auto"/>
        </w:rPr>
        <w:t>ATTACHMENT A</w:t>
      </w:r>
    </w:p>
    <w:p>
      <w:pPr>
        <w:spacing w:after="0" w:line="201" w:lineRule="exact"/>
        <w:rPr>
          <w:sz w:val="20"/>
          <w:szCs w:val="20"/>
          <w:color w:val="auto"/>
        </w:rPr>
      </w:pPr>
    </w:p>
    <w:p>
      <w:pPr>
        <w:jc w:val="center"/>
        <w:ind w:right="-219"/>
        <w:spacing w:after="0"/>
        <w:rPr>
          <w:sz w:val="20"/>
          <w:szCs w:val="20"/>
          <w:color w:val="auto"/>
        </w:rPr>
      </w:pPr>
      <w:r>
        <w:rPr>
          <w:rFonts w:ascii="Calibri" w:cs="Calibri" w:eastAsia="Calibri" w:hAnsi="Calibri"/>
          <w:sz w:val="20"/>
          <w:szCs w:val="20"/>
          <w:b w:val="1"/>
          <w:bCs w:val="1"/>
          <w:color w:val="auto"/>
        </w:rPr>
        <w:t>PRE-CLEARANCE REQUEST FORM</w:t>
      </w:r>
    </w:p>
    <w:p>
      <w:pPr>
        <w:spacing w:after="0" w:line="200" w:lineRule="exact"/>
        <w:rPr>
          <w:sz w:val="20"/>
          <w:szCs w:val="20"/>
          <w:color w:val="auto"/>
        </w:rPr>
      </w:pPr>
    </w:p>
    <w:p>
      <w:pPr>
        <w:spacing w:after="0" w:line="28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-21590</wp:posOffset>
            </wp:positionV>
            <wp:extent cx="12573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7">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PROPOSED DEALING:</w:t>
      </w:r>
    </w:p>
    <w:p>
      <w:pPr>
        <w:spacing w:after="0" w:line="242"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Number of Company securites: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2512060</wp:posOffset>
            </wp:positionH>
            <wp:positionV relativeFrom="paragraph">
              <wp:posOffset>-21590</wp:posOffset>
            </wp:positionV>
            <wp:extent cx="12573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8">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2"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Nature of transacton (e.g.,</w:t>
      </w:r>
    </w:p>
    <w:p>
      <w:pPr>
        <w:spacing w:after="0" w:line="12"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buying/selling/transferring):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2308225</wp:posOffset>
            </wp:positionH>
            <wp:positionV relativeFrom="paragraph">
              <wp:posOffset>-21590</wp:posOffset>
            </wp:positionV>
            <wp:extent cx="12573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9">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35" w:lineRule="exact"/>
        <w:rPr>
          <w:sz w:val="20"/>
          <w:szCs w:val="20"/>
          <w:color w:val="auto"/>
        </w:rPr>
      </w:pPr>
    </w:p>
    <w:p>
      <w:pPr>
        <w:ind w:left="1320"/>
        <w:spacing w:after="0"/>
        <w:rPr>
          <w:sz w:val="20"/>
          <w:szCs w:val="20"/>
          <w:color w:val="auto"/>
        </w:rPr>
      </w:pPr>
      <w:r>
        <w:rPr>
          <w:rFonts w:ascii="Calibri" w:cs="Calibri" w:eastAsia="Calibri" w:hAnsi="Calibri"/>
          <w:sz w:val="20"/>
          <w:szCs w:val="20"/>
          <w:color w:val="auto"/>
        </w:rPr>
        <w:t>Proposed date of transacton: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2409825</wp:posOffset>
            </wp:positionH>
            <wp:positionV relativeFrom="paragraph">
              <wp:posOffset>-20955</wp:posOffset>
            </wp:positionV>
            <wp:extent cx="12573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0">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32" w:lineRule="exact"/>
        <w:rPr>
          <w:sz w:val="20"/>
          <w:szCs w:val="20"/>
          <w:color w:val="auto"/>
        </w:rPr>
      </w:pPr>
    </w:p>
    <w:p>
      <w:pPr>
        <w:ind w:left="1320" w:right="940"/>
        <w:spacing w:after="0" w:line="228" w:lineRule="auto"/>
        <w:rPr>
          <w:sz w:val="20"/>
          <w:szCs w:val="20"/>
          <w:color w:val="auto"/>
        </w:rPr>
      </w:pPr>
      <w:r>
        <w:rPr>
          <w:rFonts w:ascii="Calibri" w:cs="Calibri" w:eastAsia="Calibri" w:hAnsi="Calibri"/>
          <w:sz w:val="20"/>
          <w:szCs w:val="20"/>
          <w:color w:val="auto"/>
        </w:rPr>
        <w:t>If the dealing is to be done by a members of your household or an entty controlled by you (including any corporatons, partnerships or trusts) please give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655320</wp:posOffset>
            </wp:positionV>
            <wp:extent cx="566610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1">
                      <a:extLst>
                        <a:ext uri="{28A0092B-C50C-407E-A947-70E740481C1C}"/>
                      </a:extLst>
                    </a:blip>
                    <a:srcRect/>
                    <a:stretch>
                      <a:fillRect/>
                    </a:stretch>
                  </pic:blipFill>
                  <pic:spPr bwMode="auto">
                    <a:xfrm>
                      <a:off x="0" y="0"/>
                      <a:ext cx="56661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OTHER INFORMATION:</w:t>
      </w:r>
    </w:p>
    <w:p>
      <w:pPr>
        <w:spacing w:after="0" w:line="238" w:lineRule="exact"/>
        <w:rPr>
          <w:sz w:val="20"/>
          <w:szCs w:val="20"/>
          <w:color w:val="auto"/>
        </w:rPr>
      </w:pPr>
    </w:p>
    <w:p>
      <w:pPr>
        <w:ind w:left="20" w:right="60"/>
        <w:spacing w:after="0" w:line="232" w:lineRule="auto"/>
        <w:rPr>
          <w:sz w:val="20"/>
          <w:szCs w:val="20"/>
          <w:color w:val="auto"/>
        </w:rPr>
      </w:pPr>
      <w:r>
        <w:rPr>
          <w:rFonts w:ascii="Calibri" w:cs="Calibri" w:eastAsia="Calibri" w:hAnsi="Calibri"/>
          <w:sz w:val="20"/>
          <w:szCs w:val="20"/>
          <w:i w:val="1"/>
          <w:iCs w:val="1"/>
          <w:color w:val="auto"/>
        </w:rPr>
        <w:t xml:space="preserve">I confrm that I have read the rules set out in the Insider Trading Compliance Policy and that the informaton in this pre-clearance request is accurate and complete. I confrm that I am not aware of any material, non-public informaton about the company. I understand that </w:t>
      </w:r>
      <w:r>
        <w:rPr>
          <w:rFonts w:ascii="Calibri" w:cs="Calibri" w:eastAsia="Calibri" w:hAnsi="Calibri"/>
          <w:sz w:val="20"/>
          <w:szCs w:val="20"/>
          <w:i w:val="1"/>
          <w:iCs w:val="1"/>
          <w:color w:val="212121"/>
        </w:rPr>
        <w:t>if I become aware of any material, non-public informaton about the company or the company goes into a blackout</w:t>
      </w:r>
      <w:r>
        <w:rPr>
          <w:rFonts w:ascii="Calibri" w:cs="Calibri" w:eastAsia="Calibri" w:hAnsi="Calibri"/>
          <w:sz w:val="20"/>
          <w:szCs w:val="20"/>
          <w:i w:val="1"/>
          <w:iCs w:val="1"/>
          <w:color w:val="auto"/>
        </w:rPr>
        <w:t xml:space="preserve"> </w:t>
      </w:r>
      <w:r>
        <w:rPr>
          <w:rFonts w:ascii="Calibri" w:cs="Calibri" w:eastAsia="Calibri" w:hAnsi="Calibri"/>
          <w:sz w:val="20"/>
          <w:szCs w:val="20"/>
          <w:i w:val="1"/>
          <w:iCs w:val="1"/>
          <w:color w:val="212121"/>
        </w:rPr>
        <w:t xml:space="preserve">period before the trade is efected, the trade may not be completed. </w:t>
      </w:r>
      <w:r>
        <w:rPr>
          <w:rFonts w:ascii="Calibri" w:cs="Calibri" w:eastAsia="Calibri" w:hAnsi="Calibri"/>
          <w:sz w:val="20"/>
          <w:szCs w:val="20"/>
          <w:i w:val="1"/>
          <w:iCs w:val="1"/>
          <w:color w:val="000000"/>
        </w:rPr>
        <w:t>I understand that the informaton in this form may be referred</w:t>
      </w:r>
      <w:r>
        <w:rPr>
          <w:rFonts w:ascii="Calibri" w:cs="Calibri" w:eastAsia="Calibri" w:hAnsi="Calibri"/>
          <w:sz w:val="20"/>
          <w:szCs w:val="20"/>
          <w:i w:val="1"/>
          <w:iCs w:val="1"/>
          <w:color w:val="212121"/>
        </w:rPr>
        <w:t xml:space="preserve"> </w:t>
      </w:r>
      <w:r>
        <w:rPr>
          <w:rFonts w:ascii="Calibri" w:cs="Calibri" w:eastAsia="Calibri" w:hAnsi="Calibri"/>
          <w:sz w:val="20"/>
          <w:szCs w:val="20"/>
          <w:i w:val="1"/>
          <w:iCs w:val="1"/>
          <w:color w:val="000000"/>
        </w:rPr>
        <w:t>to in the event of a suspected breach of the Insider Trading Compliance Policy or the relevant law on insider dealing. I will inform the CEO or General Counsel (or in the case of the CEO, the Chairman as soon as practcable if there is a change in any of the circumstances set out above. If I receive clearance for the dealing, I will ensure that the transacton is executed within the tme limit specifed in the notfcaton of the clearance.</w:t>
      </w:r>
    </w:p>
    <w:p>
      <w:pPr>
        <w:spacing w:after="0" w:line="200" w:lineRule="exact"/>
        <w:rPr>
          <w:sz w:val="20"/>
          <w:szCs w:val="20"/>
          <w:color w:val="auto"/>
        </w:rPr>
      </w:pPr>
    </w:p>
    <w:p>
      <w:pPr>
        <w:spacing w:after="0" w:line="292" w:lineRule="exact"/>
        <w:rPr>
          <w:sz w:val="20"/>
          <w:szCs w:val="20"/>
          <w:color w:val="auto"/>
        </w:rPr>
      </w:pPr>
    </w:p>
    <w:p>
      <w:pPr>
        <w:ind w:left="20"/>
        <w:spacing w:after="0"/>
        <w:tabs>
          <w:tab w:leader="none" w:pos="142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-20955</wp:posOffset>
            </wp:positionV>
            <wp:extent cx="12573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2">
                      <a:extLst>
                        <a:ext uri="{28A0092B-C50C-407E-A947-70E740481C1C}"/>
                      </a:extLst>
                    </a:blip>
                    <a:srcRect/>
                    <a:stretch>
                      <a:fillRect/>
                    </a:stretch>
                  </pic:blipFill>
                  <pic:spPr bwMode="auto">
                    <a:xfrm>
                      <a:off x="0" y="0"/>
                      <a:ext cx="125730" cy="8255"/>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-20955</wp:posOffset>
            </wp:positionV>
            <wp:extent cx="1257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3">
                      <a:extLst>
                        <a:ext uri="{28A0092B-C50C-407E-A947-70E740481C1C}"/>
                      </a:extLst>
                    </a:blip>
                    <a:srcRect/>
                    <a:stretch>
                      <a:fillRect/>
                    </a:stretch>
                  </pic:blipFill>
                  <pic:spPr bwMode="auto">
                    <a:xfrm>
                      <a:off x="0" y="0"/>
                      <a:ext cx="125730" cy="8255"/>
                    </a:xfrm>
                    <a:prstGeom prst="rect">
                      <a:avLst/>
                    </a:prstGeom>
                    <a:noFill/>
                  </pic:spPr>
                </pic:pic>
              </a:graphicData>
            </a:graphic>
          </wp:anchor>
        </w:drawing>
      </w:r>
    </w:p>
    <w:p>
      <w:pPr>
        <w:spacing w:after="0" w:line="222" w:lineRule="exact"/>
        <w:rPr>
          <w:sz w:val="20"/>
          <w:szCs w:val="20"/>
          <w:color w:val="auto"/>
        </w:rPr>
      </w:pPr>
    </w:p>
    <w:p>
      <w:pPr>
        <w:ind w:left="20"/>
        <w:spacing w:after="0"/>
        <w:rPr>
          <w:sz w:val="20"/>
          <w:szCs w:val="20"/>
          <w:color w:val="auto"/>
        </w:rPr>
      </w:pPr>
      <w:r>
        <w:rPr>
          <w:rFonts w:ascii="Calibri" w:cs="Calibri" w:eastAsia="Calibri" w:hAnsi="Calibri"/>
          <w:sz w:val="20"/>
          <w:szCs w:val="20"/>
          <w:b w:val="1"/>
          <w:bCs w:val="1"/>
          <w:color w:val="auto"/>
        </w:rPr>
        <w:t>ON COMPLETION, THIS FORM SHOULD BE SENT TO THE CEO/GENERAL COUNSEL/CHAIRMAN</w:t>
      </w:r>
    </w:p>
    <w:p>
      <w:pPr>
        <w:spacing w:after="0" w:line="228"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Clearance given/refused [DELETE WHICHEVER IS NOT APPLICABLE]</w:t>
      </w:r>
    </w:p>
    <w:p>
      <w:pPr>
        <w:spacing w:after="0" w:line="228" w:lineRule="exact"/>
        <w:rPr>
          <w:sz w:val="20"/>
          <w:szCs w:val="20"/>
          <w:color w:val="auto"/>
        </w:rPr>
      </w:pPr>
    </w:p>
    <w:p>
      <w:pPr>
        <w:ind w:left="20"/>
        <w:spacing w:after="0"/>
        <w:tabs>
          <w:tab w:leader="none" w:pos="1420" w:val="left"/>
        </w:tabs>
        <w:rPr>
          <w:sz w:val="20"/>
          <w:szCs w:val="20"/>
          <w:color w:val="auto"/>
        </w:rPr>
      </w:pPr>
      <w:r>
        <w:rPr>
          <w:rFonts w:ascii="Calibri" w:cs="Calibri" w:eastAsia="Calibri" w:hAnsi="Calibri"/>
          <w:sz w:val="20"/>
          <w:szCs w:val="20"/>
          <w:color w:val="auto"/>
        </w:rPr>
        <w:t>Signature:</w:t>
      </w:r>
      <w:r>
        <w:rPr>
          <w:sz w:val="20"/>
          <w:szCs w:val="20"/>
          <w:color w:val="auto"/>
        </w:rPr>
        <w:tab/>
      </w:r>
      <w:r>
        <w:rPr>
          <w:rFonts w:ascii="Calibri" w:cs="Calibri" w:eastAsia="Calibri" w:hAnsi="Calibri"/>
          <w:sz w:val="20"/>
          <w:szCs w:val="20"/>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659130</wp:posOffset>
            </wp:positionH>
            <wp:positionV relativeFrom="paragraph">
              <wp:posOffset>-21590</wp:posOffset>
            </wp:positionV>
            <wp:extent cx="12573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4">
                      <a:extLst>
                        <a:ext uri="{28A0092B-C50C-407E-A947-70E740481C1C}"/>
                      </a:extLst>
                    </a:blip>
                    <a:srcRect/>
                    <a:stretch>
                      <a:fillRect/>
                    </a:stretch>
                  </pic:blipFill>
                  <pic:spPr bwMode="auto">
                    <a:xfrm>
                      <a:off x="0" y="0"/>
                      <a:ext cx="125730" cy="8890"/>
                    </a:xfrm>
                    <a:prstGeom prst="rect">
                      <a:avLst/>
                    </a:prstGeom>
                    <a:noFill/>
                  </pic:spPr>
                </pic:pic>
              </a:graphicData>
            </a:graphic>
          </wp:anchor>
        </w:drawing>
        <w:drawing>
          <wp:anchor simplePos="0" relativeHeight="251657728" behindDoc="1" locked="0" layoutInCell="0" allowOverlap="1">
            <wp:simplePos x="0" y="0"/>
            <wp:positionH relativeFrom="column">
              <wp:posOffset>1306195</wp:posOffset>
            </wp:positionH>
            <wp:positionV relativeFrom="paragraph">
              <wp:posOffset>-21590</wp:posOffset>
            </wp:positionV>
            <wp:extent cx="12573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5">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35" w:lineRule="exact"/>
        <w:rPr>
          <w:sz w:val="20"/>
          <w:szCs w:val="20"/>
          <w:color w:val="auto"/>
        </w:rPr>
      </w:pPr>
    </w:p>
    <w:p>
      <w:pPr>
        <w:ind w:left="20"/>
        <w:spacing w:after="0"/>
        <w:rPr>
          <w:sz w:val="20"/>
          <w:szCs w:val="20"/>
          <w:color w:val="auto"/>
        </w:rPr>
      </w:pPr>
      <w:r>
        <w:rPr>
          <w:rFonts w:ascii="Calibri" w:cs="Calibri" w:eastAsia="Calibri" w:hAnsi="Calibri"/>
          <w:sz w:val="20"/>
          <w:szCs w:val="20"/>
          <w:color w:val="auto"/>
        </w:rPr>
        <w:t>Positon: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582930</wp:posOffset>
            </wp:positionH>
            <wp:positionV relativeFrom="paragraph">
              <wp:posOffset>-20955</wp:posOffset>
            </wp:positionV>
            <wp:extent cx="12573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60"/>
          </w:cols>
          <w:pgMar w:left="400" w:top="1440" w:right="639" w:bottom="1440" w:gutter="0" w:footer="0" w:header="0"/>
        </w:sectPr>
      </w:pPr>
    </w:p>
    <w:bookmarkStart w:id="197" w:name="page198"/>
    <w:bookmarkEnd w:id="197"/>
    <w:p>
      <w:pPr>
        <w:spacing w:after="0" w:line="27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00" w:lineRule="exact"/>
        <w:rPr>
          <w:sz w:val="20"/>
          <w:szCs w:val="20"/>
          <w:color w:val="auto"/>
        </w:rPr>
      </w:pPr>
    </w:p>
    <w:p>
      <w:pPr>
        <w:ind w:left="260" w:hanging="252"/>
        <w:spacing w:after="0"/>
        <w:tabs>
          <w:tab w:leader="none" w:pos="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S-3 No. 333-247928, 333-270339) of Verona Pharma plc, and</w:t>
      </w:r>
    </w:p>
    <w:p>
      <w:pPr>
        <w:ind w:left="260" w:hanging="252"/>
        <w:spacing w:after="0"/>
        <w:tabs>
          <w:tab w:leader="none" w:pos="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Statements (Form S-8 No. 333-279298, 333-271764, 333-268389, 333-248199, 333-237926, 333-217521);</w:t>
      </w:r>
    </w:p>
    <w:p>
      <w:pPr>
        <w:spacing w:after="0" w:line="205"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7"/>
          <w:szCs w:val="17"/>
          <w:color w:val="auto"/>
        </w:rPr>
        <w:t>of our reports dated February 27, 2025, with respect to the consolidated financial statements of Verona Pharma plc and the effectiveness of internal control over financial reporting of Verona Pharma plc included in this Annual Report (Form 10-K) of Verona Pharma plc for the year ended December 31, 2024.</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Raleigh, North Carolina</w:t>
      </w: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|US-DOCS\157297207.2||</w:t>
      </w:r>
    </w:p>
    <w:p>
      <w:pPr>
        <w:sectPr>
          <w:pgSz w:w="11900" w:h="16838" w:orient="portrait"/>
          <w:cols w:equalWidth="0" w:num="1">
            <w:col w:w="11140"/>
          </w:cols>
          <w:pgMar w:left="320" w:top="1440" w:right="439" w:bottom="1440" w:gutter="0" w:footer="0" w:header="0"/>
        </w:sectPr>
      </w:pPr>
    </w:p>
    <w:bookmarkStart w:id="198" w:name="page199"/>
    <w:bookmarkEnd w:id="19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Georgia" w:cs="Georgia" w:eastAsia="Georgia" w:hAnsi="Georgia"/>
          <w:sz w:val="18"/>
          <w:szCs w:val="18"/>
          <w:color w:val="auto"/>
        </w:rPr>
        <w:t>CONSENT OF INDEPENDENT REGISTERED PUBLIC ACCOUNTING FIRM</w:t>
      </w:r>
    </w:p>
    <w:p>
      <w:pPr>
        <w:spacing w:after="0" w:line="242" w:lineRule="exact"/>
        <w:rPr>
          <w:sz w:val="20"/>
          <w:szCs w:val="20"/>
          <w:color w:val="auto"/>
        </w:rPr>
      </w:pPr>
    </w:p>
    <w:p>
      <w:pPr>
        <w:jc w:val="both"/>
        <w:spacing w:after="0" w:line="237" w:lineRule="auto"/>
        <w:rPr>
          <w:sz w:val="20"/>
          <w:szCs w:val="20"/>
          <w:color w:val="auto"/>
        </w:rPr>
      </w:pPr>
      <w:r>
        <w:rPr>
          <w:rFonts w:ascii="Georgia" w:cs="Georgia" w:eastAsia="Georgia" w:hAnsi="Georgia"/>
          <w:sz w:val="18"/>
          <w:szCs w:val="18"/>
          <w:color w:val="auto"/>
        </w:rPr>
        <w:t>We hereby consent to the incorporation by reference in the Registration Statements on Form S-3 (No. 333-247928, 333-270339) and Form S-8 (No. 333-279298, 333-271764, 333-268389, 333-248199, 333-237926, 333-217521) of Verona Pharma plc of our report dated February 29, 2024 relating to the financial statements, which appears in this Form 10-K.</w:t>
      </w:r>
    </w:p>
    <w:p>
      <w:pPr>
        <w:spacing w:after="0" w:line="243" w:lineRule="exact"/>
        <w:rPr>
          <w:sz w:val="20"/>
          <w:szCs w:val="20"/>
          <w:color w:val="auto"/>
        </w:rPr>
      </w:pPr>
    </w:p>
    <w:p>
      <w:pPr>
        <w:spacing w:after="0"/>
        <w:rPr>
          <w:sz w:val="20"/>
          <w:szCs w:val="20"/>
          <w:color w:val="auto"/>
        </w:rPr>
      </w:pPr>
      <w:r>
        <w:rPr>
          <w:rFonts w:ascii="Georgia" w:cs="Georgia" w:eastAsia="Georgia" w:hAnsi="Georgia"/>
          <w:sz w:val="18"/>
          <w:szCs w:val="18"/>
          <w:color w:val="auto"/>
        </w:rPr>
        <w:t>/s/ PricewaterhouseCoopers LLP</w:t>
      </w:r>
    </w:p>
    <w:p>
      <w:pPr>
        <w:spacing w:after="0" w:line="237" w:lineRule="auto"/>
        <w:rPr>
          <w:sz w:val="20"/>
          <w:szCs w:val="20"/>
          <w:color w:val="auto"/>
        </w:rPr>
      </w:pPr>
      <w:r>
        <w:rPr>
          <w:rFonts w:ascii="Georgia" w:cs="Georgia" w:eastAsia="Georgia" w:hAnsi="Georgia"/>
          <w:sz w:val="18"/>
          <w:szCs w:val="18"/>
          <w:color w:val="auto"/>
        </w:rPr>
        <w:t>Reading, United Kingdom</w:t>
      </w:r>
    </w:p>
    <w:p>
      <w:pPr>
        <w:spacing w:after="0"/>
        <w:rPr>
          <w:sz w:val="20"/>
          <w:szCs w:val="20"/>
          <w:color w:val="auto"/>
        </w:rPr>
      </w:pPr>
      <w:r>
        <w:rPr>
          <w:rFonts w:ascii="Georgia" w:cs="Georgia" w:eastAsia="Georgia" w:hAnsi="Georgia"/>
          <w:sz w:val="18"/>
          <w:szCs w:val="18"/>
          <w:color w:val="auto"/>
        </w:rPr>
        <w:t>February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right"/>
        <w:spacing w:after="0"/>
        <w:rPr>
          <w:sz w:val="20"/>
          <w:szCs w:val="20"/>
          <w:color w:val="auto"/>
        </w:rPr>
      </w:pPr>
      <w:r>
        <w:rPr>
          <w:rFonts w:ascii="Georgia" w:cs="Georgia" w:eastAsia="Georgia" w:hAnsi="Georgia"/>
          <w:sz w:val="18"/>
          <w:szCs w:val="18"/>
          <w:color w:val="auto"/>
        </w:rPr>
        <w:t>1</w:t>
      </w:r>
    </w:p>
    <w:p>
      <w:pPr>
        <w:sectPr>
          <w:pgSz w:w="11900" w:h="16838" w:orient="portrait"/>
          <w:cols w:equalWidth="0" w:num="1">
            <w:col w:w="11240"/>
          </w:cols>
          <w:pgMar w:left="320" w:top="1440"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Zaccardelli, Pharm.D., certify that:</w:t>
      </w:r>
    </w:p>
    <w:p>
      <w:pPr>
        <w:spacing w:after="0" w:line="225" w:lineRule="exact"/>
        <w:rPr>
          <w:sz w:val="20"/>
          <w:szCs w:val="20"/>
          <w:color w:val="auto"/>
        </w:rPr>
      </w:pPr>
    </w:p>
    <w:p>
      <w:pPr>
        <w:ind w:left="180" w:hanging="172"/>
        <w:spacing w:after="0"/>
        <w:tabs>
          <w:tab w:leader="none" w:pos="18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Verona Pharma plc;</w:t>
      </w:r>
    </w:p>
    <w:p>
      <w:pPr>
        <w:spacing w:after="0" w:line="225" w:lineRule="exact"/>
        <w:rPr>
          <w:rFonts w:ascii="Times New Roman" w:cs="Times New Roman" w:eastAsia="Times New Roman" w:hAnsi="Times New Roman"/>
          <w:sz w:val="18"/>
          <w:szCs w:val="18"/>
          <w:color w:val="auto"/>
        </w:rPr>
      </w:pPr>
    </w:p>
    <w:p>
      <w:pPr>
        <w:ind w:left="340" w:right="460" w:hanging="332"/>
        <w:spacing w:after="0" w:line="266" w:lineRule="auto"/>
        <w:tabs>
          <w:tab w:leader="none" w:pos="1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540" w:hanging="332"/>
        <w:spacing w:after="0" w:line="282" w:lineRule="auto"/>
        <w:tabs>
          <w:tab w:leader="none" w:pos="1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196"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00" w:right="200" w:hanging="451"/>
        <w:spacing w:after="0" w:line="266" w:lineRule="auto"/>
        <w:tabs>
          <w:tab w:leader="none" w:pos="83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00" w:right="320" w:hanging="330"/>
        <w:spacing w:after="0" w:line="282" w:lineRule="auto"/>
        <w:tabs>
          <w:tab w:leader="none" w:pos="356"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2"/>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37">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413" w:right="339" w:bottom="1440" w:gutter="0" w:footer="0" w:header="0"/>
        </w:sectPr>
      </w:pPr>
    </w:p>
    <w:bookmarkStart w:id="200" w:name="page201"/>
    <w:bookmarkEnd w:id="200"/>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W. Hahn, certify that:</w:t>
      </w:r>
    </w:p>
    <w:p>
      <w:pPr>
        <w:spacing w:after="0" w:line="225" w:lineRule="exact"/>
        <w:rPr>
          <w:sz w:val="20"/>
          <w:szCs w:val="20"/>
          <w:color w:val="auto"/>
        </w:rPr>
      </w:pPr>
    </w:p>
    <w:p>
      <w:pPr>
        <w:ind w:left="520" w:hanging="188"/>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Verona Pharma plc;</w:t>
      </w:r>
    </w:p>
    <w:p>
      <w:pPr>
        <w:spacing w:after="0" w:line="225" w:lineRule="exact"/>
        <w:rPr>
          <w:rFonts w:ascii="Times New Roman" w:cs="Times New Roman" w:eastAsia="Times New Roman" w:hAnsi="Times New Roman"/>
          <w:sz w:val="18"/>
          <w:szCs w:val="18"/>
          <w:color w:val="auto"/>
        </w:rPr>
      </w:pPr>
    </w:p>
    <w:p>
      <w:pPr>
        <w:ind w:left="660" w:right="140" w:hanging="328"/>
        <w:spacing w:after="0" w:line="266" w:lineRule="auto"/>
        <w:tabs>
          <w:tab w:leader="none" w:pos="5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516"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w:t>
      </w:r>
    </w:p>
    <w:p>
      <w:pPr>
        <w:spacing w:after="0" w:line="27" w:lineRule="exact"/>
        <w:rPr>
          <w:sz w:val="20"/>
          <w:szCs w:val="20"/>
          <w:color w:val="auto"/>
        </w:rPr>
      </w:pPr>
    </w:p>
    <w:p>
      <w:pPr>
        <w:ind w:left="660" w:right="300"/>
        <w:spacing w:after="0" w:line="260" w:lineRule="auto"/>
        <w:rPr>
          <w:sz w:val="20"/>
          <w:szCs w:val="20"/>
          <w:color w:val="auto"/>
        </w:rPr>
      </w:pPr>
      <w:r>
        <w:rPr>
          <w:rFonts w:ascii="Times New Roman" w:cs="Times New Roman" w:eastAsia="Times New Roman" w:hAnsi="Times New Roman"/>
          <w:sz w:val="18"/>
          <w:szCs w:val="18"/>
          <w:color w:val="auto"/>
        </w:rPr>
        <w:t>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jc w:val="both"/>
        <w:ind w:left="900" w:right="200" w:hanging="451"/>
        <w:spacing w:after="0" w:line="266" w:lineRule="auto"/>
        <w:tabs>
          <w:tab w:leader="none" w:pos="83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00" w:right="460" w:hanging="451"/>
        <w:spacing w:after="0" w:line="266" w:lineRule="auto"/>
        <w:tabs>
          <w:tab w:leader="none" w:pos="84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00" w:right="620" w:hanging="451"/>
        <w:spacing w:after="0" w:line="312" w:lineRule="auto"/>
        <w:tabs>
          <w:tab w:leader="none" w:pos="839"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00" w:right="180" w:hanging="451"/>
        <w:spacing w:after="0" w:line="266" w:lineRule="auto"/>
        <w:tabs>
          <w:tab w:leader="none" w:pos="849" w:val="left"/>
        </w:tabs>
        <w:numPr>
          <w:ilvl w:val="1"/>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516"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00" w:right="120" w:hanging="451"/>
        <w:spacing w:after="0" w:line="282" w:lineRule="auto"/>
        <w:tabs>
          <w:tab w:leader="none" w:pos="82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00" w:right="60" w:hanging="451"/>
        <w:spacing w:after="0" w:line="282" w:lineRule="auto"/>
        <w:tabs>
          <w:tab w:leader="none" w:pos="839"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38">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40"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Verona Pharma plc (the “Company”) for the period ended December 31, 2024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4160" w:val="left"/>
          <w:tab w:leader="none" w:pos="690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Zaccardelli, Pharm.D.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3159760</wp:posOffset>
            </wp:positionH>
            <wp:positionV relativeFrom="paragraph">
              <wp:posOffset>43180</wp:posOffset>
            </wp:positionV>
            <wp:extent cx="39179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39">
                      <a:extLst>
                        <a:ext uri="{28A0092B-C50C-407E-A947-70E740481C1C}"/>
                      </a:extLst>
                    </a:blip>
                    <a:srcRect/>
                    <a:stretch>
                      <a:fillRect/>
                    </a:stretch>
                  </pic:blipFill>
                  <pic:spPr bwMode="auto">
                    <a:xfrm>
                      <a:off x="0" y="0"/>
                      <a:ext cx="3917950" cy="8255"/>
                    </a:xfrm>
                    <a:prstGeom prst="rect">
                      <a:avLst/>
                    </a:prstGeom>
                    <a:noFill/>
                  </pic:spPr>
                </pic:pic>
              </a:graphicData>
            </a:graphic>
          </wp:anchor>
        </w:drawing>
      </w:r>
    </w:p>
    <w:p>
      <w:pPr>
        <w:spacing w:after="0" w:line="70" w:lineRule="exact"/>
        <w:rPr>
          <w:sz w:val="20"/>
          <w:szCs w:val="20"/>
          <w:color w:val="auto"/>
        </w:rPr>
      </w:pPr>
    </w:p>
    <w:p>
      <w:pPr>
        <w:ind w:left="7020"/>
        <w:spacing w:after="0"/>
        <w:rPr>
          <w:sz w:val="20"/>
          <w:szCs w:val="20"/>
          <w:color w:val="auto"/>
        </w:rPr>
      </w:pPr>
      <w:r>
        <w:rPr>
          <w:rFonts w:ascii="Times New Roman" w:cs="Times New Roman" w:eastAsia="Times New Roman" w:hAnsi="Times New Roman"/>
          <w:sz w:val="18"/>
          <w:szCs w:val="18"/>
          <w:color w:val="auto"/>
        </w:rPr>
        <w:t>David Zaccardelli, Pharm.D.</w:t>
      </w:r>
    </w:p>
    <w:p>
      <w:pPr>
        <w:spacing w:after="0" w:line="77" w:lineRule="exact"/>
        <w:rPr>
          <w:sz w:val="20"/>
          <w:szCs w:val="20"/>
          <w:color w:val="auto"/>
        </w:rPr>
      </w:pPr>
    </w:p>
    <w:p>
      <w:pPr>
        <w:ind w:left="72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413" w:right="339" w:bottom="1440" w:gutter="0" w:footer="0" w:header="0"/>
        </w:sectPr>
      </w:pPr>
    </w:p>
    <w:bookmarkStart w:id="202" w:name="page203"/>
    <w:bookmarkEnd w:id="202"/>
    <w:p>
      <w:pPr>
        <w:spacing w:after="0" w:line="2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200"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on Form 10-K of Verona Pharma plc (the “Company”) for the period ended December 31, 2024 as filed with the Securities and Exchange Commission on the date hereof (the “Report”), I certify, pursuant to 18 U.S.C. § 1350, as adopted pursuant to § 906 of the Sarbanes-Oxley Act of 2002, that, to the best of my knowledge:</w:t>
      </w:r>
    </w:p>
    <w:p>
      <w:pPr>
        <w:spacing w:after="0" w:line="176" w:lineRule="exact"/>
        <w:rPr>
          <w:sz w:val="20"/>
          <w:szCs w:val="20"/>
          <w:color w:val="auto"/>
        </w:rPr>
      </w:pPr>
    </w:p>
    <w:p>
      <w:pPr>
        <w:ind w:left="840" w:hanging="391"/>
        <w:spacing w:after="0"/>
        <w:tabs>
          <w:tab w:leader="none" w:pos="84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00" w:right="740" w:hanging="451"/>
        <w:spacing w:after="0" w:line="282" w:lineRule="auto"/>
        <w:tabs>
          <w:tab w:leader="none" w:pos="846"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43" w:lineRule="exact"/>
        <w:rPr>
          <w:sz w:val="20"/>
          <w:szCs w:val="20"/>
          <w:color w:val="auto"/>
        </w:rPr>
      </w:pPr>
    </w:p>
    <w:p>
      <w:pPr>
        <w:ind w:left="20"/>
        <w:spacing w:after="0"/>
        <w:tabs>
          <w:tab w:leader="none" w:pos="3120" w:val="left"/>
          <w:tab w:leader="none" w:pos="6780" w:val="left"/>
        </w:tabs>
        <w:rPr>
          <w:sz w:val="20"/>
          <w:szCs w:val="20"/>
          <w:color w:val="auto"/>
        </w:rPr>
      </w:pPr>
      <w:r>
        <w:rPr>
          <w:rFonts w:ascii="Times New Roman" w:cs="Times New Roman" w:eastAsia="Times New Roman" w:hAnsi="Times New Roman"/>
          <w:sz w:val="18"/>
          <w:szCs w:val="18"/>
          <w:color w:val="auto"/>
        </w:rPr>
        <w:t>Date: February 27,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W. Hahn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43180</wp:posOffset>
            </wp:positionV>
            <wp:extent cx="472313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0">
                      <a:extLst>
                        <a:ext uri="{28A0092B-C50C-407E-A947-70E740481C1C}"/>
                      </a:extLst>
                    </a:blip>
                    <a:srcRect/>
                    <a:stretch>
                      <a:fillRect/>
                    </a:stretch>
                  </pic:blipFill>
                  <pic:spPr bwMode="auto">
                    <a:xfrm>
                      <a:off x="0" y="0"/>
                      <a:ext cx="4723130" cy="8255"/>
                    </a:xfrm>
                    <a:prstGeom prst="rect">
                      <a:avLst/>
                    </a:prstGeom>
                    <a:noFill/>
                  </pic:spPr>
                </pic:pic>
              </a:graphicData>
            </a:graphic>
          </wp:anchor>
        </w:drawing>
      </w:r>
    </w:p>
    <w:p>
      <w:pPr>
        <w:spacing w:after="0" w:line="70"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Mark W. Hahn</w:t>
      </w:r>
    </w:p>
    <w:p>
      <w:pPr>
        <w:spacing w:after="0" w:line="75" w:lineRule="exact"/>
        <w:rPr>
          <w:sz w:val="20"/>
          <w:szCs w:val="20"/>
          <w:color w:val="auto"/>
        </w:rPr>
      </w:pPr>
    </w:p>
    <w:p>
      <w:pPr>
        <w:jc w:val="center"/>
        <w:ind w:left="3620"/>
        <w:spacing w:after="0"/>
        <w:rPr>
          <w:sz w:val="20"/>
          <w:szCs w:val="20"/>
          <w:color w:val="auto"/>
        </w:rPr>
      </w:pPr>
      <w:r>
        <w:rPr>
          <w:rFonts w:ascii="Times New Roman" w:cs="Times New Roman" w:eastAsia="Times New Roman" w:hAnsi="Times New Roman"/>
          <w:sz w:val="18"/>
          <w:szCs w:val="18"/>
          <w:color w:val="auto"/>
        </w:rPr>
        <w:t>Chief Financial Officer (</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54FE9F9"/>
    <w:multiLevelType w:val="hybridMultilevel"/>
    <w:lvl w:ilvl="0">
      <w:lvlJc w:val="left"/>
      <w:lvlText w:val="☒"/>
      <w:numFmt w:val="bullet"/>
      <w:start w:val="1"/>
    </w:lvl>
  </w:abstractNum>
  <w:abstractNum w:abstractNumId="1">
    <w:nsid w:val="15B5AF5C"/>
    <w:multiLevelType w:val="hybridMultilevel"/>
    <w:lvl w:ilvl="0">
      <w:lvlJc w:val="left"/>
      <w:lvlText w:val="☐"/>
      <w:numFmt w:val="bullet"/>
      <w:start w:val="1"/>
    </w:lvl>
  </w:abstractNum>
  <w:abstractNum w:abstractNumId="2">
    <w:nsid w:val="741226BB"/>
    <w:multiLevelType w:val="hybridMultilevel"/>
    <w:lvl w:ilvl="0">
      <w:lvlJc w:val="left"/>
      <w:lvlText w:val="*"/>
      <w:numFmt w:val="bullet"/>
      <w:start w:val="1"/>
    </w:lvl>
  </w:abstractNum>
  <w:abstractNum w:abstractNumId="3">
    <w:nsid w:val="D34B6A8"/>
    <w:multiLevelType w:val="hybridMultilevel"/>
    <w:lvl w:ilvl="0">
      <w:lvlJc w:val="left"/>
      <w:lvlText w:val="•"/>
      <w:numFmt w:val="bullet"/>
      <w:start w:val="1"/>
    </w:lvl>
  </w:abstractNum>
  <w:abstractNum w:abstractNumId="4">
    <w:nsid w:val="10233C99"/>
    <w:multiLevelType w:val="hybridMultilevel"/>
    <w:lvl w:ilvl="0">
      <w:lvlJc w:val="left"/>
      <w:lvlText w:val="•"/>
      <w:numFmt w:val="bullet"/>
      <w:start w:val="1"/>
    </w:lvl>
  </w:abstractNum>
  <w:abstractNum w:abstractNumId="5">
    <w:nsid w:val="3F6AB60F"/>
    <w:multiLevelType w:val="hybridMultilevel"/>
    <w:lvl w:ilvl="0">
      <w:lvlJc w:val="left"/>
      <w:lvlText w:val="•"/>
      <w:numFmt w:val="bullet"/>
      <w:start w:val="1"/>
    </w:lvl>
  </w:abstractNum>
  <w:abstractNum w:abstractNumId="6">
    <w:nsid w:val="61574095"/>
    <w:multiLevelType w:val="hybridMultilevel"/>
    <w:lvl w:ilvl="0">
      <w:lvlJc w:val="left"/>
      <w:lvlText w:val="•"/>
      <w:numFmt w:val="bullet"/>
      <w:start w:val="1"/>
    </w:lvl>
  </w:abstractNum>
  <w:abstractNum w:abstractNumId="7">
    <w:nsid w:val="7E0C57B1"/>
    <w:multiLevelType w:val="hybridMultilevel"/>
    <w:lvl w:ilvl="0">
      <w:lvlJc w:val="left"/>
      <w:lvlText w:val="•"/>
      <w:numFmt w:val="bullet"/>
      <w:start w:val="1"/>
    </w:lvl>
  </w:abstractNum>
  <w:abstractNum w:abstractNumId="8">
    <w:nsid w:val="77AE35EB"/>
    <w:multiLevelType w:val="hybridMultilevel"/>
    <w:lvl w:ilvl="0">
      <w:lvlJc w:val="left"/>
      <w:lvlText w:val="•"/>
      <w:numFmt w:val="bullet"/>
      <w:start w:val="1"/>
    </w:lvl>
  </w:abstractNum>
  <w:abstractNum w:abstractNumId="9">
    <w:nsid w:val="579BE4F1"/>
    <w:multiLevelType w:val="hybridMultilevel"/>
    <w:lvl w:ilvl="0">
      <w:lvlJc w:val="left"/>
      <w:lvlText w:val="•"/>
      <w:numFmt w:val="bullet"/>
      <w:start w:val="1"/>
    </w:lvl>
  </w:abstractNum>
  <w:abstractNum w:abstractNumId="10">
    <w:nsid w:val="310C50B3"/>
    <w:multiLevelType w:val="hybridMultilevel"/>
    <w:lvl w:ilvl="0">
      <w:lvlJc w:val="left"/>
      <w:lvlText w:val="•"/>
      <w:numFmt w:val="bullet"/>
      <w:start w:val="1"/>
    </w:lvl>
  </w:abstractNum>
  <w:abstractNum w:abstractNumId="11">
    <w:nsid w:val="5FF87E05"/>
    <w:multiLevelType w:val="hybridMultilevel"/>
    <w:lvl w:ilvl="0">
      <w:lvlJc w:val="left"/>
      <w:lvlText w:val="•"/>
      <w:numFmt w:val="bullet"/>
      <w:start w:val="1"/>
    </w:lvl>
  </w:abstractNum>
  <w:abstractNum w:abstractNumId="12">
    <w:nsid w:val="2F305DEF"/>
    <w:multiLevelType w:val="hybridMultilevel"/>
    <w:lvl w:ilvl="0">
      <w:lvlJc w:val="left"/>
      <w:lvlText w:val="•"/>
      <w:numFmt w:val="bullet"/>
      <w:start w:val="1"/>
    </w:lvl>
  </w:abstractNum>
  <w:abstractNum w:abstractNumId="13">
    <w:nsid w:val="25A70BF7"/>
    <w:multiLevelType w:val="hybridMultilevel"/>
    <w:lvl w:ilvl="0">
      <w:lvlJc w:val="left"/>
      <w:lvlText w:val="•"/>
      <w:numFmt w:val="bullet"/>
      <w:start w:val="1"/>
    </w:lvl>
  </w:abstractNum>
  <w:abstractNum w:abstractNumId="14">
    <w:nsid w:val="1DBABF00"/>
    <w:multiLevelType w:val="hybridMultilevel"/>
    <w:lvl w:ilvl="0">
      <w:lvlJc w:val="left"/>
      <w:lvlText w:val="•"/>
      <w:numFmt w:val="bullet"/>
      <w:start w:val="1"/>
    </w:lvl>
  </w:abstractNum>
  <w:abstractNum w:abstractNumId="15">
    <w:nsid w:val="4AD084E9"/>
    <w:multiLevelType w:val="hybridMultilevel"/>
    <w:lvl w:ilvl="0">
      <w:lvlJc w:val="left"/>
      <w:lvlText w:val="•"/>
      <w:numFmt w:val="bullet"/>
      <w:start w:val="1"/>
    </w:lvl>
  </w:abstractNum>
  <w:abstractNum w:abstractNumId="16">
    <w:nsid w:val="1F48EAA1"/>
    <w:multiLevelType w:val="hybridMultilevel"/>
    <w:lvl w:ilvl="0">
      <w:lvlJc w:val="left"/>
      <w:lvlText w:val="•"/>
      <w:numFmt w:val="bullet"/>
      <w:start w:val="1"/>
    </w:lvl>
  </w:abstractNum>
  <w:abstractNum w:abstractNumId="17">
    <w:nsid w:val="1381823A"/>
    <w:multiLevelType w:val="hybridMultilevel"/>
    <w:lvl w:ilvl="0">
      <w:lvlJc w:val="left"/>
      <w:lvlText w:val="•"/>
      <w:numFmt w:val="bullet"/>
      <w:start w:val="1"/>
    </w:lvl>
  </w:abstractNum>
  <w:abstractNum w:abstractNumId="18">
    <w:nsid w:val="5DB70AE5"/>
    <w:multiLevelType w:val="hybridMultilevel"/>
    <w:lvl w:ilvl="0">
      <w:lvlJc w:val="left"/>
      <w:lvlText w:val="•"/>
      <w:numFmt w:val="bullet"/>
      <w:start w:val="1"/>
    </w:lvl>
  </w:abstractNum>
  <w:abstractNum w:abstractNumId="19">
    <w:nsid w:val="100F8FCA"/>
    <w:multiLevelType w:val="hybridMultilevel"/>
    <w:lvl w:ilvl="0">
      <w:lvlJc w:val="left"/>
      <w:lvlText w:val="•"/>
      <w:numFmt w:val="bullet"/>
      <w:start w:val="1"/>
    </w:lvl>
  </w:abstractNum>
  <w:abstractNum w:abstractNumId="20">
    <w:nsid w:val="6590700B"/>
    <w:multiLevelType w:val="hybridMultilevel"/>
    <w:lvl w:ilvl="0">
      <w:lvlJc w:val="left"/>
      <w:lvlText w:val="•"/>
      <w:numFmt w:val="bullet"/>
      <w:start w:val="1"/>
    </w:lvl>
  </w:abstractNum>
  <w:abstractNum w:abstractNumId="21">
    <w:nsid w:val="15014ACB"/>
    <w:multiLevelType w:val="hybridMultilevel"/>
    <w:lvl w:ilvl="0">
      <w:lvlJc w:val="left"/>
      <w:lvlText w:val="•"/>
      <w:numFmt w:val="bullet"/>
      <w:start w:val="1"/>
    </w:lvl>
  </w:abstractNum>
  <w:abstractNum w:abstractNumId="22">
    <w:nsid w:val="5F5E7FD0"/>
    <w:multiLevelType w:val="hybridMultilevel"/>
    <w:lvl w:ilvl="0">
      <w:lvlJc w:val="left"/>
      <w:lvlText w:val="•"/>
      <w:numFmt w:val="bullet"/>
      <w:start w:val="1"/>
    </w:lvl>
  </w:abstractNum>
  <w:abstractNum w:abstractNumId="23">
    <w:nsid w:val="98A3148"/>
    <w:multiLevelType w:val="hybridMultilevel"/>
    <w:lvl w:ilvl="0">
      <w:lvlJc w:val="left"/>
      <w:lvlText w:val="•"/>
      <w:numFmt w:val="bullet"/>
      <w:start w:val="1"/>
    </w:lvl>
  </w:abstractNum>
  <w:abstractNum w:abstractNumId="24">
    <w:nsid w:val="799D0247"/>
    <w:multiLevelType w:val="hybridMultilevel"/>
    <w:lvl w:ilvl="0">
      <w:lvlJc w:val="left"/>
      <w:lvlText w:val="•"/>
      <w:numFmt w:val="bullet"/>
      <w:start w:val="1"/>
    </w:lvl>
  </w:abstractNum>
  <w:abstractNum w:abstractNumId="25">
    <w:nsid w:val="6B94764"/>
    <w:multiLevelType w:val="hybridMultilevel"/>
    <w:lvl w:ilvl="0">
      <w:lvlJc w:val="left"/>
      <w:lvlText w:val="•"/>
      <w:numFmt w:val="bullet"/>
      <w:start w:val="1"/>
    </w:lvl>
  </w:abstractNum>
  <w:abstractNum w:abstractNumId="26">
    <w:nsid w:val="42C296BD"/>
    <w:multiLevelType w:val="hybridMultilevel"/>
    <w:lvl w:ilvl="0">
      <w:lvlJc w:val="left"/>
      <w:lvlText w:val="•"/>
      <w:numFmt w:val="bullet"/>
      <w:start w:val="1"/>
    </w:lvl>
  </w:abstractNum>
  <w:abstractNum w:abstractNumId="27">
    <w:nsid w:val="168E121F"/>
    <w:multiLevelType w:val="hybridMultilevel"/>
    <w:lvl w:ilvl="0">
      <w:lvlJc w:val="left"/>
      <w:lvlText w:val="•"/>
      <w:numFmt w:val="bullet"/>
      <w:start w:val="1"/>
    </w:lvl>
  </w:abstractNum>
  <w:abstractNum w:abstractNumId="28">
    <w:nsid w:val="1EBA5D23"/>
    <w:multiLevelType w:val="hybridMultilevel"/>
    <w:lvl w:ilvl="0">
      <w:lvlJc w:val="left"/>
      <w:lvlText w:val="•"/>
      <w:numFmt w:val="bullet"/>
      <w:start w:val="1"/>
    </w:lvl>
  </w:abstractNum>
  <w:abstractNum w:abstractNumId="29">
    <w:nsid w:val="661E3F1E"/>
    <w:multiLevelType w:val="hybridMultilevel"/>
    <w:lvl w:ilvl="0">
      <w:lvlJc w:val="left"/>
      <w:lvlText w:val="•"/>
      <w:numFmt w:val="bullet"/>
      <w:start w:val="1"/>
    </w:lvl>
  </w:abstractNum>
  <w:abstractNum w:abstractNumId="30">
    <w:nsid w:val="5DC79EA8"/>
    <w:multiLevelType w:val="hybridMultilevel"/>
    <w:lvl w:ilvl="0">
      <w:lvlJc w:val="left"/>
      <w:lvlText w:val="•"/>
      <w:numFmt w:val="bullet"/>
      <w:start w:val="1"/>
    </w:lvl>
  </w:abstractNum>
  <w:abstractNum w:abstractNumId="31">
    <w:nsid w:val="540A471C"/>
    <w:multiLevelType w:val="hybridMultilevel"/>
    <w:lvl w:ilvl="0">
      <w:lvlJc w:val="left"/>
      <w:lvlText w:val="•"/>
      <w:numFmt w:val="bullet"/>
      <w:start w:val="1"/>
    </w:lvl>
  </w:abstractNum>
  <w:abstractNum w:abstractNumId="32">
    <w:nsid w:val="7BD3EE7B"/>
    <w:multiLevelType w:val="hybridMultilevel"/>
    <w:lvl w:ilvl="0">
      <w:lvlJc w:val="left"/>
      <w:lvlText w:val="•"/>
      <w:numFmt w:val="bullet"/>
      <w:start w:val="1"/>
    </w:lvl>
  </w:abstractNum>
  <w:abstractNum w:abstractNumId="33">
    <w:nsid w:val="51D9C564"/>
    <w:multiLevelType w:val="hybridMultilevel"/>
    <w:lvl w:ilvl="0">
      <w:lvlJc w:val="left"/>
      <w:lvlText w:val="•"/>
      <w:numFmt w:val="bullet"/>
      <w:start w:val="1"/>
    </w:lvl>
  </w:abstractNum>
  <w:abstractNum w:abstractNumId="34">
    <w:nsid w:val="613EFDC5"/>
    <w:multiLevelType w:val="hybridMultilevel"/>
    <w:lvl w:ilvl="0">
      <w:lvlJc w:val="left"/>
      <w:lvlText w:val="•"/>
      <w:numFmt w:val="bullet"/>
      <w:start w:val="1"/>
    </w:lvl>
  </w:abstractNum>
  <w:abstractNum w:abstractNumId="35">
    <w:nsid w:val="BF72B14"/>
    <w:multiLevelType w:val="hybridMultilevel"/>
    <w:lvl w:ilvl="0">
      <w:lvlJc w:val="left"/>
      <w:lvlText w:val="•"/>
      <w:numFmt w:val="bullet"/>
      <w:start w:val="1"/>
    </w:lvl>
  </w:abstractNum>
  <w:abstractNum w:abstractNumId="36">
    <w:nsid w:val="11447B73"/>
    <w:multiLevelType w:val="hybridMultilevel"/>
    <w:lvl w:ilvl="0">
      <w:lvlJc w:val="left"/>
      <w:lvlText w:val="•"/>
      <w:numFmt w:val="bullet"/>
      <w:start w:val="1"/>
    </w:lvl>
  </w:abstractNum>
  <w:abstractNum w:abstractNumId="37">
    <w:nsid w:val="42963E5A"/>
    <w:multiLevelType w:val="hybridMultilevel"/>
    <w:lvl w:ilvl="0">
      <w:lvlJc w:val="left"/>
      <w:lvlText w:val="•"/>
      <w:numFmt w:val="bullet"/>
      <w:start w:val="1"/>
    </w:lvl>
  </w:abstractNum>
  <w:abstractNum w:abstractNumId="38">
    <w:nsid w:val="A0382C5"/>
    <w:multiLevelType w:val="hybridMultilevel"/>
    <w:lvl w:ilvl="0">
      <w:lvlJc w:val="left"/>
      <w:lvlText w:val="•"/>
      <w:numFmt w:val="bullet"/>
      <w:start w:val="1"/>
    </w:lvl>
  </w:abstractNum>
  <w:abstractNum w:abstractNumId="39">
    <w:nsid w:val="8F2B15E"/>
    <w:multiLevelType w:val="hybridMultilevel"/>
    <w:lvl w:ilvl="0">
      <w:lvlJc w:val="left"/>
      <w:lvlText w:val="•"/>
      <w:numFmt w:val="bullet"/>
      <w:start w:val="1"/>
    </w:lvl>
  </w:abstractNum>
  <w:abstractNum w:abstractNumId="40">
    <w:nsid w:val="1A32234B"/>
    <w:multiLevelType w:val="hybridMultilevel"/>
    <w:lvl w:ilvl="0">
      <w:lvlJc w:val="left"/>
      <w:lvlText w:val="•"/>
      <w:numFmt w:val="bullet"/>
      <w:start w:val="1"/>
    </w:lvl>
  </w:abstractNum>
  <w:abstractNum w:abstractNumId="41">
    <w:nsid w:val="3B0FD379"/>
    <w:multiLevelType w:val="hybridMultilevel"/>
    <w:lvl w:ilvl="0">
      <w:lvlJc w:val="left"/>
      <w:lvlText w:val="•"/>
      <w:numFmt w:val="bullet"/>
      <w:start w:val="1"/>
    </w:lvl>
  </w:abstractNum>
  <w:abstractNum w:abstractNumId="42">
    <w:nsid w:val="68EB2F63"/>
    <w:multiLevelType w:val="hybridMultilevel"/>
    <w:lvl w:ilvl="0">
      <w:lvlJc w:val="left"/>
      <w:lvlText w:val="•"/>
      <w:numFmt w:val="bullet"/>
      <w:start w:val="1"/>
    </w:lvl>
  </w:abstractNum>
  <w:abstractNum w:abstractNumId="43">
    <w:nsid w:val="4962813B"/>
    <w:multiLevelType w:val="hybridMultilevel"/>
    <w:lvl w:ilvl="0">
      <w:lvlJc w:val="left"/>
      <w:lvlText w:val="•"/>
      <w:numFmt w:val="bullet"/>
      <w:start w:val="1"/>
    </w:lvl>
  </w:abstractNum>
  <w:abstractNum w:abstractNumId="44">
    <w:nsid w:val="60B6DF70"/>
    <w:multiLevelType w:val="hybridMultilevel"/>
    <w:lvl w:ilvl="0">
      <w:lvlJc w:val="left"/>
      <w:lvlText w:val="•"/>
      <w:numFmt w:val="bullet"/>
      <w:start w:val="1"/>
    </w:lvl>
  </w:abstractNum>
  <w:abstractNum w:abstractNumId="45">
    <w:nsid w:val="6A5EE64"/>
    <w:multiLevelType w:val="hybridMultilevel"/>
    <w:lvl w:ilvl="0">
      <w:lvlJc w:val="left"/>
      <w:lvlText w:val="•"/>
      <w:numFmt w:val="bullet"/>
      <w:start w:val="1"/>
    </w:lvl>
  </w:abstractNum>
  <w:abstractNum w:abstractNumId="46">
    <w:nsid w:val="14330624"/>
    <w:multiLevelType w:val="hybridMultilevel"/>
    <w:lvl w:ilvl="0">
      <w:lvlJc w:val="left"/>
      <w:lvlText w:val="•"/>
      <w:numFmt w:val="bullet"/>
      <w:start w:val="1"/>
    </w:lvl>
  </w:abstractNum>
  <w:abstractNum w:abstractNumId="47">
    <w:nsid w:val="7FFFCA11"/>
    <w:multiLevelType w:val="hybridMultilevel"/>
    <w:lvl w:ilvl="0">
      <w:lvlJc w:val="left"/>
      <w:lvlText w:val="•"/>
      <w:numFmt w:val="bullet"/>
      <w:start w:val="1"/>
    </w:lvl>
  </w:abstractNum>
  <w:abstractNum w:abstractNumId="48">
    <w:nsid w:val="1A27709E"/>
    <w:multiLevelType w:val="hybridMultilevel"/>
    <w:lvl w:ilvl="0">
      <w:lvlJc w:val="left"/>
      <w:lvlText w:val="•"/>
      <w:numFmt w:val="bullet"/>
      <w:start w:val="1"/>
    </w:lvl>
  </w:abstractNum>
  <w:abstractNum w:abstractNumId="49">
    <w:nsid w:val="71EA1109"/>
    <w:multiLevelType w:val="hybridMultilevel"/>
    <w:lvl w:ilvl="0">
      <w:lvlJc w:val="left"/>
      <w:lvlText w:val="•"/>
      <w:numFmt w:val="bullet"/>
      <w:start w:val="1"/>
    </w:lvl>
  </w:abstractNum>
  <w:abstractNum w:abstractNumId="50">
    <w:nsid w:val="100F59DC"/>
    <w:multiLevelType w:val="hybridMultilevel"/>
    <w:lvl w:ilvl="0">
      <w:lvlJc w:val="left"/>
      <w:lvlText w:val="•"/>
      <w:numFmt w:val="bullet"/>
      <w:start w:val="1"/>
    </w:lvl>
  </w:abstractNum>
  <w:abstractNum w:abstractNumId="51">
    <w:nsid w:val="7FB7E0AA"/>
    <w:multiLevelType w:val="hybridMultilevel"/>
    <w:lvl w:ilvl="0">
      <w:lvlJc w:val="left"/>
      <w:lvlText w:val="•"/>
      <w:numFmt w:val="bullet"/>
      <w:start w:val="1"/>
    </w:lvl>
  </w:abstractNum>
  <w:abstractNum w:abstractNumId="52">
    <w:nsid w:val="6EB5BD4"/>
    <w:multiLevelType w:val="hybridMultilevel"/>
    <w:lvl w:ilvl="0">
      <w:lvlJc w:val="left"/>
      <w:lvlText w:val="†"/>
      <w:numFmt w:val="bullet"/>
      <w:start w:val="1"/>
    </w:lvl>
  </w:abstractNum>
  <w:abstractNum w:abstractNumId="53">
    <w:nsid w:val="6F6DD9AC"/>
    <w:multiLevelType w:val="hybridMultilevel"/>
    <w:lvl w:ilvl="0">
      <w:lvlJc w:val="left"/>
      <w:lvlText w:val="•"/>
      <w:numFmt w:val="bullet"/>
      <w:start w:val="1"/>
    </w:lvl>
  </w:abstractNum>
  <w:abstractNum w:abstractNumId="54">
    <w:nsid w:val="94211F2"/>
    <w:multiLevelType w:val="hybridMultilevel"/>
    <w:lvl w:ilvl="0">
      <w:lvlJc w:val="left"/>
      <w:lvlText w:val="•"/>
      <w:numFmt w:val="bullet"/>
      <w:start w:val="1"/>
    </w:lvl>
  </w:abstractNum>
  <w:abstractNum w:abstractNumId="55">
    <w:nsid w:val="885E1B"/>
    <w:multiLevelType w:val="hybridMultilevel"/>
    <w:lvl w:ilvl="0">
      <w:lvlJc w:val="left"/>
      <w:lvlText w:val="(%1)"/>
      <w:numFmt w:val="decimal"/>
      <w:start w:val="1"/>
    </w:lvl>
  </w:abstractNum>
  <w:abstractNum w:abstractNumId="56">
    <w:nsid w:val="76272110"/>
    <w:multiLevelType w:val="hybridMultilevel"/>
    <w:lvl w:ilvl="0">
      <w:lvlJc w:val="left"/>
      <w:lvlText w:val="(%1)"/>
      <w:numFmt w:val="decimal"/>
      <w:start w:val="1"/>
    </w:lvl>
  </w:abstractNum>
  <w:abstractNum w:abstractNumId="57">
    <w:nsid w:val="4C04A8AF"/>
    <w:multiLevelType w:val="hybridMultilevel"/>
    <w:lvl w:ilvl="0">
      <w:lvlJc w:val="left"/>
      <w:lvlText w:val="•"/>
      <w:numFmt w:val="bullet"/>
      <w:start w:val="1"/>
    </w:lvl>
  </w:abstractNum>
  <w:abstractNum w:abstractNumId="58">
    <w:nsid w:val="1716703B"/>
    <w:multiLevelType w:val="hybridMultilevel"/>
    <w:lvl w:ilvl="0">
      <w:lvlJc w:val="left"/>
      <w:lvlText w:val="•"/>
      <w:numFmt w:val="bullet"/>
      <w:start w:val="1"/>
    </w:lvl>
  </w:abstractNum>
  <w:abstractNum w:abstractNumId="59">
    <w:nsid w:val="14E17E33"/>
    <w:multiLevelType w:val="hybridMultilevel"/>
    <w:lvl w:ilvl="0">
      <w:lvlJc w:val="left"/>
      <w:lvlText w:val="•"/>
      <w:numFmt w:val="bullet"/>
      <w:start w:val="1"/>
    </w:lvl>
  </w:abstractNum>
  <w:abstractNum w:abstractNumId="60">
    <w:nsid w:val="3222E7CD"/>
    <w:multiLevelType w:val="hybridMultilevel"/>
    <w:lvl w:ilvl="0">
      <w:lvlJc w:val="left"/>
      <w:lvlText w:val="•"/>
      <w:numFmt w:val="bullet"/>
      <w:start w:val="1"/>
    </w:lvl>
  </w:abstractNum>
  <w:abstractNum w:abstractNumId="61">
    <w:nsid w:val="74DE0EE3"/>
    <w:multiLevelType w:val="hybridMultilevel"/>
    <w:lvl w:ilvl="0">
      <w:lvlJc w:val="left"/>
      <w:lvlText w:val="•"/>
      <w:numFmt w:val="bullet"/>
      <w:start w:val="1"/>
    </w:lvl>
  </w:abstractNum>
  <w:abstractNum w:abstractNumId="62">
    <w:nsid w:val="68EBC550"/>
    <w:multiLevelType w:val="hybridMultilevel"/>
    <w:lvl w:ilvl="0">
      <w:lvlJc w:val="left"/>
      <w:lvlText w:val="•"/>
      <w:numFmt w:val="bullet"/>
      <w:start w:val="1"/>
    </w:lvl>
  </w:abstractNum>
  <w:abstractNum w:abstractNumId="63">
    <w:nsid w:val="2DF6D648"/>
    <w:multiLevelType w:val="hybridMultilevel"/>
    <w:lvl w:ilvl="0">
      <w:lvlJc w:val="left"/>
      <w:lvlText w:val="•"/>
      <w:numFmt w:val="bullet"/>
      <w:start w:val="1"/>
    </w:lvl>
  </w:abstractNum>
  <w:abstractNum w:abstractNumId="64">
    <w:nsid w:val="46B7D447"/>
    <w:multiLevelType w:val="hybridMultilevel"/>
    <w:lvl w:ilvl="0">
      <w:lvlJc w:val="left"/>
      <w:lvlText w:val="•"/>
      <w:numFmt w:val="bullet"/>
      <w:start w:val="1"/>
    </w:lvl>
  </w:abstractNum>
  <w:abstractNum w:abstractNumId="65">
    <w:nsid w:val="4A2AC315"/>
    <w:multiLevelType w:val="hybridMultilevel"/>
    <w:lvl w:ilvl="0">
      <w:lvlJc w:val="left"/>
      <w:lvlText w:val="•"/>
      <w:numFmt w:val="bullet"/>
      <w:start w:val="1"/>
    </w:lvl>
  </w:abstractNum>
  <w:abstractNum w:abstractNumId="66">
    <w:nsid w:val="39EE015C"/>
    <w:multiLevelType w:val="hybridMultilevel"/>
    <w:lvl w:ilvl="0">
      <w:lvlJc w:val="left"/>
      <w:lvlText w:val="•"/>
      <w:numFmt w:val="bullet"/>
      <w:start w:val="1"/>
    </w:lvl>
  </w:abstractNum>
  <w:abstractNum w:abstractNumId="67">
    <w:nsid w:val="57FC4FBB"/>
    <w:multiLevelType w:val="hybridMultilevel"/>
    <w:lvl w:ilvl="0">
      <w:lvlJc w:val="left"/>
      <w:lvlText w:val="(%1)"/>
      <w:numFmt w:val="lowerLetter"/>
      <w:start w:val="1"/>
    </w:lvl>
  </w:abstractNum>
  <w:abstractNum w:abstractNumId="68">
    <w:nsid w:val="CC1016F"/>
    <w:multiLevelType w:val="hybridMultilevel"/>
    <w:lvl w:ilvl="0">
      <w:lvlJc w:val="left"/>
      <w:lvlText w:val="•"/>
      <w:numFmt w:val="bullet"/>
      <w:start w:val="1"/>
    </w:lvl>
  </w:abstractNum>
  <w:abstractNum w:abstractNumId="69">
    <w:nsid w:val="43F18422"/>
    <w:multiLevelType w:val="hybridMultilevel"/>
    <w:lvl w:ilvl="0">
      <w:lvlJc w:val="left"/>
      <w:lvlText w:val="•"/>
      <w:numFmt w:val="bullet"/>
      <w:start w:val="1"/>
    </w:lvl>
  </w:abstractNum>
  <w:abstractNum w:abstractNumId="70">
    <w:nsid w:val="60EF0119"/>
    <w:multiLevelType w:val="hybridMultilevel"/>
    <w:lvl w:ilvl="0">
      <w:lvlJc w:val="left"/>
      <w:lvlText w:val="•"/>
      <w:numFmt w:val="bullet"/>
      <w:start w:val="1"/>
    </w:lvl>
  </w:abstractNum>
  <w:abstractNum w:abstractNumId="71">
    <w:nsid w:val="26F324BA"/>
    <w:multiLevelType w:val="hybridMultilevel"/>
    <w:lvl w:ilvl="0">
      <w:lvlJc w:val="left"/>
      <w:lvlText w:val="•"/>
      <w:numFmt w:val="bullet"/>
      <w:start w:val="1"/>
    </w:lvl>
  </w:abstractNum>
  <w:abstractNum w:abstractNumId="72">
    <w:nsid w:val="7F01579B"/>
    <w:multiLevelType w:val="hybridMultilevel"/>
    <w:lvl w:ilvl="0">
      <w:lvlJc w:val="left"/>
      <w:lvlText w:val="•"/>
      <w:numFmt w:val="bullet"/>
      <w:start w:val="1"/>
    </w:lvl>
  </w:abstractNum>
  <w:abstractNum w:abstractNumId="73">
    <w:nsid w:val="49DA307D"/>
    <w:multiLevelType w:val="hybridMultilevel"/>
    <w:lvl w:ilvl="0">
      <w:lvlJc w:val="left"/>
      <w:lvlText w:val="•"/>
      <w:numFmt w:val="bullet"/>
      <w:start w:val="1"/>
    </w:lvl>
  </w:abstractNum>
  <w:abstractNum w:abstractNumId="74">
    <w:nsid w:val="7055A5F5"/>
    <w:multiLevelType w:val="hybridMultilevel"/>
    <w:lvl w:ilvl="0">
      <w:lvlJc w:val="left"/>
      <w:lvlText w:val="•"/>
      <w:numFmt w:val="bullet"/>
      <w:start w:val="1"/>
    </w:lvl>
  </w:abstractNum>
  <w:abstractNum w:abstractNumId="75">
    <w:nsid w:val="5FB8370B"/>
    <w:multiLevelType w:val="hybridMultilevel"/>
    <w:lvl w:ilvl="0">
      <w:lvlJc w:val="left"/>
      <w:lvlText w:val="•"/>
      <w:numFmt w:val="bullet"/>
      <w:start w:val="1"/>
    </w:lvl>
  </w:abstractNum>
  <w:abstractNum w:abstractNumId="76">
    <w:nsid w:val="50801EE1"/>
    <w:multiLevelType w:val="hybridMultilevel"/>
    <w:lvl w:ilvl="0">
      <w:lvlJc w:val="left"/>
      <w:lvlText w:val="•"/>
      <w:numFmt w:val="bullet"/>
      <w:start w:val="1"/>
    </w:lvl>
  </w:abstractNum>
  <w:abstractNum w:abstractNumId="77">
    <w:nsid w:val="488AC1A"/>
    <w:multiLevelType w:val="hybridMultilevel"/>
    <w:lvl w:ilvl="0">
      <w:lvlJc w:val="left"/>
      <w:lvlText w:val="•"/>
      <w:numFmt w:val="bullet"/>
      <w:start w:val="1"/>
    </w:lvl>
  </w:abstractNum>
  <w:abstractNum w:abstractNumId="78">
    <w:nsid w:val="5FB8011C"/>
    <w:multiLevelType w:val="hybridMultilevel"/>
    <w:lvl w:ilvl="0">
      <w:lvlJc w:val="left"/>
      <w:lvlText w:val="•"/>
      <w:numFmt w:val="bullet"/>
      <w:start w:val="1"/>
    </w:lvl>
  </w:abstractNum>
  <w:abstractNum w:abstractNumId="79">
    <w:nsid w:val="6AA78F7F"/>
    <w:multiLevelType w:val="hybridMultilevel"/>
    <w:lvl w:ilvl="0">
      <w:lvlJc w:val="left"/>
      <w:lvlText w:val="•"/>
      <w:numFmt w:val="bullet"/>
      <w:start w:val="1"/>
    </w:lvl>
  </w:abstractNum>
  <w:abstractNum w:abstractNumId="80">
    <w:nsid w:val="7672BD23"/>
    <w:multiLevelType w:val="hybridMultilevel"/>
    <w:lvl w:ilvl="0">
      <w:lvlJc w:val="left"/>
      <w:lvlText w:val="(%1)"/>
      <w:numFmt w:val="lowerRoman"/>
      <w:start w:val="2"/>
    </w:lvl>
  </w:abstractNum>
  <w:abstractNum w:abstractNumId="81">
    <w:nsid w:val="6FC75AF8"/>
    <w:multiLevelType w:val="hybridMultilevel"/>
    <w:lvl w:ilvl="0">
      <w:lvlJc w:val="left"/>
      <w:lvlText w:val="[***]"/>
      <w:numFmt w:val="bullet"/>
      <w:start w:val="1"/>
    </w:lvl>
  </w:abstractNum>
  <w:abstractNum w:abstractNumId="82">
    <w:nsid w:val="6A5F7029"/>
    <w:multiLevelType w:val="hybridMultilevel"/>
    <w:lvl w:ilvl="0">
      <w:lvlJc w:val="left"/>
      <w:lvlText w:val="%1."/>
      <w:numFmt w:val="decimal"/>
      <w:start w:val="1"/>
    </w:lvl>
  </w:abstractNum>
  <w:abstractNum w:abstractNumId="83">
    <w:nsid w:val="7D5E18F8"/>
    <w:multiLevelType w:val="hybridMultilevel"/>
    <w:lvl w:ilvl="0">
      <w:lvlJc w:val="left"/>
      <w:lvlText w:val="\ldblquote"/>
      <w:numFmt w:val="bullet"/>
      <w:start w:val="1"/>
    </w:lvl>
  </w:abstractNum>
  <w:abstractNum w:abstractNumId="84">
    <w:nsid w:val="5F3534A4"/>
    <w:multiLevelType w:val="hybridMultilevel"/>
    <w:lvl w:ilvl="0">
      <w:lvlJc w:val="left"/>
      <w:lvlText w:val="\ldblquote"/>
      <w:numFmt w:val="bullet"/>
      <w:start w:val="1"/>
    </w:lvl>
  </w:abstractNum>
  <w:abstractNum w:abstractNumId="85">
    <w:nsid w:val="73A1821B"/>
    <w:multiLevelType w:val="hybridMultilevel"/>
    <w:lvl w:ilvl="0">
      <w:lvlJc w:val="left"/>
      <w:lvlText w:val="\ldblquote"/>
      <w:numFmt w:val="bullet"/>
      <w:start w:val="1"/>
    </w:lvl>
  </w:abstractNum>
  <w:abstractNum w:abstractNumId="86">
    <w:nsid w:val="7DE67713"/>
    <w:multiLevelType w:val="hybridMultilevel"/>
    <w:lvl w:ilvl="0">
      <w:lvlJc w:val="left"/>
      <w:lvlText w:val="\ldblquote"/>
      <w:numFmt w:val="bullet"/>
      <w:start w:val="1"/>
    </w:lvl>
  </w:abstractNum>
  <w:abstractNum w:abstractNumId="87">
    <w:nsid w:val="555C55B5"/>
    <w:multiLevelType w:val="hybridMultilevel"/>
    <w:lvl w:ilvl="0">
      <w:lvlJc w:val="left"/>
      <w:lvlText w:val="\ldblquote"/>
      <w:numFmt w:val="bullet"/>
      <w:start w:val="1"/>
    </w:lvl>
  </w:abstractNum>
  <w:abstractNum w:abstractNumId="88">
    <w:nsid w:val="3FA62ACA"/>
    <w:multiLevelType w:val="hybridMultilevel"/>
    <w:lvl w:ilvl="0">
      <w:lvlJc w:val="left"/>
      <w:lvlText w:val="%1."/>
      <w:numFmt w:val="decimal"/>
      <w:start w:val="3"/>
    </w:lvl>
  </w:abstractNum>
  <w:abstractNum w:abstractNumId="89">
    <w:nsid w:val="14FCE74E"/>
    <w:multiLevelType w:val="hybridMultilevel"/>
    <w:lvl w:ilvl="0">
      <w:lvlJc w:val="left"/>
      <w:lvlText w:val="%1."/>
      <w:numFmt w:val="decimal"/>
      <w:start w:val="6"/>
    </w:lvl>
  </w:abstractNum>
  <w:abstractNum w:abstractNumId="90">
    <w:nsid w:val="6A3DD3E8"/>
    <w:multiLevelType w:val="hybridMultilevel"/>
    <w:lvl w:ilvl="0">
      <w:lvlJc w:val="left"/>
      <w:lvlText w:val="%1"/>
      <w:numFmt w:val="upperLetter"/>
      <w:start w:val="1"/>
    </w:lvl>
    <w:lvl w:ilvl="1">
      <w:lvlJc w:val="left"/>
      <w:lvlText w:val="•"/>
      <w:numFmt w:val="bullet"/>
      <w:start w:val="1"/>
    </w:lvl>
  </w:abstractNum>
  <w:abstractNum w:abstractNumId="91">
    <w:nsid w:val="71C91298"/>
    <w:multiLevelType w:val="hybridMultilevel"/>
    <w:lvl w:ilvl="0">
      <w:lvlJc w:val="left"/>
      <w:lvlText w:val="%1."/>
      <w:numFmt w:val="upperLetter"/>
      <w:start w:val="35"/>
    </w:lvl>
  </w:abstractNum>
  <w:abstractNum w:abstractNumId="92">
    <w:nsid w:val="9DAF632"/>
    <w:multiLevelType w:val="hybridMultilevel"/>
    <w:lvl w:ilvl="0">
      <w:lvlJc w:val="left"/>
      <w:lvlText w:val="•"/>
      <w:numFmt w:val="bullet"/>
      <w:start w:val="1"/>
    </w:lvl>
    <w:lvl w:ilvl="1">
      <w:lvlJc w:val="left"/>
      <w:lvlText w:val="•"/>
      <w:numFmt w:val="bullet"/>
      <w:start w:val="1"/>
    </w:lvl>
  </w:abstractNum>
  <w:abstractNum w:abstractNumId="93">
    <w:nsid w:val="53299938"/>
    <w:multiLevelType w:val="hybridMultilevel"/>
    <w:lvl w:ilvl="0">
      <w:lvlJc w:val="left"/>
      <w:lvlText w:val="%1."/>
      <w:numFmt w:val="upperLetter"/>
      <w:start w:val="61"/>
    </w:lvl>
  </w:abstractNum>
  <w:abstractNum w:abstractNumId="94">
    <w:nsid w:val="1FBFE8E0"/>
    <w:multiLevelType w:val="hybridMultilevel"/>
    <w:lvl w:ilvl="0">
      <w:lvlJc w:val="left"/>
      <w:lvlText w:val="•"/>
      <w:numFmt w:val="bullet"/>
      <w:start w:val="1"/>
    </w:lvl>
  </w:abstractNum>
  <w:abstractNum w:abstractNumId="95">
    <w:nsid w:val="5092CA79"/>
    <w:multiLevelType w:val="hybridMultilevel"/>
    <w:lvl w:ilvl="0">
      <w:lvlJc w:val="left"/>
      <w:lvlText w:val="%1."/>
      <w:numFmt w:val="upperLetter"/>
      <w:start w:val="1"/>
    </w:lvl>
  </w:abstractNum>
  <w:abstractNum w:abstractNumId="96">
    <w:nsid w:val="1D545C4D"/>
    <w:multiLevelType w:val="hybridMultilevel"/>
    <w:lvl w:ilvl="0">
      <w:lvlJc w:val="left"/>
      <w:lvlText w:val="%1."/>
      <w:numFmt w:val="upperLetter"/>
      <w:start w:val="2"/>
    </w:lvl>
  </w:abstractNum>
  <w:abstractNum w:abstractNumId="97">
    <w:nsid w:val="59ADEA3D"/>
    <w:multiLevelType w:val="hybridMultilevel"/>
    <w:lvl w:ilvl="0">
      <w:lvlJc w:val="left"/>
      <w:lvlText w:val="%1."/>
      <w:numFmt w:val="upperLetter"/>
      <w:start w:val="3"/>
    </w:lvl>
  </w:abstractNum>
  <w:abstractNum w:abstractNumId="98">
    <w:nsid w:val="288F1A34"/>
    <w:multiLevelType w:val="hybridMultilevel"/>
    <w:lvl w:ilvl="0">
      <w:lvlJc w:val="left"/>
      <w:lvlText w:val="%1."/>
      <w:numFmt w:val="upperLetter"/>
      <w:start w:val="22"/>
    </w:lvl>
  </w:abstractNum>
  <w:abstractNum w:abstractNumId="99">
    <w:nsid w:val="2A155DBC"/>
    <w:multiLevelType w:val="hybridMultilevel"/>
    <w:lvl w:ilvl="0">
      <w:lvlJc w:val="left"/>
      <w:lvlText w:val="%1."/>
      <w:numFmt w:val="upperLetter"/>
      <w:start w:val="1"/>
    </w:lvl>
  </w:abstractNum>
  <w:abstractNum w:abstractNumId="100">
    <w:nsid w:val="1D9F6E5F"/>
    <w:multiLevelType w:val="hybridMultilevel"/>
    <w:lvl w:ilvl="0">
      <w:lvlJc w:val="left"/>
      <w:lvlText w:val="%1."/>
      <w:numFmt w:val="upperLetter"/>
      <w:start w:val="2"/>
    </w:lvl>
  </w:abstractNum>
  <w:abstractNum w:abstractNumId="101">
    <w:nsid w:val="97E1B4E"/>
    <w:multiLevelType w:val="hybridMultilevel"/>
    <w:lvl w:ilvl="0">
      <w:lvlJc w:val="left"/>
      <w:lvlText w:val="%1."/>
      <w:numFmt w:val="upperLetter"/>
      <w:start w:val="3"/>
    </w:lvl>
  </w:abstractNum>
  <w:abstractNum w:abstractNumId="102">
    <w:nsid w:val="51088277"/>
    <w:multiLevelType w:val="hybridMultilevel"/>
    <w:lvl w:ilvl="0">
      <w:lvlJc w:val="left"/>
      <w:lvlText w:val="%1."/>
      <w:numFmt w:val="upperLetter"/>
      <w:start w:val="4"/>
    </w:lvl>
  </w:abstractNum>
  <w:abstractNum w:abstractNumId="103">
    <w:nsid w:val="1CA0C5FA"/>
    <w:multiLevelType w:val="hybridMultilevel"/>
    <w:lvl w:ilvl="0">
      <w:lvlJc w:val="left"/>
      <w:lvlText w:val="%1."/>
      <w:numFmt w:val="upperLetter"/>
      <w:start w:val="5"/>
    </w:lvl>
  </w:abstractNum>
  <w:abstractNum w:abstractNumId="104">
    <w:nsid w:val="53584BCB"/>
    <w:multiLevelType w:val="hybridMultilevel"/>
    <w:lvl w:ilvl="0">
      <w:lvlJc w:val="left"/>
      <w:lvlText w:val="•"/>
      <w:numFmt w:val="bullet"/>
      <w:start w:val="1"/>
    </w:lvl>
  </w:abstractNum>
  <w:abstractNum w:abstractNumId="105">
    <w:nsid w:val="415E286C"/>
    <w:multiLevelType w:val="hybridMultilevel"/>
    <w:lvl w:ilvl="0">
      <w:lvlJc w:val="left"/>
      <w:lvlText w:val="%1."/>
      <w:numFmt w:val="upperLetter"/>
      <w:start w:val="1"/>
    </w:lvl>
  </w:abstractNum>
  <w:abstractNum w:abstractNumId="106">
    <w:nsid w:val="7C58FD05"/>
    <w:multiLevelType w:val="hybridMultilevel"/>
    <w:lvl w:ilvl="0">
      <w:lvlJc w:val="left"/>
      <w:lvlText w:val="•"/>
      <w:numFmt w:val="bullet"/>
      <w:start w:val="1"/>
    </w:lvl>
  </w:abstractNum>
  <w:abstractNum w:abstractNumId="107">
    <w:nsid w:val="23D86AAC"/>
    <w:multiLevelType w:val="hybridMultilevel"/>
    <w:lvl w:ilvl="0">
      <w:lvlJc w:val="left"/>
      <w:lvlText w:val="%1."/>
      <w:numFmt w:val="upperLetter"/>
      <w:start w:val="2"/>
    </w:lvl>
  </w:abstractNum>
  <w:abstractNum w:abstractNumId="108">
    <w:nsid w:val="45E6D486"/>
    <w:multiLevelType w:val="hybridMultilevel"/>
    <w:lvl w:ilvl="0">
      <w:lvlJc w:val="left"/>
      <w:lvlText w:val="%1."/>
      <w:numFmt w:val="upperLetter"/>
      <w:start w:val="3"/>
    </w:lvl>
  </w:abstractNum>
  <w:abstractNum w:abstractNumId="109">
    <w:nsid w:val="5C10FE21"/>
    <w:multiLevelType w:val="hybridMultilevel"/>
    <w:lvl w:ilvl="0">
      <w:lvlJc w:val="left"/>
      <w:lvlText w:val="%1."/>
      <w:numFmt w:val="upperLetter"/>
      <w:start w:val="4"/>
    </w:lvl>
  </w:abstractNum>
  <w:abstractNum w:abstractNumId="110">
    <w:nsid w:val="E7FFA2B"/>
    <w:multiLevelType w:val="hybridMultilevel"/>
    <w:lvl w:ilvl="0">
      <w:lvlJc w:val="left"/>
      <w:lvlText w:val="(%1)"/>
      <w:numFmt w:val="decimal"/>
      <w:start w:val="1"/>
    </w:lvl>
  </w:abstractNum>
  <w:abstractNum w:abstractNumId="111">
    <w:nsid w:val="3C5991AA"/>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112">
    <w:nsid w:val="4BD8591A"/>
    <w:multiLevelType w:val="hybridMultilevel"/>
    <w:lvl w:ilvl="0">
      <w:lvlJc w:val="left"/>
      <w:lvlText w:val="%1."/>
      <w:numFmt w:val="decimal"/>
      <w:start w:val="1"/>
    </w:lvl>
  </w:abstractNum>
  <w:abstractNum w:abstractNumId="113">
    <w:nsid w:val="78DF6A55"/>
    <w:multiLevelType w:val="hybridMultilevel"/>
    <w:lvl w:ilvl="0">
      <w:lvlJc w:val="left"/>
      <w:lvlText w:val="%1"/>
      <w:numFmt w:val="decimal"/>
      <w:start w:val="1"/>
    </w:lvl>
    <w:lvl w:ilvl="1">
      <w:lvlJc w:val="left"/>
      <w:lvlText w:val="(%2)"/>
      <w:numFmt w:val="lowerLetter"/>
      <w:start w:val="1"/>
    </w:lvl>
  </w:abstractNum>
  <w:abstractNum w:abstractNumId="114">
    <w:nsid w:val="39B7AAA2"/>
    <w:multiLevelType w:val="hybridMultilevel"/>
    <w:lvl w:ilvl="0">
      <w:lvlJc w:val="left"/>
      <w:lvlText w:val="%1."/>
      <w:numFmt w:val="decimal"/>
      <w:start w:val="5"/>
    </w:lvl>
    <w:lvl w:ilvl="1">
      <w:lvlJc w:val="left"/>
      <w:lvlText w:val="(%2)"/>
      <w:numFmt w:val="lowerLetter"/>
      <w:start w:val="1"/>
    </w:lvl>
  </w:abstractNum>
  <w:abstractNum w:abstractNumId="115">
    <w:nsid w:val="2B0D8DBE"/>
    <w:multiLevelType w:val="hybridMultilevel"/>
    <w:lvl w:ilvl="0">
      <w:lvlJc w:val="left"/>
      <w:lvlText w:val="(%1)"/>
      <w:numFmt w:val="decimal"/>
      <w:start w:val="1"/>
    </w:lvl>
  </w:abstractNum>
  <w:abstractNum w:abstractNumId="116">
    <w:nsid w:val="6C80EC7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61" Type="http://schemas.openxmlformats.org/officeDocument/2006/relationships/image" Target="media/image125.png"/><Relationship Id="rId162" Type="http://schemas.openxmlformats.org/officeDocument/2006/relationships/image" Target="media/image126.png"/><Relationship Id="rId163" Type="http://schemas.openxmlformats.org/officeDocument/2006/relationships/image" Target="media/image127.png"/><Relationship Id="rId164" Type="http://schemas.openxmlformats.org/officeDocument/2006/relationships/image" Target="media/image128.png"/><Relationship Id="rId165" Type="http://schemas.openxmlformats.org/officeDocument/2006/relationships/image" Target="media/image129.png"/><Relationship Id="rId166" Type="http://schemas.openxmlformats.org/officeDocument/2006/relationships/image" Target="media/image130.png"/><Relationship Id="rId167" Type="http://schemas.openxmlformats.org/officeDocument/2006/relationships/image" Target="media/image131.png"/><Relationship Id="rId168" Type="http://schemas.openxmlformats.org/officeDocument/2006/relationships/image" Target="media/image132.png"/><Relationship Id="rId169" Type="http://schemas.openxmlformats.org/officeDocument/2006/relationships/image" Target="media/image133.png"/><Relationship Id="rId170" Type="http://schemas.openxmlformats.org/officeDocument/2006/relationships/image" Target="media/image134.png"/><Relationship Id="rId171" Type="http://schemas.openxmlformats.org/officeDocument/2006/relationships/image" Target="media/image135.png"/><Relationship Id="rId172" Type="http://schemas.openxmlformats.org/officeDocument/2006/relationships/image" Target="media/image136.png"/><Relationship Id="rId173" Type="http://schemas.openxmlformats.org/officeDocument/2006/relationships/image" Target="media/image137.png"/><Relationship Id="rId174" Type="http://schemas.openxmlformats.org/officeDocument/2006/relationships/image" Target="media/image138.png"/><Relationship Id="rId175" Type="http://schemas.openxmlformats.org/officeDocument/2006/relationships/image" Target="media/image139.png"/><Relationship Id="rId176" Type="http://schemas.openxmlformats.org/officeDocument/2006/relationships/image" Target="media/image140.png"/><Relationship Id="rId177" Type="http://schemas.openxmlformats.org/officeDocument/2006/relationships/image" Target="media/image141.png"/><Relationship Id="rId178" Type="http://schemas.openxmlformats.org/officeDocument/2006/relationships/image" Target="media/image142.png"/><Relationship Id="rId179" Type="http://schemas.openxmlformats.org/officeDocument/2006/relationships/image" Target="media/image143.png"/><Relationship Id="rId180" Type="http://schemas.openxmlformats.org/officeDocument/2006/relationships/image" Target="media/image144.png"/><Relationship Id="rId181" Type="http://schemas.openxmlformats.org/officeDocument/2006/relationships/image" Target="media/image145.png"/><Relationship Id="rId182" Type="http://schemas.openxmlformats.org/officeDocument/2006/relationships/image" Target="media/image146.jpeg"/><Relationship Id="rId183" Type="http://schemas.openxmlformats.org/officeDocument/2006/relationships/image" Target="media/image147.jpeg"/><Relationship Id="rId184" Type="http://schemas.openxmlformats.org/officeDocument/2006/relationships/image" Target="media/image148.jpeg"/><Relationship Id="rId185" Type="http://schemas.openxmlformats.org/officeDocument/2006/relationships/image" Target="media/image149.jpeg"/><Relationship Id="rId186" Type="http://schemas.openxmlformats.org/officeDocument/2006/relationships/image" Target="media/image150.jpeg"/><Relationship Id="rId187" Type="http://schemas.openxmlformats.org/officeDocument/2006/relationships/image" Target="media/image151.jpeg"/><Relationship Id="rId188" Type="http://schemas.openxmlformats.org/officeDocument/2006/relationships/image" Target="media/image152.jpeg"/><Relationship Id="rId189" Type="http://schemas.openxmlformats.org/officeDocument/2006/relationships/image" Target="media/image153.jpeg"/><Relationship Id="rId190" Type="http://schemas.openxmlformats.org/officeDocument/2006/relationships/image" Target="media/image154.jpeg"/><Relationship Id="rId191" Type="http://schemas.openxmlformats.org/officeDocument/2006/relationships/image" Target="media/image155.jpeg"/><Relationship Id="rId192" Type="http://schemas.openxmlformats.org/officeDocument/2006/relationships/image" Target="media/image156.jpeg"/><Relationship Id="rId193" Type="http://schemas.openxmlformats.org/officeDocument/2006/relationships/image" Target="media/image157.png"/><Relationship Id="rId194" Type="http://schemas.openxmlformats.org/officeDocument/2006/relationships/image" Target="media/image158.jpeg"/><Relationship Id="rId195" Type="http://schemas.openxmlformats.org/officeDocument/2006/relationships/image" Target="media/image159.png"/><Relationship Id="rId196" Type="http://schemas.openxmlformats.org/officeDocument/2006/relationships/image" Target="media/image160.png"/><Relationship Id="rId197" Type="http://schemas.openxmlformats.org/officeDocument/2006/relationships/image" Target="media/image161.png"/><Relationship Id="rId198" Type="http://schemas.openxmlformats.org/officeDocument/2006/relationships/image" Target="media/image162.png"/><Relationship Id="rId199" Type="http://schemas.openxmlformats.org/officeDocument/2006/relationships/image" Target="media/image163.png"/><Relationship Id="rId200" Type="http://schemas.openxmlformats.org/officeDocument/2006/relationships/image" Target="media/image164.png"/><Relationship Id="rId201" Type="http://schemas.openxmlformats.org/officeDocument/2006/relationships/image" Target="media/image165.png"/><Relationship Id="rId202" Type="http://schemas.openxmlformats.org/officeDocument/2006/relationships/image" Target="media/image166.png"/><Relationship Id="rId203" Type="http://schemas.openxmlformats.org/officeDocument/2006/relationships/image" Target="media/image167.png"/><Relationship Id="rId204" Type="http://schemas.openxmlformats.org/officeDocument/2006/relationships/image" Target="media/image168.png"/><Relationship Id="rId205" Type="http://schemas.openxmlformats.org/officeDocument/2006/relationships/image" Target="media/image169.png"/><Relationship Id="rId206" Type="http://schemas.openxmlformats.org/officeDocument/2006/relationships/image" Target="media/image170.png"/><Relationship Id="rId207" Type="http://schemas.openxmlformats.org/officeDocument/2006/relationships/image" Target="media/image171.png"/><Relationship Id="rId208" Type="http://schemas.openxmlformats.org/officeDocument/2006/relationships/image" Target="media/image172.png"/><Relationship Id="rId209" Type="http://schemas.openxmlformats.org/officeDocument/2006/relationships/image" Target="media/image173.png"/><Relationship Id="rId210" Type="http://schemas.openxmlformats.org/officeDocument/2006/relationships/image" Target="media/image174.png"/><Relationship Id="rId211" Type="http://schemas.openxmlformats.org/officeDocument/2006/relationships/image" Target="media/image175.png"/><Relationship Id="rId212" Type="http://schemas.openxmlformats.org/officeDocument/2006/relationships/image" Target="media/image176.png"/><Relationship Id="rId213" Type="http://schemas.openxmlformats.org/officeDocument/2006/relationships/image" Target="media/image177.png"/><Relationship Id="rId214" Type="http://schemas.openxmlformats.org/officeDocument/2006/relationships/image" Target="media/image178.png"/><Relationship Id="rId215" Type="http://schemas.openxmlformats.org/officeDocument/2006/relationships/image" Target="media/image179.png"/><Relationship Id="rId216" Type="http://schemas.openxmlformats.org/officeDocument/2006/relationships/image" Target="media/image180.png"/><Relationship Id="rId217" Type="http://schemas.openxmlformats.org/officeDocument/2006/relationships/image" Target="media/image181.png"/><Relationship Id="rId218" Type="http://schemas.openxmlformats.org/officeDocument/2006/relationships/image" Target="media/image182.png"/><Relationship Id="rId219" Type="http://schemas.openxmlformats.org/officeDocument/2006/relationships/image" Target="media/image183.png"/><Relationship Id="rId220" Type="http://schemas.openxmlformats.org/officeDocument/2006/relationships/image" Target="media/image184.png"/><Relationship Id="rId221" Type="http://schemas.openxmlformats.org/officeDocument/2006/relationships/image" Target="media/image185.png"/><Relationship Id="rId222" Type="http://schemas.openxmlformats.org/officeDocument/2006/relationships/image" Target="media/image186.png"/><Relationship Id="rId223" Type="http://schemas.openxmlformats.org/officeDocument/2006/relationships/image" Target="media/image187.png"/><Relationship Id="rId224" Type="http://schemas.openxmlformats.org/officeDocument/2006/relationships/image" Target="media/image188.png"/><Relationship Id="rId225" Type="http://schemas.openxmlformats.org/officeDocument/2006/relationships/image" Target="media/image189.png"/><Relationship Id="rId226" Type="http://schemas.openxmlformats.org/officeDocument/2006/relationships/image" Target="media/image190.png"/><Relationship Id="rId227" Type="http://schemas.openxmlformats.org/officeDocument/2006/relationships/image" Target="media/image191.png"/><Relationship Id="rId228" Type="http://schemas.openxmlformats.org/officeDocument/2006/relationships/image" Target="media/image192.png"/><Relationship Id="rId229" Type="http://schemas.openxmlformats.org/officeDocument/2006/relationships/image" Target="media/image193.png"/><Relationship Id="rId230" Type="http://schemas.openxmlformats.org/officeDocument/2006/relationships/image" Target="media/image194.png"/><Relationship Id="rId231" Type="http://schemas.openxmlformats.org/officeDocument/2006/relationships/image" Target="media/image195.png"/><Relationship Id="rId232" Type="http://schemas.openxmlformats.org/officeDocument/2006/relationships/image" Target="media/image196.png"/><Relationship Id="rId233" Type="http://schemas.openxmlformats.org/officeDocument/2006/relationships/image" Target="media/image197.png"/><Relationship Id="rId234" Type="http://schemas.openxmlformats.org/officeDocument/2006/relationships/image" Target="media/image198.png"/><Relationship Id="rId235" Type="http://schemas.openxmlformats.org/officeDocument/2006/relationships/image" Target="media/image199.png"/><Relationship Id="rId236" Type="http://schemas.openxmlformats.org/officeDocument/2006/relationships/image" Target="media/image200.png"/><Relationship Id="rId237" Type="http://schemas.openxmlformats.org/officeDocument/2006/relationships/image" Target="media/image201.png"/><Relationship Id="rId238" Type="http://schemas.openxmlformats.org/officeDocument/2006/relationships/image" Target="media/image202.png"/><Relationship Id="rId239" Type="http://schemas.openxmlformats.org/officeDocument/2006/relationships/image" Target="media/image203.png"/><Relationship Id="rId240" Type="http://schemas.openxmlformats.org/officeDocument/2006/relationships/image" Target="media/image204.png"/><Relationship Id="rId107" Type="http://schemas.openxmlformats.org/officeDocument/2006/relationships/hyperlink" Target="https://www.sec.gov/Archives/edgar/data/1657312/000110465923029657/tm2233007-1_s3asr.htm" TargetMode="External"/><Relationship Id="rId108" Type="http://schemas.openxmlformats.org/officeDocument/2006/relationships/hyperlink" Target="https://www.sec.gov/Archives/edgar/data/1657312/000110465920140541/tm2039594d1_ex1.htm" TargetMode="External"/><Relationship Id="rId109" Type="http://schemas.openxmlformats.org/officeDocument/2006/relationships/hyperlink" Target="https://www.sec.gov/Archives/edgar/data/1657312/000165731218000006/exhibit21depositagreemen.htm" TargetMode="External"/><Relationship Id="rId110" Type="http://schemas.openxmlformats.org/officeDocument/2006/relationships/hyperlink" Target="https://www.sec.gov/Archives/edgar/data/1657312/000110465920085620/tm2025101d2_ex2.htm" TargetMode="External"/><Relationship Id="rId111" Type="http://schemas.openxmlformats.org/officeDocument/2006/relationships/hyperlink" Target="https://www.sec.gov/Archives/edgar/data/1657312/000104746917002313/a2231519zex-10_2.htm" TargetMode="External"/><Relationship Id="rId112" Type="http://schemas.openxmlformats.org/officeDocument/2006/relationships/hyperlink" Target="https://www.sec.gov/Archives/edgar/data/1657312/000110465922040140/tm2210807d1_ex10-1.htm" TargetMode="External"/><Relationship Id="rId113" Type="http://schemas.openxmlformats.org/officeDocument/2006/relationships/hyperlink" Target="https://www.sec.gov/Archives/edgar/data/1657312/000165731220000019/ex433reguslease13914316s.htm" TargetMode="External"/><Relationship Id="rId114" Type="http://schemas.openxmlformats.org/officeDocument/2006/relationships/hyperlink" Target="https://www.sec.gov/Archives/edgar/data/1657312/000165731220000019/ex434reguslease14214416s.htm" TargetMode="External"/><Relationship Id="rId115" Type="http://schemas.openxmlformats.org/officeDocument/2006/relationships/hyperlink" Target="https://www.sec.gov/Archives/edgar/data/1657312/000165731220000019/ex435reguslease145a15116.htm" TargetMode="External"/><Relationship Id="rId116" Type="http://schemas.openxmlformats.org/officeDocument/2006/relationships/hyperlink" Target="https://www.sec.gov/Archives/edgar/data/1657312/000165731220000019/ex436regushudsonyardslea.htm" TargetMode="External"/><Relationship Id="rId117" Type="http://schemas.openxmlformats.org/officeDocument/2006/relationships/hyperlink" Target="https://www.sec.gov/Archives/edgar/data/1657312/000165731222000010/reguslease_139142144xend.htm" TargetMode="External"/><Relationship Id="rId118" Type="http://schemas.openxmlformats.org/officeDocument/2006/relationships/hyperlink" Target="https://www.sec.gov/Archives/edgar/data/1657312/000165731222000010/reguslease_145a151xendin.htm" TargetMode="External"/><Relationship Id="rId119" Type="http://schemas.openxmlformats.org/officeDocument/2006/relationships/hyperlink" Target="https://www.sec.gov/Archives/edgar/data/1657312/000165731222000010/veronapharmaincbriercree.htm" TargetMode="External"/><Relationship Id="rId120" Type="http://schemas.openxmlformats.org/officeDocument/2006/relationships/hyperlink" Target="https://www.sec.gov/Archives/edgar/data/1657312/000110465923097740/tm2325259d1_ex10-1.htm" TargetMode="External"/><Relationship Id="rId121" Type="http://schemas.openxmlformats.org/officeDocument/2006/relationships/hyperlink" Target="https://www.sec.gov/Archives/edgar/data/1657312/000104746917002313/a2231519zex-10_4.htm" TargetMode="External"/><Relationship Id="rId122" Type="http://schemas.openxmlformats.org/officeDocument/2006/relationships/hyperlink" Target="https://www.sec.gov/Archives/edgar/data/1657312/000104746917002313/a2231519zex-10_5.htm" TargetMode="External"/><Relationship Id="rId123" Type="http://schemas.openxmlformats.org/officeDocument/2006/relationships/hyperlink" Target="https://www.sec.gov/Archives/edgar/data/1657312/000110465923054551/tm2314238d1_ex10-1.htm" TargetMode="External"/><Relationship Id="rId124" Type="http://schemas.openxmlformats.org/officeDocument/2006/relationships/hyperlink" Target="https://www.sec.gov/Archives/edgar/data/1657312/000165731220000019/a47dzaccarrelliemploymen.htm" TargetMode="External"/><Relationship Id="rId125" Type="http://schemas.openxmlformats.org/officeDocument/2006/relationships/hyperlink" Target="https://www.sec.gov/Archives/edgar/data/1657312/000165731219000007/kathyrickardemploymentag.htm" TargetMode="External"/><Relationship Id="rId126" Type="http://schemas.openxmlformats.org/officeDocument/2006/relationships/hyperlink" Target="https://www.sec.gov/Archives/edgar/data/1657312/000110465920095810/tm2027314d2_ex10-12.htm" TargetMode="External"/><Relationship Id="rId127" Type="http://schemas.openxmlformats.org/officeDocument/2006/relationships/hyperlink" Target="https://www.sec.gov/Archives/edgar/data/1657312/000104746917002697/a2231786zex-10_111.htm" TargetMode="External"/><Relationship Id="rId128" Type="http://schemas.openxmlformats.org/officeDocument/2006/relationships/hyperlink" Target="https://www.sec.gov/Archives/edgar/data/1657312/000104746917002697/a2231786zex-10_112.htm" TargetMode="External"/><Relationship Id="rId129" Type="http://schemas.openxmlformats.org/officeDocument/2006/relationships/hyperlink" Target="https://www.sec.gov/Archives/edgar/data/1657312/000110465921103493/tm2124824d1_ex10-1.htm" TargetMode="External"/><Relationship Id="rId130" Type="http://schemas.openxmlformats.org/officeDocument/2006/relationships/hyperlink" Target="https://www.sec.gov/Archives/edgar/data/1657312/000165731221000004/non-executicedirectorappoi.htm" TargetMode="External"/><Relationship Id="rId131" Type="http://schemas.openxmlformats.org/officeDocument/2006/relationships/hyperlink" Target="https://www.sec.gov/Archives/edgar/data/1657312/000165731221000018/exhibit101q221.htm" TargetMode="External"/><Relationship Id="rId132" Type="http://schemas.openxmlformats.org/officeDocument/2006/relationships/hyperlink" Target="https://www.sec.gov/ix?doc=/Archives/edgar/data/0001657312/000165731224000007/vrna-20231231.htm" TargetMode="External"/><Relationship Id="rId133" Type="http://schemas.openxmlformats.org/officeDocument/2006/relationships/hyperlink" Target="https://www.sec.gov/ix?doc=/Archives/edgar/data/0001657312/000165731224000025/vrna-20240630.htm" TargetMode="External"/><Relationship Id="rId134" Type="http://schemas.openxmlformats.org/officeDocument/2006/relationships/hyperlink" Target="https://www.sec.gov/ix?doc=/Archives/edgar/data/0001657312/000165731224000014/vrna-20240331.htm" TargetMode="External"/><Relationship Id="rId135" Type="http://schemas.openxmlformats.org/officeDocument/2006/relationships/hyperlink" Target="https://www.sec.gov/Archives/edgar/data/1657312/000110465923126869/tm2333000d1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2025-02-27T07:54:55Z</dcterms:created>
  <dcterms:modified xsi:type="dcterms:W3CDTF">2025-02-27T07:54:55Z</dcterms:modified>
</cp:coreProperties>
</file>