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5027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02793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ZACCARDELLI DAVID</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08/01/2025</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953"/>
        <w:spacing w:after="0"/>
        <w:rPr>
          <w:sz w:val="20"/>
          <w:szCs w:val="20"/>
          <w:color w:val="auto"/>
        </w:rPr>
      </w:pPr>
      <w:r>
        <w:rPr>
          <w:rFonts w:ascii="Times New Roman" w:cs="Times New Roman" w:eastAsia="Times New Roman" w:hAnsi="Times New Roman"/>
          <w:sz w:val="17"/>
          <w:szCs w:val="17"/>
          <w:color w:val="0000FF"/>
        </w:rPr>
        <w:t>President and CEO</w:t>
      </w:r>
    </w:p>
    <w:p>
      <w:pPr>
        <w:spacing w:after="0" w:line="276" w:lineRule="exact"/>
        <w:rPr>
          <w:sz w:val="24"/>
          <w:szCs w:val="24"/>
          <w:color w:val="auto"/>
        </w:rPr>
      </w:pPr>
    </w:p>
    <w:p>
      <w:pPr>
        <w:sectPr>
          <w:pgSz w:w="11900" w:h="16838" w:orient="portrait"/>
          <w:cols w:equalWidth="0" w:num="3">
            <w:col w:w="3180" w:space="720"/>
            <w:col w:w="3107" w:space="720"/>
            <w:col w:w="3353"/>
          </w:cols>
          <w:pgMar w:left="460" w:top="216" w:right="359" w:bottom="1440"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1060" w:type="dxa"/>
            <w:vAlign w:val="bottom"/>
            <w:shd w:val="clear" w:color="auto" w:fill="9A9A9A"/>
          </w:tcPr>
          <w:p>
            <w:pPr>
              <w:spacing w:after="0"/>
              <w:rPr>
                <w:sz w:val="3"/>
                <w:szCs w:val="3"/>
                <w:color w:val="auto"/>
              </w:rPr>
            </w:pPr>
          </w:p>
        </w:tc>
        <w:tc>
          <w:tcPr>
            <w:tcW w:w="1080" w:type="dxa"/>
            <w:vAlign w:val="bottom"/>
            <w:shd w:val="clear" w:color="auto" w:fill="9A9A9A"/>
          </w:tcPr>
          <w:p>
            <w:pPr>
              <w:spacing w:after="0"/>
              <w:rPr>
                <w:sz w:val="3"/>
                <w:szCs w:val="3"/>
                <w:color w:val="auto"/>
              </w:rPr>
            </w:pPr>
          </w:p>
        </w:tc>
        <w:tc>
          <w:tcPr>
            <w:tcW w:w="140" w:type="dxa"/>
            <w:vAlign w:val="bottom"/>
            <w:shd w:val="clear" w:color="auto" w:fill="9A9A9A"/>
          </w:tcPr>
          <w:p>
            <w:pPr>
              <w:spacing w:after="0"/>
              <w:rPr>
                <w:sz w:val="3"/>
                <w:szCs w:val="3"/>
                <w:color w:val="auto"/>
              </w:rPr>
            </w:pPr>
          </w:p>
        </w:tc>
        <w:tc>
          <w:tcPr>
            <w:tcW w:w="354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0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38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X0</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SE1 2RE</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Borders>
              <w:top w:val="single" w:sz="8" w:color="EEEEEE"/>
            </w:tcBorders>
          </w:tcPr>
          <w:p>
            <w:pPr>
              <w:spacing w:after="0"/>
              <w:rPr>
                <w:sz w:val="15"/>
                <w:szCs w:val="15"/>
                <w:color w:val="auto"/>
              </w:rPr>
            </w:pPr>
          </w:p>
        </w:tc>
        <w:tc>
          <w:tcPr>
            <w:tcW w:w="1200" w:type="dxa"/>
            <w:vAlign w:val="bottom"/>
            <w:tcBorders>
              <w:top w:val="single" w:sz="8" w:color="EEEEEE"/>
            </w:tcBorders>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Borders>
              <w:top w:val="single" w:sz="8" w:color="EEEEEE"/>
            </w:tcBorders>
          </w:tcPr>
          <w:p>
            <w:pPr>
              <w:spacing w:after="0"/>
              <w:rPr>
                <w:sz w:val="15"/>
                <w:szCs w:val="15"/>
                <w:color w:val="auto"/>
              </w:rPr>
            </w:pP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ind w:left="1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6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560" w:type="dxa"/>
            <w:vAlign w:val="bottom"/>
            <w:tcBorders>
              <w:bottom w:val="single" w:sz="8" w:color="2C2C2C"/>
            </w:tcBorders>
            <w:gridSpan w:val="3"/>
          </w:tcPr>
          <w:p>
            <w:pPr>
              <w:spacing w:after="0"/>
              <w:rPr>
                <w:sz w:val="2"/>
                <w:szCs w:val="2"/>
                <w:color w:val="auto"/>
              </w:rPr>
            </w:pPr>
          </w:p>
        </w:tc>
        <w:tc>
          <w:tcPr>
            <w:tcW w:w="112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2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3"/>
          </w:tcPr>
          <w:p>
            <w:pPr>
              <w:ind w:left="600"/>
              <w:spacing w:after="0"/>
              <w:rPr>
                <w:sz w:val="20"/>
                <w:szCs w:val="20"/>
                <w:color w:val="auto"/>
              </w:rPr>
            </w:pPr>
            <w:r>
              <w:rPr>
                <w:rFonts w:ascii="Arial" w:cs="Arial" w:eastAsia="Arial" w:hAnsi="Arial"/>
                <w:sz w:val="11"/>
                <w:szCs w:val="11"/>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0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jc w:val="right"/>
              <w:ind w:right="24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60" w:type="dxa"/>
            <w:vAlign w:val="bottom"/>
            <w:gridSpan w:val="3"/>
          </w:tcPr>
          <w:p>
            <w:pPr>
              <w:ind w:left="60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Pr>
          <w:p>
            <w:pPr>
              <w:spacing w:after="0"/>
              <w:rPr>
                <w:sz w:val="6"/>
                <w:szCs w:val="6"/>
                <w:color w:val="auto"/>
              </w:rPr>
            </w:pPr>
          </w:p>
        </w:tc>
        <w:tc>
          <w:tcPr>
            <w:tcW w:w="3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40" w:type="dxa"/>
            <w:vAlign w:val="bottom"/>
          </w:tcPr>
          <w:p>
            <w:pPr>
              <w:spacing w:after="0"/>
              <w:rPr>
                <w:sz w:val="8"/>
                <w:szCs w:val="8"/>
                <w:color w:val="auto"/>
              </w:rPr>
            </w:pPr>
          </w:p>
        </w:tc>
        <w:tc>
          <w:tcPr>
            <w:tcW w:w="34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5"/>
              </w:rPr>
              <w:t>Ordinary Shares</w:t>
            </w:r>
            <w:r>
              <w:rPr>
                <w:rFonts w:ascii="Times New Roman" w:cs="Times New Roman" w:eastAsia="Times New Roman" w:hAnsi="Times New Roman"/>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08/01/2025</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255,696</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tcPr>
          <w:p>
            <w:pPr>
              <w:jc w:val="right"/>
              <w:ind w:right="15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181"/>
              <w:spacing w:after="0"/>
              <w:rPr>
                <w:sz w:val="20"/>
                <w:szCs w:val="20"/>
                <w:color w:val="auto"/>
              </w:rPr>
            </w:pPr>
            <w:r>
              <w:rPr>
                <w:rFonts w:ascii="Times New Roman" w:cs="Times New Roman" w:eastAsia="Times New Roman" w:hAnsi="Times New Roman"/>
                <w:sz w:val="17"/>
                <w:szCs w:val="17"/>
                <w:color w:val="0000FF"/>
              </w:rPr>
              <w:t>13,585,056</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5"/>
              </w:rPr>
              <w:t>Ordinary Shares</w:t>
            </w:r>
            <w:r>
              <w:rPr>
                <w:rFonts w:ascii="Times New Roman" w:cs="Times New Roman" w:eastAsia="Times New Roman" w:hAnsi="Times New Roman"/>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80"/>
              <w:spacing w:after="0"/>
              <w:rPr>
                <w:sz w:val="20"/>
                <w:szCs w:val="20"/>
                <w:color w:val="auto"/>
              </w:rPr>
            </w:pPr>
            <w:r>
              <w:rPr>
                <w:rFonts w:ascii="Times New Roman" w:cs="Times New Roman" w:eastAsia="Times New Roman" w:hAnsi="Times New Roman"/>
                <w:sz w:val="17"/>
                <w:szCs w:val="17"/>
                <w:color w:val="0000FF"/>
              </w:rPr>
              <w:t>08/01/2025</w:t>
            </w: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208,912</w:t>
            </w:r>
          </w:p>
        </w:tc>
        <w:tc>
          <w:tcPr>
            <w:tcW w:w="5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7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13.1437</w:t>
            </w:r>
            <w:r>
              <w:rPr>
                <w:rFonts w:ascii="Times New Roman" w:cs="Times New Roman" w:eastAsia="Times New Roman" w:hAnsi="Times New Roman"/>
                <w:sz w:val="21"/>
                <w:szCs w:val="21"/>
                <w:color w:val="008000"/>
                <w:w w:val="93"/>
                <w:vertAlign w:val="superscript"/>
              </w:rPr>
              <w:t>(3)</w:t>
            </w:r>
          </w:p>
        </w:tc>
        <w:tc>
          <w:tcPr>
            <w:tcW w:w="1260" w:type="dxa"/>
            <w:vAlign w:val="bottom"/>
            <w:tcBorders>
              <w:bottom w:val="single" w:sz="8" w:color="2C2C2C"/>
            </w:tcBorders>
            <w:gridSpan w:val="3"/>
          </w:tcPr>
          <w:p>
            <w:pPr>
              <w:jc w:val="center"/>
              <w:ind w:right="101"/>
              <w:spacing w:after="0"/>
              <w:rPr>
                <w:sz w:val="20"/>
                <w:szCs w:val="20"/>
                <w:color w:val="auto"/>
              </w:rPr>
            </w:pPr>
            <w:r>
              <w:rPr>
                <w:rFonts w:ascii="Times New Roman" w:cs="Times New Roman" w:eastAsia="Times New Roman" w:hAnsi="Times New Roman"/>
                <w:sz w:val="17"/>
                <w:szCs w:val="17"/>
                <w:color w:val="0000FF"/>
              </w:rPr>
              <w:t>13,376,144</w:t>
            </w:r>
            <w:r>
              <w:rPr>
                <w:rFonts w:ascii="Times New Roman" w:cs="Times New Roman" w:eastAsia="Times New Roman" w:hAnsi="Times New Roman"/>
                <w:sz w:val="21"/>
                <w:szCs w:val="21"/>
                <w:color w:val="008000"/>
                <w:vertAlign w:val="superscript"/>
              </w:rPr>
              <w:t>(4)</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1"/>
                <w:szCs w:val="11"/>
                <w:b w:val="1"/>
                <w:bCs w:val="1"/>
                <w:color w:val="auto"/>
              </w:rPr>
              <w:t>4.</w:t>
            </w:r>
          </w:p>
        </w:tc>
        <w:tc>
          <w:tcPr>
            <w:tcW w:w="32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Transaction</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3"/>
          </w:tcPr>
          <w:p>
            <w:pPr>
              <w:ind w:left="80"/>
              <w:spacing w:after="0"/>
              <w:rPr>
                <w:sz w:val="20"/>
                <w:szCs w:val="20"/>
                <w:color w:val="auto"/>
              </w:rPr>
            </w:pPr>
            <w:r>
              <w:rPr>
                <w:rFonts w:ascii="Arial" w:cs="Arial" w:eastAsia="Arial" w:hAnsi="Arial"/>
                <w:sz w:val="11"/>
                <w:szCs w:val="11"/>
                <w:b w:val="1"/>
                <w:bCs w:val="1"/>
                <w:color w:val="auto"/>
              </w:rPr>
              <w:t>Code (Instr.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gridSpan w:val="2"/>
          </w:tcPr>
          <w:p>
            <w:pPr>
              <w:ind w:left="80"/>
              <w:spacing w:after="0"/>
              <w:rPr>
                <w:sz w:val="20"/>
                <w:szCs w:val="20"/>
                <w:color w:val="auto"/>
              </w:rPr>
            </w:pPr>
            <w:r>
              <w:rPr>
                <w:rFonts w:ascii="Arial" w:cs="Arial" w:eastAsia="Arial" w:hAnsi="Arial"/>
                <w:sz w:val="11"/>
                <w:szCs w:val="11"/>
                <w:b w:val="1"/>
                <w:bCs w:val="1"/>
                <w:color w:val="auto"/>
              </w:rPr>
              <w:t>8)</w:t>
            </w: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34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8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w:t>
            </w:r>
          </w:p>
        </w:tc>
        <w:tc>
          <w:tcPr>
            <w:tcW w:w="320" w:type="dxa"/>
            <w:vAlign w:val="bottom"/>
          </w:tcPr>
          <w:p>
            <w:pPr>
              <w:ind w:left="20"/>
              <w:spacing w:after="0"/>
              <w:rPr>
                <w:sz w:val="20"/>
                <w:szCs w:val="20"/>
                <w:color w:val="auto"/>
              </w:rPr>
            </w:pPr>
            <w:r>
              <w:rPr>
                <w:rFonts w:ascii="Arial" w:cs="Arial" w:eastAsia="Arial" w:hAnsi="Arial"/>
                <w:sz w:val="11"/>
                <w:szCs w:val="11"/>
                <w:b w:val="1"/>
                <w:bCs w:val="1"/>
                <w:color w:val="auto"/>
              </w:rPr>
              <w:t>V</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7"/>
                <w:szCs w:val="17"/>
                <w:color w:val="auto"/>
              </w:rPr>
            </w:pPr>
          </w:p>
        </w:tc>
        <w:tc>
          <w:tcPr>
            <w:tcW w:w="10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08/01/2025</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200,000</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7"/>
              </w:rPr>
              <w:t>Ordinary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200,000</w:t>
            </w:r>
          </w:p>
        </w:tc>
        <w:tc>
          <w:tcPr>
            <w:tcW w:w="60" w:type="dxa"/>
            <w:vAlign w:val="bottom"/>
          </w:tcPr>
          <w:p>
            <w:pPr>
              <w:spacing w:after="0"/>
              <w:rPr>
                <w:sz w:val="17"/>
                <w:szCs w:val="1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800,000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restart"/>
          </w:tcPr>
          <w:p>
            <w:pPr>
              <w:ind w:left="60"/>
              <w:spacing w:after="0" w:line="64"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140" w:type="dxa"/>
            <w:vAlign w:val="bottom"/>
          </w:tcPr>
          <w:p>
            <w:pPr>
              <w:spacing w:after="0"/>
              <w:rPr>
                <w:sz w:val="17"/>
                <w:szCs w:val="17"/>
                <w:color w:val="auto"/>
              </w:rPr>
            </w:pPr>
          </w:p>
        </w:tc>
        <w:tc>
          <w:tcPr>
            <w:tcW w:w="1060" w:type="dxa"/>
            <w:vAlign w:val="bottom"/>
            <w:vMerge w:val="restart"/>
          </w:tcPr>
          <w:p>
            <w:pPr>
              <w:jc w:val="right"/>
              <w:ind w:right="156"/>
              <w:spacing w:after="0"/>
              <w:rPr>
                <w:sz w:val="20"/>
                <w:szCs w:val="20"/>
                <w:color w:val="auto"/>
              </w:rPr>
            </w:pPr>
            <w:r>
              <w:rPr>
                <w:rFonts w:ascii="Times New Roman" w:cs="Times New Roman" w:eastAsia="Times New Roman" w:hAnsi="Times New Roman"/>
                <w:sz w:val="13"/>
                <w:szCs w:val="13"/>
                <w:color w:val="0000FF"/>
              </w:rPr>
              <w:t>08/01/2025</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M</w:t>
            </w:r>
          </w:p>
        </w:tc>
        <w:tc>
          <w:tcPr>
            <w:tcW w:w="320" w:type="dxa"/>
            <w:vAlign w:val="bottom"/>
          </w:tcPr>
          <w:p>
            <w:pPr>
              <w:spacing w:after="0"/>
              <w:rPr>
                <w:sz w:val="17"/>
                <w:szCs w:val="17"/>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0000FF"/>
              </w:rPr>
              <w:t>55,696</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(7)</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(5)</w:t>
            </w: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w w:val="97"/>
              </w:rPr>
              <w:t>Ordinary</w:t>
            </w:r>
          </w:p>
        </w:tc>
        <w:tc>
          <w:tcPr>
            <w:tcW w:w="720" w:type="dxa"/>
            <w:vAlign w:val="bottom"/>
            <w:vMerge w:val="restart"/>
          </w:tcPr>
          <w:p>
            <w:pPr>
              <w:jc w:val="right"/>
              <w:ind w:right="32"/>
              <w:spacing w:after="0"/>
              <w:rPr>
                <w:sz w:val="20"/>
                <w:szCs w:val="20"/>
                <w:color w:val="auto"/>
              </w:rPr>
            </w:pPr>
            <w:r>
              <w:rPr>
                <w:rFonts w:ascii="Times New Roman" w:cs="Times New Roman" w:eastAsia="Times New Roman" w:hAnsi="Times New Roman"/>
                <w:sz w:val="17"/>
                <w:szCs w:val="17"/>
                <w:color w:val="0000FF"/>
              </w:rPr>
              <w:t>55,696</w:t>
            </w:r>
          </w:p>
        </w:tc>
        <w:tc>
          <w:tcPr>
            <w:tcW w:w="60" w:type="dxa"/>
            <w:vAlign w:val="bottom"/>
          </w:tcPr>
          <w:p>
            <w:pPr>
              <w:spacing w:after="0"/>
              <w:rPr>
                <w:sz w:val="17"/>
                <w:szCs w:val="17"/>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3"/>
                <w:szCs w:val="13"/>
                <w:color w:val="0000FF"/>
              </w:rPr>
              <w:t>389,792</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gridSpan w:val="2"/>
            <w:vMerge w:val="restart"/>
          </w:tcPr>
          <w:p>
            <w:pPr>
              <w:ind w:left="60"/>
              <w:spacing w:after="0" w:line="64" w:lineRule="exact"/>
              <w:rPr>
                <w:sz w:val="20"/>
                <w:szCs w:val="20"/>
                <w:color w:val="auto"/>
              </w:rPr>
            </w:pPr>
            <w:r>
              <w:rPr>
                <w:rFonts w:ascii="Times New Roman" w:cs="Times New Roman" w:eastAsia="Times New Roman" w:hAnsi="Times New Roman"/>
                <w:sz w:val="6"/>
                <w:szCs w:val="6"/>
                <w:color w:val="0000FF"/>
              </w:rPr>
              <w:t>Units</w:t>
            </w:r>
            <w:r>
              <w:rPr>
                <w:rFonts w:ascii="Times New Roman" w:cs="Times New Roman" w:eastAsia="Times New Roman" w:hAnsi="Times New Roman"/>
                <w:sz w:val="7"/>
                <w:szCs w:val="7"/>
                <w:color w:val="008000"/>
                <w:vertAlign w:val="superscript"/>
              </w:rPr>
              <w:t>(5)</w:t>
            </w: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vMerge w:val="continue"/>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740" w:type="dxa"/>
            <w:vAlign w:val="bottom"/>
            <w:vMerge w:val="continue"/>
          </w:tcPr>
          <w:p>
            <w:pPr>
              <w:spacing w:after="0"/>
              <w:rPr>
                <w:sz w:val="2"/>
                <w:szCs w:val="2"/>
                <w:color w:val="auto"/>
              </w:rPr>
            </w:pPr>
          </w:p>
        </w:tc>
        <w:tc>
          <w:tcPr>
            <w:tcW w:w="560" w:type="dxa"/>
            <w:vAlign w:val="bottom"/>
          </w:tcPr>
          <w:p>
            <w:pPr>
              <w:ind w:left="80"/>
              <w:spacing w:after="0" w:line="31" w:lineRule="exact"/>
              <w:rPr>
                <w:sz w:val="20"/>
                <w:szCs w:val="20"/>
                <w:color w:val="auto"/>
              </w:rPr>
            </w:pPr>
            <w:r>
              <w:rPr>
                <w:rFonts w:ascii="Times New Roman" w:cs="Times New Roman" w:eastAsia="Times New Roman" w:hAnsi="Times New Roman"/>
                <w:sz w:val="2"/>
                <w:szCs w:val="2"/>
                <w:color w:val="0000FF"/>
              </w:rPr>
              <w:t>Shares</w:t>
            </w:r>
            <w:r>
              <w:rPr>
                <w:rFonts w:ascii="Times New Roman" w:cs="Times New Roman" w:eastAsia="Times New Roman" w:hAnsi="Times New Roman"/>
                <w:sz w:val="3"/>
                <w:szCs w:val="3"/>
                <w:color w:val="008000"/>
                <w:vertAlign w:val="superscript"/>
              </w:rPr>
              <w:t>(1)</w:t>
            </w:r>
          </w:p>
        </w:tc>
        <w:tc>
          <w:tcPr>
            <w:tcW w:w="72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860" w:type="dxa"/>
            <w:vAlign w:val="bottom"/>
            <w:gridSpan w:val="2"/>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tcPr>
          <w:p>
            <w:pPr>
              <w:spacing w:after="0"/>
              <w:rPr>
                <w:sz w:val="10"/>
                <w:szCs w:val="10"/>
                <w:color w:val="auto"/>
              </w:rPr>
            </w:pPr>
          </w:p>
        </w:tc>
        <w:tc>
          <w:tcPr>
            <w:tcW w:w="108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-2124710</wp:posOffset>
            </wp:positionV>
            <wp:extent cx="28575" cy="21297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12979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ind w:left="40" w:right="40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instruction entered into on May 24, 2022 solely with the intent to cover taxes in connection with the vesting of Restricted Share Units ("RSUs").</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the sale price of the ADSs divided by eight (8).</w:t>
      </w:r>
    </w:p>
    <w:p>
      <w:pPr>
        <w:spacing w:after="0" w:line="41" w:lineRule="exact"/>
        <w:rPr>
          <w:rFonts w:ascii="Times New Roman" w:cs="Times New Roman" w:eastAsia="Times New Roman" w:hAnsi="Times New Roman"/>
          <w:sz w:val="13"/>
          <w:szCs w:val="13"/>
          <w:color w:val="008000"/>
        </w:rPr>
      </w:pPr>
    </w:p>
    <w:p>
      <w:pPr>
        <w:ind w:left="40" w:right="14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2,375,000 Ordinary Shares underlying Restricted Share Units, each of which represents a contingent right to receive one (1) Ordinary Share of the Issuer (which are represented by 296,875 ADSs); and (ii) 11,001,144 Ordinary Shares underlying 1,375,143 ADSs.</w:t>
      </w:r>
    </w:p>
    <w:p>
      <w:pPr>
        <w:spacing w:after="0" w:line="20" w:lineRule="exact"/>
        <w:rPr>
          <w:rFonts w:ascii="Times New Roman" w:cs="Times New Roman" w:eastAsia="Times New Roman" w:hAnsi="Times New Roman"/>
          <w:sz w:val="13"/>
          <w:szCs w:val="13"/>
          <w:color w:val="008000"/>
        </w:rPr>
      </w:pPr>
    </w:p>
    <w:p>
      <w:pPr>
        <w:ind w:left="40" w:right="480"/>
        <w:spacing w:after="0" w:line="250"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performance-based RSUs covering ADSs, which is presented in terms of the equivalent number of Ordinary Shares underlying the ADSs. Each RSU represents a contingent right to receive one (1) ADS of the Issuer. Each ADS represents eight (8) Ordinary Shares of the Issuer. The RSUs have no expiration date.</w:t>
      </w:r>
    </w:p>
    <w:p>
      <w:pPr>
        <w:spacing w:after="0" w:line="20" w:lineRule="exact"/>
        <w:rPr>
          <w:rFonts w:ascii="Times New Roman" w:cs="Times New Roman" w:eastAsia="Times New Roman" w:hAnsi="Times New Roman"/>
          <w:sz w:val="13"/>
          <w:szCs w:val="13"/>
          <w:color w:val="008000"/>
        </w:rPr>
      </w:pPr>
    </w:p>
    <w:p>
      <w:pPr>
        <w:ind w:left="40" w:right="1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earned upon the satisfaction of the performance condition in connection with the Issuer's first commercial sale of ensifentrine. Following the satisfaction of the performance condition, the RSUs vest in equal quarterly installments on each of May 1, 2025, August 1, 2025, November 1, 2025, February 1, 2026, May 1, 2026 and August 1, 2026 subject to the Reporting Person's continued service to the Issuer on each vesting date.</w:t>
      </w:r>
    </w:p>
    <w:p>
      <w:pPr>
        <w:spacing w:after="0" w:line="26" w:lineRule="exact"/>
        <w:rPr>
          <w:rFonts w:ascii="Times New Roman" w:cs="Times New Roman" w:eastAsia="Times New Roman" w:hAnsi="Times New Roman"/>
          <w:sz w:val="13"/>
          <w:szCs w:val="13"/>
          <w:color w:val="008000"/>
        </w:rPr>
      </w:pPr>
    </w:p>
    <w:p>
      <w:pPr>
        <w:ind w:left="40" w:right="1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earned upon the determination by the Board of Directors of the Issuer (the "Determination Date") that certain performance metrics related to Q1 2025 had been achieved. The RSUs vested as to 34% of the total shares on the Determination Date, and vest as to the remainder of the shares in equal quarterly installments over a two year period on each of August 1, November 1, February 1 and May 1, subject to the Reporting Person's continued service to the Issuer on each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Andrew Fisher, Attorney-in-  </w:t>
      </w:r>
      <w:r>
        <w:rPr>
          <w:rFonts w:ascii="Times New Roman" w:cs="Times New Roman" w:eastAsia="Times New Roman" w:hAnsi="Times New Roman"/>
          <w:sz w:val="31"/>
          <w:szCs w:val="31"/>
          <w:color w:val="0000FF"/>
          <w:vertAlign w:val="subscript"/>
        </w:rPr>
        <w:t>08/05/2025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-26035</wp:posOffset>
            </wp:positionV>
            <wp:extent cx="13284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David Zaccardelli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10896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9660"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27642"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2025-08-05T19:28:17Z</dcterms:created>
  <dcterms:modified xsi:type="dcterms:W3CDTF">2025-08-05T19:28:17Z</dcterms:modified>
</cp:coreProperties>
</file>