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85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5267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Rickard Kathleen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01/20/2023</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105,000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3,196,024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02/01/2023</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34"/>
              <w:spacing w:after="0"/>
              <w:rPr>
                <w:sz w:val="20"/>
                <w:szCs w:val="20"/>
                <w:color w:val="auto"/>
              </w:rPr>
            </w:pPr>
            <w:r>
              <w:rPr>
                <w:rFonts w:ascii="Times New Roman" w:cs="Times New Roman" w:eastAsia="Times New Roman" w:hAnsi="Times New Roman"/>
                <w:sz w:val="17"/>
                <w:szCs w:val="17"/>
                <w:color w:val="0000FF"/>
              </w:rPr>
              <w:t>89,960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2.5572</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3,106,064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02/02/2023</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jc w:val="right"/>
              <w:ind w:right="34"/>
              <w:spacing w:after="0"/>
              <w:rPr>
                <w:sz w:val="20"/>
                <w:szCs w:val="20"/>
                <w:color w:val="auto"/>
              </w:rPr>
            </w:pPr>
            <w:r>
              <w:rPr>
                <w:rFonts w:ascii="Times New Roman" w:cs="Times New Roman" w:eastAsia="Times New Roman" w:hAnsi="Times New Roman"/>
                <w:sz w:val="17"/>
                <w:szCs w:val="17"/>
                <w:color w:val="0000FF"/>
              </w:rPr>
              <w:t>28,752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2.528</w:t>
            </w:r>
            <w:r>
              <w:rPr>
                <w:rFonts w:ascii="Times New Roman" w:cs="Times New Roman" w:eastAsia="Times New Roman" w:hAnsi="Times New Roman"/>
                <w:sz w:val="21"/>
                <w:szCs w:val="21"/>
                <w:color w:val="008000"/>
                <w:w w:val="93"/>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3,077,312</w:t>
            </w:r>
            <w:r>
              <w:rPr>
                <w:rFonts w:ascii="Times New Roman" w:cs="Times New Roman" w:eastAsia="Times New Roman" w:hAnsi="Times New Roman"/>
                <w:sz w:val="21"/>
                <w:szCs w:val="21"/>
                <w:color w:val="008000"/>
                <w:w w:val="92"/>
                <w:vertAlign w:val="superscript"/>
              </w:rPr>
              <w:t>(6)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105,000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01/20/2023</w:t>
            </w:r>
          </w:p>
        </w:tc>
        <w:tc>
          <w:tcPr>
            <w:tcW w:w="10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105,000</w:t>
            </w:r>
          </w:p>
        </w:tc>
        <w:tc>
          <w:tcPr>
            <w:tcW w:w="760" w:type="dxa"/>
            <w:vAlign w:val="bottom"/>
            <w:vMerge w:val="continue"/>
          </w:tcPr>
          <w:p>
            <w:pPr>
              <w:spacing w:after="0"/>
              <w:rPr>
                <w:sz w:val="11"/>
                <w:szCs w:val="11"/>
                <w:color w:val="auto"/>
              </w:rPr>
            </w:pPr>
          </w:p>
        </w:tc>
        <w:tc>
          <w:tcPr>
            <w:tcW w:w="740" w:type="dxa"/>
            <w:vAlign w:val="bottom"/>
          </w:tcPr>
          <w:p>
            <w:pPr>
              <w:jc w:val="right"/>
              <w:ind w:right="14"/>
              <w:spacing w:after="0" w:line="128" w:lineRule="exact"/>
              <w:rPr>
                <w:sz w:val="20"/>
                <w:szCs w:val="20"/>
                <w:color w:val="auto"/>
              </w:rPr>
            </w:pPr>
            <w:r>
              <w:rPr>
                <w:rFonts w:ascii="Times New Roman" w:cs="Times New Roman" w:eastAsia="Times New Roman" w:hAnsi="Times New Roman"/>
                <w:sz w:val="13"/>
                <w:szCs w:val="13"/>
                <w:color w:val="0000FF"/>
              </w:rPr>
              <w:t>03/29/2029</w:t>
            </w: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instruction solely with the intent to cover taxes in connection with the vesting of certain previously reported Restricted Share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pursuant to a Rule 10b5-1 trading plan adopted by the Reporting Person on March 9, 2022.</w:t>
      </w:r>
    </w:p>
    <w:p>
      <w:pPr>
        <w:spacing w:after="0" w:line="41"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sale price of the ADSs divided by eight (8). These shares were sold in multiple transactions at prices ranging from $2.4738 to $2.6063,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1,950,184 Ordinary Shares underlying RSUs (which are represented by 243,773 ADSs); and (ii) 1,127,128 Ordinary Shares underlying 140,891 ADSs.</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one (1) Ordinary Share of the Issuer (which are represented by ADSs, each of which represents eight (8) Ordinary Shares of the Issuer) subject to certain time- and performance-based vesting criteria.</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Claire Poll, Attorney-in-fact</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02/03/2023</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for Kathleen A. Rickard</w:t>
            </w:r>
          </w:p>
        </w:tc>
        <w:tc>
          <w:tcPr>
            <w:tcW w:w="6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2023-02-03T17:19:09Z</dcterms:created>
  <dcterms:modified xsi:type="dcterms:W3CDTF">2023-02-03T17:19:09Z</dcterms:modified>
</cp:coreProperties>
</file>