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ind w:left="0" w:right="0" w:hanging="0"/>
        <w:jc w:val="left"/>
        <w:rPr>
          <w:bdr w:val="single" w:sz="16" w:space="1" w:color="000000"/>
        </w:rPr>
      </w:pPr>
      <w:bookmarkStart w:id="0" w:name="tm2333838d1_8k.htm"/>
      <w:bookmarkStart w:id="1" w:name="kstm2333838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3122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December 27,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3"/>
      <w:bookmarkEnd w:id="4"/>
      <w:r>
        <w:rPr>
          <w:rFonts w:ascii="Times New Roman;Times;Serif" w:hAnsi="Times New Roman;Times;Serif"/>
          <w:b/>
          <w:i w:val="false"/>
          <w:caps w:val="false"/>
          <w:smallCaps w:val="false"/>
          <w:sz w:val="36"/>
        </w:rPr>
        <w:t>Verona Pharma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United Kingdom</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31227"/>
            <w:bookmarkEnd w:id="6"/>
            <w:r>
              <w:rPr>
                <w:rFonts w:ascii="Times New Roman;Times;Serif" w:hAnsi="Times New Roman;Times;Serif"/>
                <w:b/>
                <w:sz w:val="20"/>
              </w:rPr>
              <w:t>001-38067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98-1489389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3 More London Riverside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London </w:t>
      </w:r>
      <w:bookmarkStart w:id="10" w:name="xdx_90B_edei--EntityAddressPostalZipCode"/>
      <w:bookmarkEnd w:id="10"/>
      <w:r>
        <w:rPr>
          <w:rFonts w:ascii="Times New Roman;Times;Serif" w:hAnsi="Times New Roman;Times;Serif"/>
          <w:b/>
          <w:i w:val="false"/>
          <w:caps w:val="false"/>
          <w:smallCaps w:val="false"/>
          <w:sz w:val="20"/>
        </w:rPr>
        <w:t>SE1 2RE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5_edei--EntityAddressCountry_dxL_c"/>
      <w:bookmarkEnd w:id="11"/>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D_edei--CountryRegion_c20231227__2"/>
      <w:bookmarkEnd w:id="12"/>
      <w:r>
        <w:rPr>
          <w:rFonts w:ascii="Times New Roman;Times;Serif" w:hAnsi="Times New Roman;Times;Serif"/>
          <w:b/>
          <w:i w:val="false"/>
          <w:caps w:val="false"/>
          <w:smallCaps w:val="false"/>
          <w:sz w:val="20"/>
        </w:rPr>
        <w:t xml:space="preserve">44 </w:t>
      </w:r>
      <w:bookmarkStart w:id="13" w:name="xdx_907_edei--CityAreaCode_c20231227__20"/>
      <w:bookmarkEnd w:id="13"/>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bookmarkStart w:id="14" w:name="xdx_90A_edei--LocalPhoneNumber_c20231227"/>
      <w:bookmarkEnd w:id="14"/>
      <w:r>
        <w:rPr>
          <w:rFonts w:ascii="Times New Roman;Times;Serif" w:hAnsi="Times New Roman;Times;Serif"/>
          <w:b/>
          <w:i w:val="false"/>
          <w:caps w:val="false"/>
          <w:smallCaps w:val="false"/>
          <w:sz w:val="20"/>
        </w:rPr>
        <w:t>283 4200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230"/>
        <w:gridCol w:w="7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9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B_edei--SolicitingMaterial_c202312"/>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0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tbl>
      <w:tblPr>
        <w:tblW w:w="8265" w:type="dxa"/>
        <w:jc w:val="left"/>
        <w:tblInd w:w="-10" w:type="dxa"/>
        <w:tblLayout w:type="fixed"/>
        <w:tblCellMar>
          <w:top w:w="28" w:type="dxa"/>
          <w:left w:w="108" w:type="dxa"/>
          <w:bottom w:w="28" w:type="dxa"/>
          <w:right w:w="108" w:type="dxa"/>
        </w:tblCellMar>
      </w:tblPr>
      <w:tblGrid>
        <w:gridCol w:w="3935"/>
        <w:gridCol w:w="1535"/>
        <w:gridCol w:w="2795"/>
      </w:tblGrid>
      <w:tr>
        <w:trPr/>
        <w:tc>
          <w:tcPr>
            <w:tcW w:w="39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27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xml:space="preserve">Name of each exchange on which </w:t>
              <w:br/>
              <w:t>registered</w:t>
            </w:r>
          </w:p>
        </w:tc>
      </w:tr>
      <w:tr>
        <w:trPr/>
        <w:tc>
          <w:tcPr>
            <w:tcW w:w="39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1_edei--Security12bTitle_c20231227"/>
            <w:bookmarkEnd w:id="19"/>
            <w:r>
              <w:rPr>
                <w:sz w:val="20"/>
              </w:rPr>
              <w:t>Ordinary shares, nominal value £0.05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B_edei--TradingSymbol_c20231227__2"/>
            <w:bookmarkEnd w:id="20"/>
            <w:r>
              <w:rPr>
                <w:sz w:val="20"/>
              </w:rPr>
              <w:t>VRNA</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E_edei--SecurityExchangeName_c2023"/>
            <w:bookmarkEnd w:id="21"/>
            <w:r>
              <w:rPr>
                <w:sz w:val="20"/>
              </w:rPr>
              <w:t>The Nasdaq Stock Market LLC</w:t>
            </w:r>
            <w:r>
              <w:rPr/>
              <w:t xml:space="preserve"> </w:t>
              <w:br/>
              <w:t>(Nasdaq Global Market)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The ordinary shares are represented by American Depositary Shares (each representing 8 ordinary shares), which are exempt from the operation of Section 12(a) of the Securities Exchange Act of 1934, as amended, pursuant to Rule 12a-8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(the “Effective Date”), Verona Pharma, Inc. (the “Borrower”), a wholly-owned subsidiary of Verona Pharma plc (the “Company”), entered into a term loan facility of up to $400.0 million (the “Term Loan”), consisting of a term loan advance in an aggregate amount of $50.0 million funded on the Effective Date (the “Term A Loan”), a term loan advance available subject to certain terms and conditions in an aggregate amount of $100.0 million (the “Term B Loan”), a term loan advance available subject to certain terms and conditions in an aggregate amount of $75.0 million (the “Term C Loan”), a term loan advance available subject to certain terms and conditions in an aggregate amount of $75.0 million (the “Term D Loan”) and a term loan advance available in the sole discretion of the lenders and subject to certain terms and conditions in an aggregate amount of $100.0 million (the “Term E Loan”), with Oxford Finance LLC, a Delaware limited liability company, as collateral agent (“Oxford”), and funds managed by Oxford and Hercules Capital, Inc. party thereto (collectively, the “Lenders”). The proceeds of the Term Loan will be used for general corporate and working capital purposes, and a portion of the proceeds of the Term A Loan was used by the Borrower on the Effective Date to repay in full the existing outstanding indebtedness owed by the Borrower and the Company to certain funds managed by Oxford under that certain Loan and Security Agreement, dated as of October 14, 2022, by and among the Borrower, the Company, Oxford Finance Luxembourg S.À R.L., a Luxembourg private limited liability company (société à responsabilité limitée), as collateral agent and the lenders from time to time party thereto (the “Prior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is governed by a loan and security agreement, dated as of the Effective Date, by and among the Borrower, Oxford and the Lenders (the “Loan Agreement”). The Term B Loan will be available, subject to customary terms and conditions, during the period commencing on the date the Borrower receives approval from the United States Food and Drug Administration for its New Drug Application for ensifentrine through and including the earliest of (i) the date that is 30 days immediately following the date the Borrower receives such approval and (ii) September 15, 2024. The Term C Loan will be available, subject to customary terms and conditions (including the prior borrowing of the Term B Loan), during the period commencing on the later of (i) September 15, 2025 and (ii) prior to September 30, 2025, the achievement by the Company and the Borrower of a specified net sales milestone. The Term D Loan will be available, subject to customary terms and conditions (including the prior borrowing of the Term C Loan), during the period commencing on the later of (i) February 15, 2026 and (ii) prior to March 31, 2026, the achievement by the Company and the Borrower of a specified net sales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will mature on December 1, 2028. Each advance under the Loan Agreement accrues interest at a floating per annum rate (the “Basic Rate”) equal to (a) the greater of (i) the 1-Month CME Term SOFR (as defined in the Loan Agreement) reference rate on the last business day of the month that immediately precedes the month in which the interest will accrue and (ii) 5.34%, plus (b) 5.85%. Notwithstanding the foregoing, (i) in no event shall the Basic Rate (x) for the Term A Loan be less than 11.19% and (y) for each other Term Loan be less than the Basic Rate on the business day immediately prior to the funding date of such Term Loan, (ii) the Basic Rate for the Term A Loan for the period from the Effective Date through and including December 31, 2023 shall be 11.19% and (iii) the Basic Rate for each Term Loan shall not increase by more than 2.00% above the applicable Basic Rate as of the funding date of each such Term Loan. The Term Loan provides for interest-only payments on a monthly basis until the payment date immediately preceding June 1, 2028. Thereafter, amortization payments will be payable monthly in equal installments of principal plus monthly payments of accrued interest. Upon repayment (whether at maturity, upon acceleration or by prepayment or otherwise), the Borrower shall make a final payment to the Lenders in the amount of 2.50% to 3.50% of the aggregate Term Loans advanced, depending on when a Term Loan is repaid (the “Final Payment”). The Borrower may prepay the Term Loan in full or in part provided that the Borrower (i) provides ten (10) days’ prior written notice to Oxford and the Lenders, (ii) pays on the date of such prepayment (A) all outstanding principal plus accrued and unpaid interest, (B) a prepayment fee of 2.00% of the Term Loans advanced if paid on or before the second anniversary of the Effective Date; 1.50% of the Term Loans advanced if paid after the second anniversary of the Effective Date of such Term Loans and on or before the third anniversary of the Effective Date; 1.00% of the Term Loans advanced if paid after the third anniversary of the Effective Date, (C) the Final Payment and (D) all other sums, if any, that shall become due and payable under the Loan Agreement, including interest at the default rate with respect to any past due amounts. Amounts outstanding during an event of default are payable upon the Required Lenders’ (as defined in the Loan Agreement) demand and shall accrue interest at an additional rate of 5.00% per annum and (iii) any partial prepayment of the Term Loans shall be in a denomination that is a whole number multiple of $5.0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is secured by a lien on substantially all of the assets of the Borrower and the Company, other than intellectual property, provided that a lien on intellectual property will be granted on the earlier of (i) the funding date of any Term Loan that would cause the aggregate principal amount of outstanding Term Loans drawn pursuant to the Loan Agreement to exceed $50.0 million and (ii) prior to the Borrower or the Company entering into a Permitted Royalty Financing (as defined in the Loan Agreement). The Borrower and the Company have also granted Oxford and the Lenders a negative pledge with respect to their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representations and warranties, covenants and events of default, including two financial covenants: (i) commencing on July 1, 2025, the Borrower is required to maintain certain levels of cash in the United States subject to control agreements in favor of Oxford; provided that such liquidity covenant shall not apply at any given time if the market capitalization of the Company at such time is at least $3.0 billion and (ii) commencing on September 30, 2025, the Borrower and the Company are required to maintain quarterly trailing six-month net product revenue from the sale of ensifentrine; provided that such revenue covenant will be waived at any time (x) the Borrower and the Company’s unrestricted cash balance on the last calendar day of each month during such quarter is equal to or greater than the product of 1.25 multiplied by the aggregate principal amount of outstanding Term Loans on such date, (y)(1) the Borrower and the Company’s unrestricted cash balance on the last calendar day of each month during such quarter is equal to or greater than the product of 0.5 multiplied by the aggregate principal amount of outstanding Term Loans on such date and (2) the average of the daily VWAP of the Company’s American Depositary Shares for each of the five trading days preceding the last trading day of each month during such quarter multiplied by the total number of issued and outstanding American Depositary Shares of the Company is at least $1.5 billion, or (z) the average of the daily VWAP of the Company’s American Depositary Shares for each of the five trading days preceding the last trading day of each month during such quarter multiplied by the total number of issued and outstanding American Depositary Shares of the Company is at least $3.0 billion. The Loan Agreement also contains other customary provisions, such as expense reimbursement, as well as indemnification rights for the benefit of Oxford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Loan Agreement is a summary, and is qualified in its entirety by reference to such document, which is filed herewith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Loan Agreement, on the Effective Date, the Borrowers repaid in full all outstanding indebtedness and terminated all commitments under the Prior Loan Agreement, the material terms of which have been disclosed previously. The aggregate principal amount of the loan outstanding under the Prior Loan Agreement was $20.0 million at the time of repayment. Oxford’s security interest in the Borrower and the Company’s assets under the Prior Loan Agreement were terminated in connection with the discharge of the indebtedness thereunder. The Borrower and the Company did not incur any penalties, but did incur a prepayment fee and a final payment fee, as a result of the foregoing.</w:t>
      </w:r>
    </w:p>
    <w:p>
      <w:pPr>
        <w:pStyle w:val="TextBody"/>
        <w:bidi w:val="0"/>
        <w:spacing w:before="0" w:after="0"/>
        <w:ind w:left="0" w:right="0" w:hanging="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02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1.02.</w:t>
            </w:r>
          </w:p>
        </w:tc>
        <w:tc>
          <w:tcPr>
            <w:tcW w:w="4955" w:type="dxa"/>
            <w:tcBorders/>
            <w:vAlign w:val="center"/>
          </w:tcPr>
          <w:p>
            <w:pPr>
              <w:pStyle w:val="TableContents"/>
              <w:bidi w:val="0"/>
              <w:spacing w:before="0" w:after="283"/>
              <w:jc w:val="left"/>
              <w:rPr>
                <w:b/>
              </w:rPr>
            </w:pPr>
            <w:r>
              <w:rPr>
                <w:b/>
              </w:rPr>
              <w:t>Termination of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in Item 1.01 of this Current Report on Form 8-K regarding the repayment and termination of the Prior Loan Agreement is incorporated into this Item 1.02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91"/>
        <w:gridCol w:w="9276"/>
      </w:tblGrid>
      <w:tr>
        <w:trPr/>
        <w:tc>
          <w:tcPr>
            <w:tcW w:w="3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b/>
              </w:rPr>
            </w:pPr>
            <w:r>
              <w:rPr>
                <w:b/>
              </w:rPr>
              <w:t>Item 2.03.</w:t>
            </w:r>
          </w:p>
        </w:tc>
        <w:tc>
          <w:tcPr>
            <w:tcW w:w="9276"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information set forth in Item 1.01 above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02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2024, the Company issued a press release announcing the Loan Agreement described above. A copy of the press release is attached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under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may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980"/>
        <w:gridCol w:w="3620"/>
      </w:tblGrid>
      <w:tr>
        <w:trPr/>
        <w:tc>
          <w:tcPr>
            <w:tcW w:w="980" w:type="dxa"/>
            <w:tcBorders/>
            <w:vAlign w:val="center"/>
          </w:tcPr>
          <w:p>
            <w:pPr>
              <w:pStyle w:val="TableContents"/>
              <w:bidi w:val="0"/>
              <w:spacing w:before="0" w:after="283"/>
              <w:jc w:val="left"/>
              <w:rPr>
                <w:b/>
              </w:rPr>
            </w:pPr>
            <w:r>
              <w:rPr>
                <w:b/>
              </w:rPr>
              <w:t>Item 9.01</w:t>
            </w:r>
          </w:p>
        </w:tc>
        <w:tc>
          <w:tcPr>
            <w:tcW w:w="3620" w:type="dxa"/>
            <w:tcBorders/>
            <w:vAlign w:val="center"/>
          </w:tcPr>
          <w:p>
            <w:pPr>
              <w:pStyle w:val="TableContents"/>
              <w:bidi w:val="0"/>
              <w:spacing w:before="0" w:after="283"/>
              <w:jc w:val="left"/>
              <w:rPr>
                <w:b/>
              </w:rPr>
            </w:pPr>
            <w:r>
              <w:rPr>
                <w:b/>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283"/>
              <w:jc w:val="center"/>
              <w:rPr>
                <w:b/>
                <w:sz w:val="20"/>
              </w:rPr>
            </w:pPr>
            <w:r>
              <w:rPr>
                <w:b/>
                <w:sz w:val="20"/>
              </w:rPr>
              <w:t>Exhibit</w:t>
              <w:br/>
              <w:t>No.</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b/>
                <w:sz w:val="20"/>
              </w:rPr>
            </w:pPr>
            <w:r>
              <w:rPr>
                <w:b/>
                <w:sz w:val="20"/>
              </w:rPr>
              <w:t>Description</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333838d1_ex10-1.htm">
              <w:r>
                <w:rPr>
                  <w:rStyle w:val="InternetLink"/>
                </w:rPr>
                <w:t>10.1†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tm2333838d1_ex10-1.htm">
              <w:r>
                <w:rPr>
                  <w:rStyle w:val="InternetLink"/>
                </w:rPr>
                <w:t>Loan and Security Agreement, dated as of December 27, 2023, by and among Verona Pharma, Inc., Oxford Finance LLC, as collateral agent and as a lender, and the other lenders party thereto</w:t>
              </w:r>
            </w:hyperlink>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333838d1_ex99-1.htm">
              <w:r>
                <w:rPr>
                  <w:rStyle w:val="InternetLink"/>
                </w:rPr>
                <w:t>99.1*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tm2333838d1_ex99-1.htm">
              <w:r>
                <w:rPr>
                  <w:rStyle w:val="InternetLink"/>
                </w:rPr>
                <w:t>Press Release, dated January 2, 2024.</w:t>
              </w:r>
            </w:hyperlink>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(embedded within the inline XBRL document).</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Certain confidential portions (indicated by brackets and asterisks) have been omitted from this exhibit pursuant to Item 601(b)(10)(iv). Schedules and exhibits have been omitted pursuant to Item 601(a)(5) of Regulation S-K. The Company agrees to furnish supplementally to the SEC a copy of any omitted schedule or exhibit upon request by the SEC.</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120"/>
        <w:gridCol w:w="60"/>
        <w:gridCol w:w="650"/>
        <w:gridCol w:w="3635"/>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b/>
              </w:rPr>
            </w:pPr>
            <w:r>
              <w:rPr>
                <w:b/>
              </w:rPr>
              <w:t>VERONA PHARMA PLC</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Date: January 2, 2024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635" w:type="dxa"/>
            <w:tcBorders>
              <w:bottom w:val="single" w:sz="8" w:space="0" w:color="000000"/>
            </w:tcBorders>
            <w:tcMar>
              <w:bottom w:w="28" w:type="dxa"/>
            </w:tcMar>
            <w:vAlign w:val="center"/>
          </w:tcPr>
          <w:p>
            <w:pPr>
              <w:pStyle w:val="TableContents"/>
              <w:bidi w:val="0"/>
              <w:spacing w:before="0" w:after="283"/>
              <w:jc w:val="left"/>
              <w:rPr/>
            </w:pPr>
            <w:r>
              <w:rPr/>
              <w:t>/s/ David Zaccardelli, Pharm. D.</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David Zaccardelli, Pharm. D.</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3" w:name="tm2333838d1_ex10-1.htm"/>
      <w:bookmarkStart w:id="24" w:name="kstm2333838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CERTAIN CONFIDENTIAL INFORMATION CONTAINED IN THIS DOCUMENT, MARKED BY [***], HAS BEEN OMITTED FROM THIS EXHIBIT BECAUSE IT IS BOTH (I) NOT MATERIAL AND (II) THE TYPE OF INFORMATION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LOAN AND SECURITY AGREEMENT</w:t>
      </w:r>
      <w:r>
        <w:rPr>
          <w:rFonts w:ascii="Times New Roman;Times;Serif" w:hAnsi="Times New Roman;Times;Serif"/>
          <w:b w:val="false"/>
          <w:i w:val="false"/>
          <w:caps w:val="false"/>
          <w:smallCaps w:val="false"/>
          <w:sz w:val="20"/>
        </w:rPr>
        <w:t xml:space="preserve"> (as the same may from time to time be amended, restated, amended and restated, supplemented or otherwise modified,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December 27, 2023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among OXFORD FINANCE LLC, a Delaware limited liability company with an office located at 115 South Union Street, Suite 300, Alexandria, VA  22314 (“</w:t>
      </w:r>
      <w:r>
        <w:rPr>
          <w:rFonts w:ascii="Times New Roman;Times;Serif" w:hAnsi="Times New Roman;Times;Serif"/>
          <w:b/>
          <w:i w:val="false"/>
          <w:caps w:val="false"/>
          <w:smallCaps w:val="false"/>
          <w:sz w:val="20"/>
        </w:rPr>
        <w:t>Oxford</w:t>
      </w:r>
      <w:r>
        <w:rPr>
          <w:rFonts w:ascii="Times New Roman;Times;Serif" w:hAnsi="Times New Roman;Times;Serif"/>
          <w:b w:val="false"/>
          <w:i w:val="false"/>
          <w:caps w:val="false"/>
          <w:smallCaps w:val="false"/>
          <w:sz w:val="20"/>
        </w:rPr>
        <w:t>”), as collateral agent (in such capacity,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xml:space="preserve">”), the Lenders listed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hereof or otherwise a party hereto from time to time including Oxford in its capacity as a Lender, OXFORD FINANCE CREDIT FUND II, LP, by its manager Oxford Finance Advisors, LLC, with an office located at 115 South Union Street, Suite 300, Alexandria, VA  22314 (“</w:t>
      </w:r>
      <w:r>
        <w:rPr>
          <w:rFonts w:ascii="Times New Roman;Times;Serif" w:hAnsi="Times New Roman;Times;Serif"/>
          <w:b/>
          <w:i w:val="false"/>
          <w:caps w:val="false"/>
          <w:smallCaps w:val="false"/>
          <w:sz w:val="20"/>
        </w:rPr>
        <w:t>OFCF II</w:t>
      </w:r>
      <w:r>
        <w:rPr>
          <w:rFonts w:ascii="Times New Roman;Times;Serif" w:hAnsi="Times New Roman;Times;Serif"/>
          <w:b w:val="false"/>
          <w:i w:val="false"/>
          <w:caps w:val="false"/>
          <w:smallCaps w:val="false"/>
          <w:sz w:val="20"/>
        </w:rPr>
        <w:t>”), OXFORD FINANCE CREDIT FUND III, LP, by its manager Oxford Finance Advisors, LLC, with an office located at 115 South Union Street, Suite 300, Alexandria, VA  22314 (“</w:t>
      </w:r>
      <w:r>
        <w:rPr>
          <w:rFonts w:ascii="Times New Roman;Times;Serif" w:hAnsi="Times New Roman;Times;Serif"/>
          <w:b/>
          <w:i w:val="false"/>
          <w:caps w:val="false"/>
          <w:smallCaps w:val="false"/>
          <w:sz w:val="20"/>
        </w:rPr>
        <w:t>OFCF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HERCULES CAPITAL, INC., a Maryland corporation</w:t>
      </w:r>
      <w:r>
        <w:rPr>
          <w:rFonts w:ascii="Times New Roman;Times;Serif" w:hAnsi="Times New Roman;Times;Serif"/>
          <w:b w:val="false"/>
          <w:i w:val="false"/>
          <w:caps w:val="false"/>
          <w:smallCaps w:val="false"/>
          <w:sz w:val="20"/>
        </w:rPr>
        <w:t>, with an office located at 400 Hamilton Avenue, Suite 310, Palo Alto, CA 94301 (“</w:t>
      </w:r>
      <w:r>
        <w:rPr>
          <w:rFonts w:ascii="Times New Roman;Times;Serif" w:hAnsi="Times New Roman;Times;Serif"/>
          <w:b/>
          <w:i w:val="false"/>
          <w:caps w:val="false"/>
          <w:smallCaps w:val="false"/>
          <w:sz w:val="20"/>
        </w:rPr>
        <w:t>Hercules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Hercules Private Credit Fund 1 L.P.</w:t>
      </w:r>
      <w:r>
        <w:rPr>
          <w:rFonts w:ascii="Times New Roman;Times;Serif" w:hAnsi="Times New Roman;Times;Serif"/>
          <w:b w:val="false"/>
          <w:i w:val="false"/>
          <w:caps w:val="false"/>
          <w:smallCaps w:val="false"/>
          <w:sz w:val="20"/>
        </w:rPr>
        <w:t>, a Delaware limited partnership, with an office located at 400 Hamilton Avenue, Suite 310, Palo Alto, CA 94301 (“</w:t>
      </w:r>
      <w:r>
        <w:rPr>
          <w:rFonts w:ascii="Times New Roman;Times;Serif" w:hAnsi="Times New Roman;Times;Serif"/>
          <w:b/>
          <w:i w:val="false"/>
          <w:caps w:val="false"/>
          <w:smallCaps w:val="false"/>
          <w:sz w:val="20"/>
        </w:rPr>
        <w:t>Hercules Credit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Hercules Private Global Venture Growth Fund I L.P.</w:t>
      </w:r>
      <w:r>
        <w:rPr>
          <w:rFonts w:ascii="Times New Roman;Times;Serif" w:hAnsi="Times New Roman;Times;Serif"/>
          <w:b w:val="false"/>
          <w:i w:val="false"/>
          <w:caps w:val="false"/>
          <w:smallCaps w:val="false"/>
          <w:sz w:val="20"/>
        </w:rPr>
        <w:t>, a Delaware limited partnership, with an office located at 400 Hamilton Avenue, Suite 310, Palo Alto, CA 94301 (“</w:t>
      </w:r>
      <w:r>
        <w:rPr>
          <w:rFonts w:ascii="Times New Roman;Times;Serif" w:hAnsi="Times New Roman;Times;Serif"/>
          <w:b/>
          <w:i w:val="false"/>
          <w:caps w:val="false"/>
          <w:smallCaps w:val="false"/>
          <w:sz w:val="20"/>
        </w:rPr>
        <w:t>Hercules Growth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Hercules Venture Growth Credit Opportunities Fund 1 L.P.,</w:t>
      </w:r>
      <w:r>
        <w:rPr>
          <w:rFonts w:ascii="Times New Roman;Times;Serif" w:hAnsi="Times New Roman;Times;Serif"/>
          <w:b w:val="false"/>
          <w:i w:val="false"/>
          <w:caps w:val="false"/>
          <w:smallCaps w:val="false"/>
          <w:sz w:val="20"/>
        </w:rPr>
        <w:t xml:space="preserve"> a Delaware limited partnership, with an office located at 400 Hamilton Avenue, Suite 310, Palo Alto, CA 94301 (“</w:t>
      </w:r>
      <w:r>
        <w:rPr>
          <w:rFonts w:ascii="Times New Roman;Times;Serif" w:hAnsi="Times New Roman;Times;Serif"/>
          <w:b/>
          <w:i w:val="false"/>
          <w:caps w:val="false"/>
          <w:smallCaps w:val="false"/>
          <w:sz w:val="20"/>
        </w:rPr>
        <w:t>Hercules Opportunities 1</w:t>
      </w:r>
      <w:r>
        <w:rPr>
          <w:rFonts w:ascii="Times New Roman;Times;Serif" w:hAnsi="Times New Roman;Times;Serif"/>
          <w:b w:val="false"/>
          <w:i w:val="false"/>
          <w:caps w:val="false"/>
          <w:smallCaps w:val="false"/>
          <w:sz w:val="20"/>
        </w:rPr>
        <w:t>”) (each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and VERONA PHARMA, INC., a Delaware corporation with offices located at 8529 Six Forks Road, Suite 400, Raleigh, NC 27615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provides the terms on which the Lenders shall lend to Borrower and Borrower shall repay the Lenders.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sz w:val="20"/>
          <w:u w:val="single"/>
        </w:rPr>
        <w:t>ACCOUNTING AND 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val="false"/>
          <w:i w:val="false"/>
          <w:caps w:val="false"/>
          <w:smallCaps w:val="false"/>
          <w:sz w:val="20"/>
        </w:rPr>
        <w:t>Accounting terms not defined in this Agreement shall be construed in accordance with GAAP. Calculations and determinations must be made 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are United States Dollars, unless otherwise noted.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sz w:val="20"/>
          <w:u w:val="single"/>
        </w:rPr>
        <w:t>LOANS AND TERMS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Promise to Pay.</w:t>
      </w:r>
      <w:r>
        <w:rPr>
          <w:rFonts w:ascii="Times New Roman;Times;Serif" w:hAnsi="Times New Roman;Times;Serif"/>
          <w:b w:val="false"/>
          <w:i w:val="false"/>
          <w:caps w:val="false"/>
          <w:smallCaps w:val="false"/>
          <w:sz w:val="20"/>
        </w:rPr>
        <w:t xml:space="preserve"> Borrower hereby unconditionally promises to pay each Lender, the outstanding principal amount of all Term Loans advanced to Borrower by such Lender and accrued and unpaid interest thereon and any other amounts due hereunder as and when due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Term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xml:space="preserve">. (i) Subject to the terms and conditions of this Agreement, the Lenders agree, severally and not jointly, to make term loans to Borrower on the Effective Date in an aggregate amount of Fifty Million Dollars ($50,000,000.00) according to each Lender’s Term A Loan Commitment as set forth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hereto (such term loans are hereinafter referred to singly as a “</w:t>
      </w:r>
      <w:r>
        <w:rPr>
          <w:rFonts w:ascii="Times New Roman;Times;Serif" w:hAnsi="Times New Roman;Times;Serif"/>
          <w:b/>
          <w:i w:val="false"/>
          <w:caps w:val="false"/>
          <w:smallCaps w:val="false"/>
          <w:sz w:val="20"/>
        </w:rPr>
        <w:t>Term A Loan</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Term A Loans</w:t>
      </w:r>
      <w:r>
        <w:rPr>
          <w:rFonts w:ascii="Times New Roman;Times;Serif" w:hAnsi="Times New Roman;Times;Serif"/>
          <w:b w:val="false"/>
          <w:i w:val="false"/>
          <w:caps w:val="false"/>
          <w:smallCaps w:val="false"/>
          <w:sz w:val="20"/>
        </w:rPr>
        <w:t>”). After repayment, no Term A Loan may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the terms and conditions of this Agreement, the Lenders agree, severally and not jointly, during the Second Draw Period, to make term loans to Borrower in an aggregate amount of One Hundred Million Dollars ($100,000,000.00) according to each Lender’s Term B Loan Commitment as set forth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hereto (such term loans are hereinafter referred to singly as a “</w:t>
      </w:r>
      <w:r>
        <w:rPr>
          <w:rFonts w:ascii="Times New Roman;Times;Serif" w:hAnsi="Times New Roman;Times;Serif"/>
          <w:b/>
          <w:i w:val="false"/>
          <w:caps w:val="false"/>
          <w:smallCaps w:val="false"/>
          <w:sz w:val="20"/>
        </w:rPr>
        <w:t>Term B Loan</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Term B Loans</w:t>
      </w:r>
      <w:r>
        <w:rPr>
          <w:rFonts w:ascii="Times New Roman;Times;Serif" w:hAnsi="Times New Roman;Times;Serif"/>
          <w:b w:val="false"/>
          <w:i w:val="false"/>
          <w:caps w:val="false"/>
          <w:smallCaps w:val="false"/>
          <w:sz w:val="20"/>
        </w:rPr>
        <w:t>”). After repayment, no Term B Loan may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the terms and conditions of this Agreement, the Lenders agree, severally and not jointly, during the Third Draw Period, to make term loans to Borrower in an aggregate amount of Seventy Five Million Dollars ($75,000,000.00) according to each Lender’s Term C Loan Commitment as set forth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hereto (such term loans are hereinafter referred to singly as a “</w:t>
      </w:r>
      <w:r>
        <w:rPr>
          <w:rFonts w:ascii="Times New Roman;Times;Serif" w:hAnsi="Times New Roman;Times;Serif"/>
          <w:b/>
          <w:i w:val="false"/>
          <w:caps w:val="false"/>
          <w:smallCaps w:val="false"/>
          <w:sz w:val="20"/>
        </w:rPr>
        <w:t>Term C Loan</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Term C Loans</w:t>
      </w:r>
      <w:r>
        <w:rPr>
          <w:rFonts w:ascii="Times New Roman;Times;Serif" w:hAnsi="Times New Roman;Times;Serif"/>
          <w:b w:val="false"/>
          <w:i w:val="false"/>
          <w:caps w:val="false"/>
          <w:smallCaps w:val="false"/>
          <w:sz w:val="20"/>
        </w:rPr>
        <w:t>”). After repayment, no Term C Loan may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Subject to the terms and conditions of this Agreement, the Lenders agree, severally and not jointly, during the Fourth Draw Period, to make term loans to Borrower in an aggregate amount of Seventy Five Million Dollars ($75,000,000.00) according to each Lender’s Term D Loan Commitment as set forth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hereto (such term loans are hereinafter referred to singly as a “</w:t>
      </w:r>
      <w:r>
        <w:rPr>
          <w:rFonts w:ascii="Times New Roman;Times;Serif" w:hAnsi="Times New Roman;Times;Serif"/>
          <w:b/>
          <w:i w:val="false"/>
          <w:caps w:val="false"/>
          <w:smallCaps w:val="false"/>
          <w:sz w:val="20"/>
        </w:rPr>
        <w:t>Term D Loan</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Term D Loans</w:t>
      </w:r>
      <w:r>
        <w:rPr>
          <w:rFonts w:ascii="Times New Roman;Times;Serif" w:hAnsi="Times New Roman;Times;Serif"/>
          <w:b w:val="false"/>
          <w:i w:val="false"/>
          <w:caps w:val="false"/>
          <w:smallCaps w:val="false"/>
          <w:sz w:val="20"/>
        </w:rPr>
        <w:t>”). After repayment, no Term D Loan may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the terms and conditions of this Agreement, the Lenders may prior to the Amortization Date, in their sole discretion and upon Borrower’s request, agree to make term loans to Borrower in an aggregate amount equal to One Hundred Million Dollars ($100,000,000.00) and, if made, according to a commitment schedule to be provided by the Lenders prior to the Funding Date of such Term Loans (such term loans are hereinafter referred to singly as a “</w:t>
      </w:r>
      <w:r>
        <w:rPr>
          <w:rFonts w:ascii="Times New Roman;Times;Serif" w:hAnsi="Times New Roman;Times;Serif"/>
          <w:b/>
          <w:i w:val="false"/>
          <w:caps w:val="false"/>
          <w:smallCaps w:val="false"/>
          <w:sz w:val="20"/>
        </w:rPr>
        <w:t>Term E Loan</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Term E Loans</w:t>
      </w:r>
      <w:r>
        <w:rPr>
          <w:rFonts w:ascii="Times New Roman;Times;Serif" w:hAnsi="Times New Roman;Times;Serif"/>
          <w:b w:val="false"/>
          <w:i w:val="false"/>
          <w:caps w:val="false"/>
          <w:smallCaps w:val="false"/>
          <w:sz w:val="20"/>
        </w:rPr>
        <w:t>”; each Term A Loan, Term B Loan, Term C Loan, Term D Loan and Term E Loan is hereinafter referred to singly as a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and the Term A Loans, the Term B Loans, the Term C Loans, the Term D Loans and the Term E Loans are hereinafter referred to collectively as the “</w:t>
      </w:r>
      <w:r>
        <w:rPr>
          <w:rFonts w:ascii="Times New Roman;Times;Serif" w:hAnsi="Times New Roman;Times;Serif"/>
          <w:b/>
          <w:i w:val="false"/>
          <w:caps w:val="false"/>
          <w:smallCaps w:val="false"/>
          <w:sz w:val="20"/>
        </w:rPr>
        <w:t>Term Loans</w:t>
      </w:r>
      <w:r>
        <w:rPr>
          <w:rFonts w:ascii="Times New Roman;Times;Serif" w:hAnsi="Times New Roman;Times;Serif"/>
          <w:b w:val="false"/>
          <w:i w:val="false"/>
          <w:caps w:val="false"/>
          <w:smallCaps w:val="false"/>
          <w:sz w:val="20"/>
        </w:rPr>
        <w:t>”). After repayment, no Term E Loan may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Repayment. Borrower shall make monthly payments of interest only commencing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Payment Date following the first full calendar month to occur after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last calendar day of the month in which such Term Loan funds.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seven (7) months. All unpaid principal and accrued and unpaid interest with respect to each Term Loan is due and payable in full on the Maturity Date. Each Term Loan may only be prepaid in accordance with Sections 2.2(c) and 2.2(d).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 (iv) all other Obligations that are due and payable, including Lenders’ Expenses and interest at the Default Rate (if the Required Lenders so elect)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any remaining portion of the Final Payment in respect of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Permitted Prepayment of Term Loans</w:t>
      </w:r>
      <w:r>
        <w:rPr>
          <w:rFonts w:ascii="Times New Roman;Times;Serif" w:hAnsi="Times New Roman;Times;Serif"/>
          <w:b w:val="false"/>
          <w:i w:val="false"/>
          <w:caps w:val="false"/>
          <w:smallCaps w:val="false"/>
          <w:sz w:val="20"/>
        </w:rPr>
        <w:t>. Borrower shall have the option to prepay all or a portion of the Term Loans advanced by the Lenders under this Agreement, provided Borrower (i) provides written notice to Collateral Agent and Lenders of its election to prepay such Term Loans at least ten (10) days prior to such prepayment, (ii) if applicable, prepays such part of the Term Loans in a denomination that is a whole number multiple of Five Million Dollars ($5,000,000.00), and (iii) pays to the Lenders on the date of such prepayment, payable to each Lender in accordance with its respective Pro Rata Share, an amount equal to the sum of (A) the portion of the outstanding principal of such Term Loans plus accrued and unpaid interest thereon through the prepayment date, (B) the Final Payment, (C) the applicable pro-rated Prepayment Fee with respect to the portion of such Term Loans being prepaid, plus (D) all other Obligations that are due and payable, including Lenders’ Expenses and interest at the Default Rate (if the Required Lenders so elect) with respect to any past due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Payment of Interest on the Credit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Interest Rate.</w:t>
      </w:r>
      <w:r>
        <w:rPr>
          <w:rFonts w:ascii="Times New Roman;Times;Serif" w:hAnsi="Times New Roman;Times;Serif"/>
          <w:b w:val="false"/>
          <w:i w:val="false"/>
          <w:caps w:val="false"/>
          <w:smallCaps w:val="false"/>
          <w:sz w:val="20"/>
        </w:rPr>
        <w:t xml:space="preserve"> Subject to Section 2.3(b), the principal amount outstanding under the Term Loans shall accrue interest at a floating per annum rate equal to the Basic Rate, determined by Collateral Agent (x) on the Funding Date of the applicable Term Loan and (y) monthly thereafter,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 (other than inchoate indemnity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Immediately upon the occurrence and during the continuance of an Event of Default, Obligations shall accrue interest at a floating per annum rate equal to the rate that is otherwise applicable thereto plus five percentage points (5.00%) (the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360-Day Year</w:t>
      </w:r>
      <w:r>
        <w:rPr>
          <w:rFonts w:ascii="Times New Roman;Times;Serif" w:hAnsi="Times New Roman;Times;Serif"/>
          <w:b w:val="false"/>
          <w:i w:val="false"/>
          <w:caps w:val="false"/>
          <w:smallCaps w:val="false"/>
          <w:sz w:val="20"/>
        </w:rPr>
        <w:t>. Interest shall be computed on the basis of a three hundred sixty (360) 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Debit of Accounts</w:t>
      </w:r>
      <w:r>
        <w:rPr>
          <w:rFonts w:ascii="Times New Roman;Times;Serif" w:hAnsi="Times New Roman;Times;Serif"/>
          <w:b w:val="false"/>
          <w:i w:val="false"/>
          <w:caps w:val="false"/>
          <w:smallCaps w:val="false"/>
          <w:sz w:val="20"/>
        </w:rPr>
        <w:t>. Collateral Agent and Hercules may debit (or ACH) any deposit accounts, maintained by Borrower, starting with the Designated Deposit Account, for principal and interest payments or any other amounts Borrower owes the Lenders under the Loan Documents when due. Any such debits (or ACH activity) shall not constitute a set-off. Without limiting the foregoing, Collateral Agent and Hercules shall use commercially reasonable efforts to notify Borrower for the reasons of debiting of any amounts (other than principal and interest payments) debited from Borrower’s deposit accounts in respect of this Agreement after such debit has been made; provided, however, failure to provide such notice shall not be considered a breach of any provision hereof by Collateral Agent or Hercules.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Secured Promissory Notes.</w:t>
      </w:r>
      <w:r>
        <w:rPr>
          <w:rFonts w:ascii="Times New Roman;Times;Serif" w:hAnsi="Times New Roman;Times;Serif"/>
          <w:b w:val="false"/>
          <w:i w:val="false"/>
          <w:caps w:val="false"/>
          <w:smallCaps w:val="false"/>
          <w:sz w:val="20"/>
        </w:rPr>
        <w:t xml:space="preserve"> The Term Loans made by any Lender shall be evidenced by a Secured Promissory Note or Notes in the form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i w:val="false"/>
          <w:caps w:val="false"/>
          <w:smallCaps w:val="false"/>
          <w:sz w:val="20"/>
        </w:rPr>
        <w:t>Secured Promissory Note</w:t>
      </w:r>
      <w:r>
        <w:rPr>
          <w:rFonts w:ascii="Times New Roman;Times;Serif" w:hAnsi="Times New Roman;Times;Serif"/>
          <w:b w:val="false"/>
          <w:i w:val="false"/>
          <w:caps w:val="false"/>
          <w:smallCaps w:val="false"/>
          <w:sz w:val="20"/>
        </w:rPr>
        <w:t>”), if such Lender requests it, and shall be repayable as set forth in this Agreement. Borrower irrevocably authorizes each Lender who has received Secured Promissory Note(s) to evidence the Term Loans it has made to make or cause to be made, on or about the Funding Date of any Term Loan or at the time of receipt of any payment of principal on such Lender’s Secured Promissory Note or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Borrower shall issue, in lieu thereof, a replacement Secured Promissory Note in the same principal amount thereof and of like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Fees.</w:t>
      </w:r>
      <w:r>
        <w:rPr>
          <w:rFonts w:ascii="Times New Roman;Times;Serif" w:hAnsi="Times New Roman;Times;Serif"/>
          <w:b w:val="false"/>
          <w:i w:val="false"/>
          <w:caps w:val="false"/>
          <w:smallCaps w:val="false"/>
          <w:sz w:val="20"/>
        </w:rPr>
        <w:t xml:space="preserve"> Borrower shall pay to the Lenders in accordance with their respective Pro Rata Shares (unless otherwise noted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Diligence Fees</w:t>
      </w:r>
      <w:r>
        <w:rPr>
          <w:rFonts w:ascii="Times New Roman;Times;Serif" w:hAnsi="Times New Roman;Times;Serif"/>
          <w:b w:val="false"/>
          <w:i w:val="false"/>
          <w:caps w:val="false"/>
          <w:smallCaps w:val="false"/>
          <w:sz w:val="20"/>
        </w:rPr>
        <w:t>. Due diligence fees in an amount of Fifty Thousand Dollars ($50,000.00) has been received directly by Lenders in accordance with their Pro Rata Shares, which amount shall be applied toward the Lenders’ Expenses (other than attorneys’ fees and expenses) due hereunder that have been incurred through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Facility Fee</w:t>
      </w:r>
      <w:r>
        <w:rPr>
          <w:rFonts w:ascii="Times New Roman;Times;Serif" w:hAnsi="Times New Roman;Times;Serif"/>
          <w:b w:val="false"/>
          <w:i w:val="false"/>
          <w:caps w:val="false"/>
          <w:smallCaps w:val="false"/>
          <w:sz w:val="20"/>
        </w:rPr>
        <w:t>. On the Funding Date of each Term Loan, a non-refundable facility fee equal to 0.65% of the aggregate amount of such Term Loan being funded, shall be fully earned and due and payable and will be shared between the applicable Lenders on a pro rata basis pursuant to their respective Commitment Percentages with respect to such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Final Payment</w:t>
      </w:r>
      <w:r>
        <w:rPr>
          <w:rFonts w:ascii="Times New Roman;Times;Serif" w:hAnsi="Times New Roman;Times;Serif"/>
          <w:b w:val="false"/>
          <w:i w:val="false"/>
          <w:caps w:val="false"/>
          <w:smallCaps w:val="false"/>
          <w:sz w:val="20"/>
        </w:rPr>
        <w:t>. The Final Payment, when due hereunder, to be shared between the Lenders in accordance with their respective Pro Rata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Prepayment Fee</w:t>
      </w:r>
      <w:r>
        <w:rPr>
          <w:rFonts w:ascii="Times New Roman;Times;Serif" w:hAnsi="Times New Roman;Times;Serif"/>
          <w:b w:val="false"/>
          <w:i w:val="false"/>
          <w:caps w:val="false"/>
          <w:smallCaps w:val="false"/>
          <w:sz w:val="20"/>
        </w:rPr>
        <w:t>. The Prepayment Fee, when due hereunder, to be shared between the Lenders in accordance with their respective Pro Rata Shares;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Lenders’ Expenses</w:t>
      </w:r>
      <w:r>
        <w:rPr>
          <w:rFonts w:ascii="Times New Roman;Times;Serif" w:hAnsi="Times New Roman;Times;Serif"/>
          <w:b w:val="false"/>
          <w:i w:val="false"/>
          <w:caps w:val="false"/>
          <w:smallCaps w:val="false"/>
          <w:sz w:val="20"/>
        </w:rPr>
        <w:t>. All Lenders’ Expenses (including reasonable and documented out-of-pocket attorneys’ fees and expenses of a single counsel (or in the case of an actual conflict of interest, where the Lender affected by such conflict informs the Borrower of such conflict, one additional counsel) for all Lenders for documentation and negotiation of this Agreement and the Loan Documents) incurred through and after the Effective Date,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Withholding.</w:t>
      </w:r>
      <w:r>
        <w:rPr>
          <w:rFonts w:ascii="Times New Roman;Times;Serif" w:hAnsi="Times New Roman;Times;Serif"/>
          <w:b w:val="false"/>
          <w:i w:val="false"/>
          <w:caps w:val="false"/>
          <w:smallCaps w:val="false"/>
          <w:sz w:val="20"/>
        </w:rPr>
        <w:t xml:space="preserve"> Provided the Borrower has timely received from each Lender a Tax Certificate (as defined below), payments received by the Lenders (or Collateral Agent, if applicable) from Borrower hereunder will be made free and clear of and without deduction for any and all present or future U.S. federal income Taxes. If at any time any Governmental Authority, applicable law, regulation or international agreement requires Borrower to make any such withholding or deduction from any such payment or other sum payable hereunder to the Lenders, Borrower shall be permitted to make such withholding or deduction and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 On or prior to the date of this Agreement, each Lender shall deliver, and upon a Lender Transfer (if such Lender Transfer constitutes a sale, an assignment or a transfer), the applicable successor or assign shall deliver, to Borrower a complete and properly executed IRS Form W-9 or an appropriate IRS Form W-8, as applicable, certifying that such Lender is exempt from U.S. federal withholding tax (including backup withholding), or any similar or successor certificate designated by the IRS (a “</w:t>
      </w:r>
      <w:r>
        <w:rPr>
          <w:rFonts w:ascii="Times New Roman;Times;Serif" w:hAnsi="Times New Roman;Times;Serif"/>
          <w:b/>
          <w:i w:val="false"/>
          <w:caps w:val="false"/>
          <w:smallCaps w:val="false"/>
          <w:sz w:val="20"/>
        </w:rPr>
        <w:t>Tax Certificate</w:t>
      </w:r>
      <w:r>
        <w:rPr>
          <w:rFonts w:ascii="Times New Roman;Times;Serif" w:hAnsi="Times New Roman;Times;Serif"/>
          <w:b w:val="false"/>
          <w:i w:val="false"/>
          <w:caps w:val="false"/>
          <w:smallCaps w:val="false"/>
          <w:sz w:val="20"/>
        </w:rPr>
        <w:t>”). Notwithstanding anything to the contrary in this Section 2.6, from and after the failure of any Lender to so deliver such a Tax Certificate, the amount due from Borrower with respect to such payment or other sum payable hereunder shall not be required to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until such time as the Tax Certificate has been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sz w:val="20"/>
          <w:u w:val="single"/>
        </w:rPr>
        <w:t>CONDITIONS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Conditions Precedent to Initial Credit Extension.</w:t>
      </w:r>
      <w:r>
        <w:rPr>
          <w:rFonts w:ascii="Times New Roman;Times;Serif" w:hAnsi="Times New Roman;Times;Serif"/>
          <w:b w:val="false"/>
          <w:i w:val="false"/>
          <w:caps w:val="false"/>
          <w:smallCaps w:val="false"/>
          <w:sz w:val="20"/>
        </w:rPr>
        <w:t xml:space="preserve"> Each Lender’s obligation to make a Term A Loan is subject to the condition 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original Loan Documents, each duly executed by each Loan Party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duly executed original Control Agreement with respect to the Designated Deposit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duly executed original Secured Promissory Notes in favor of each Lender that requests it according to its Term A Loan Commitment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Operating Documents of Parent and Borrower and good standing certificates of Borrower certified by the Secretary of State (or equivalent agency) of Borrower’s jurisdiction of organization or formation and each jurisdiction in which Borrower is qualified to do business, each as of a date no earlier than thirty (30) days prior to the Effective Date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completed Perfection Certificate for each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duly executed original Corporate Certificate for Parent and Borrower, in a form acceptable to Collateral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certified copies, dated as of date no earlier than forty five (45)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 duly executed legal opinion of counsel to Borrower dated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 duly executed English legal opinion of counsel to Lenders dated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duly executed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duly executed English Security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subject to the Post-Closing Letter, 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 payoff letter from OXFORD FINANCE LUXEMBOURG S.À R.L. in respect of the Existing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evidence that (i) the Liens securing the Existing Indebtedness will be terminated and (ii) the documents and/or filings evidencing the perfection of such Liens, including without limitation any financing statements and/or control agreements, have or will, concurrently with the initial Credit Extension,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Conditions Precedent to all Credit Extensions.</w:t>
      </w:r>
      <w:r>
        <w:rPr>
          <w:rFonts w:ascii="Times New Roman;Times;Serif" w:hAnsi="Times New Roman;Times;Serif"/>
          <w:b w:val="false"/>
          <w:i w:val="false"/>
          <w:caps w:val="false"/>
          <w:smallCaps w:val="false"/>
          <w:sz w:val="20"/>
        </w:rPr>
        <w:t xml:space="preserve"> The obligation of each Lender to make each Credit Extension, including the initial Credit Extension, is subject to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receipt by (i) the Lenders of an executed Disbursement Letter in the form of Exhibit B-1 attached hereto; and (ii) Hercules of an executed Advance Request in the form of Exhibit B-2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in Section 5 hereof shall be true, accurate and complete in all material respects on the date of the Disbursement Letter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such Lender’s sole but reasonable discretion, there has not been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such Credit Extension is for Term Loans other than Term A Loan, duly executed original Secured Promissory Notes to each Lender (if requested), in number, form and content reasonably acceptable to such Lender, and in favor of such Lender according to its Commitment Percentage, with respect to each Credit Extension made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such Credit Extension is for Term C Loan, then the Third Draw Period Commencement Event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such Credit Extension is for Term D Loan, then the Fourth Draw Period Commencement Event shall have occurred;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payment of the fees and Lenders’ Expenses then due as specified in Section 2.5(e) hereof and the payment of the applicable facility fee set forth in Section 2.5(b)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Covenant to Deliver.</w:t>
      </w:r>
      <w:r>
        <w:rPr>
          <w:rFonts w:ascii="Times New Roman;Times;Serif" w:hAnsi="Times New Roman;Times;Serif"/>
          <w:b w:val="false"/>
          <w:i w:val="false"/>
          <w:caps w:val="false"/>
          <w:smallCaps w:val="false"/>
          <w:sz w:val="20"/>
        </w:rPr>
        <w:t xml:space="preserve"> Borrower agrees to deliver to Collateral Agent, to the extent applicable, and the Lenders each item required to be delivered to Collateral Agent or any Lender 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Procedures for Borrowing.</w:t>
      </w:r>
      <w:r>
        <w:rPr>
          <w:rFonts w:ascii="Times New Roman;Times;Serif" w:hAnsi="Times New Roman;Times;Serif"/>
          <w:b w:val="false"/>
          <w:i w:val="false"/>
          <w:caps w:val="false"/>
          <w:smallCaps w:val="false"/>
          <w:sz w:val="20"/>
        </w:rPr>
        <w:t xml:space="preserve"> Subject to the prior satisfaction of all other applicable conditions to the making of a Term Loan set forth in this Agreement, to obtain a Term Loan (other than for the Term Loan funded on the Effective Date), Borrower shall notify the Lenders (which notice shall be irrevocable) by electronic mail, facsimile, or telephone by 2:00 p.m. Eastern time ten (10) Business Days prior to the date the Term Loan is to be made. Together with any such electronic, facsimile or telephonic notification, Borrower shall deliver to the Lenders by electronic mail or facsimile a completed Disbursement Letter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sz w:val="20"/>
          <w:u w:val="single"/>
        </w:rPr>
        <w:t>CREATION OF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Grant of Security Interest.</w:t>
      </w:r>
      <w:r>
        <w:rPr>
          <w:rFonts w:ascii="Times New Roman;Times;Serif" w:hAnsi="Times New Roman;Times;Serif"/>
          <w:b w:val="false"/>
          <w:i w:val="false"/>
          <w:caps w:val="false"/>
          <w:smallCaps w:val="false"/>
          <w:sz w:val="20"/>
        </w:rPr>
        <w:t xml:space="preserve"> Borrower hereby grants Collateral Agent, for the ratable benefit of the Lenders, to secure the payment and performance in full of all of the Obligations, a continuing security interest in, and pledges to Collateral Agent, for the ratable benefit of the Lenders, the Collateral (but for the purposes of this Section 4.1, excluding all of the English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greater than Five Hundred Thousand Dollars ($500,000.00), in the aggregate,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Authorization to File Financing Statements.</w:t>
      </w:r>
      <w:r>
        <w:rPr>
          <w:rFonts w:ascii="Times New Roman;Times;Serif" w:hAnsi="Times New Roman;Times;Serif"/>
          <w:b w:val="false"/>
          <w:i w:val="false"/>
          <w:caps w:val="false"/>
          <w:smallCaps w:val="false"/>
          <w:sz w:val="20"/>
        </w:rPr>
        <w:t xml:space="preserve"> Borrower hereby authorizes Collateral Agent, on behalf of Lenders, to file financing statements or take any other action required to perfect Collateral Agent’s security interests in the Collateral, without notice to Borrower, with all appropriate jurisdictions to perfect or protect Collateral Agent’s interest or rights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Pledge of Collateral.</w:t>
      </w:r>
      <w:r>
        <w:rPr>
          <w:rFonts w:ascii="Times New Roman;Times;Serif" w:hAnsi="Times New Roman;Times;Serif"/>
          <w:b w:val="false"/>
          <w:i w:val="false"/>
          <w:caps w:val="false"/>
          <w:smallCaps w:val="false"/>
          <w:sz w:val="20"/>
        </w:rPr>
        <w:t xml:space="preserve"> Borrower hereby pledges, assigns and grants to Collateral Agent, for the ratable benefit of the Lenders, a security interest in all the Shares (but for the purposes of this Section 4.3, excluding all Shares that are part of the English Collateral),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twenty (20) Business Days of the certification of any Shares, the certificate or certificates for the Shares will be delivered to Collateral Agent, accompanied by an instrument of assignment duly executed in blank by Borrower. To the extent a pledge of the Shares to the Collateral Agent is required by the terms and conditions governing such Shares to be reflected on the books of the applicable issuer, Borrower shall cause the books of each entity whose Shares are part of the Collateral and any transfer agent to reflect the pledge of such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(i)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and (ii) to receive and retain any and all dividends, interest and other distributions paid in respect of the Shares to the extent that the payment thereof is not otherwise inconsistent with the terms of this Agreement. All such rights to vote and give consents, waivers and ratifications shall terminate upon the occurrence and continuance of an Event of Default. After all Events of Default have been waived in writing by Collateral Agent and the Lenders, Borrower shall regain the exclusive right to exercise the voting and/or consensual rights and powers that Borrower would otherwise be entitled to exercise and the right to receive and retain any dividends and interest payments from and after the effective date of such waiver that Borrower would otherwise be entitled to receive and retain.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represents and warrants to Collateral Agent and the Lenders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Due Organization, Authorization: Power and Authority.</w:t>
      </w:r>
      <w:r>
        <w:rPr>
          <w:rFonts w:ascii="Times New Roman;Times;Serif" w:hAnsi="Times New Roman;Times;Serif"/>
          <w:b w:val="false"/>
          <w:i w:val="false"/>
          <w:caps w:val="false"/>
          <w:smallCaps w:val="false"/>
          <w:sz w:val="20"/>
        </w:rPr>
        <w:t xml:space="preserve"> Borrower and each of its Subsidiaries is duly existing and in good standing as 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or such jurisdiction does not have a concept of good standing. In connection with this Agreement, each Loan Party and each of its Subsidiaries has delivered to Collateral Agent a completed perfection certificate signed by an officer of such Loan Party or such Subsidiary (each a “</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Perfection Certificates</w:t>
      </w:r>
      <w:r>
        <w:rPr>
          <w:rFonts w:ascii="Times New Roman;Times;Serif" w:hAnsi="Times New Roman;Times;Serif"/>
          <w:b w:val="false"/>
          <w:i w:val="false"/>
          <w:caps w:val="false"/>
          <w:smallCaps w:val="false"/>
          <w:sz w:val="20"/>
        </w:rPr>
        <w:t>”). Borrower represents and warrants that (a) each Loan Party and each of such Loan Party’s Subsidiaries’ exact legal name is that which is indicated on its respective Perfection Certificate and on the signature page of each Loan Document to which it is a party; (b) each Loan Party and each of such Loan Party’s Subsidiaries is an organization of the type and is organized in the jurisdiction set forth on its respective Perfection Certificate; (c) each Perfection Certificate accurately sets forth each of Loan Party’s and such Loan Party’s Subsidiaries’ organizational identification number or accurately states that such Loan Party or such Subsidiary has none; (d) each Perfection Certificate accurately sets forth the applicable Loan Party’s and each of such Loan Party’s Subsidiaries’ place of business, or, if more than one, its chief executive office as well as such Loan Party’s and each of such Loan Party’s Subsidiaries’ mailing address (if different than its chief executive office); (e) each Loan Party and each of such Loan Party’s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each Loan Party and each of such Loan Party’s Subsidiaries, is accurate and complete in all material respects (it being understood and agreed that any Loan Party and each of such Loan Party’s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unless such facts, events or circumstances being updated first arose or occurred after the Effective Date and do not constitute a breach, default, or Event of Default under this Agreement or any other Loan Document. If any Loan Party or any of such Loan Party’s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each Loan Party of the Loan Documents to which it is a party have been duly authorized, and do not (i) conflict with any such Loan Party’s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such Loan Party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such Loan Party or their respective properties, is bound. No Loan Party nor any of its Subsidiaries is in default under any agreement to which it is a party or by which it or any of its assets is bound in which such default could reasonably be expected to have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has good title to, rights in, and the power to transfer each item of the Collateral upon which it purports to grant a Lien under the Loan Documents, free and clear of any and all Liens except Permitted Liens, and no Loan Party or any of its Subsidiaries has any Deposit Accounts, Securities Accounts, Commodity Accounts or other investment accounts other than the Collateral Accounts or the other accounts, if any, described in the Perfection Certificates delivered to Collateral Agent in connection herewith or otherwise informed the Collateral Agent in writing and in the case of each account belonging to a Loan Party, such Loan Party has given Collateral Agent notice and taken such actions as are necessary to give Collateral Agent a perfected security interest therein, pursuant to the terms of Section 6.6(b).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Effective Date, and except as disclosed on the Perfection Certificate or as permitted under this Agreement, (i) the Collateral is not in the possession of any third party bailee (such as a warehouse), and (ii) no such third party bailee possesses components of the Collateral, in each case, in excess of Five Hundred Thousand Dollars ($500,000.00). None of the components of the Collateral are maintained at locations other than as disclosed in the Perfection Certificates on the Effective Date or as permitted pursuant to Section 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Inventory held and released for commercial sale by or for the benefit of any Loan Party or any Subsidiary of a Loan Party is in all material respects of good and marketable quality, free from material defects.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noted on the Perfection Certificates (it being understood and agreed that each Loan Party and each of its Subsidiaries may from time to time update certain information in the Perfection Certificates after the Effective Date to the extent permitted by one or more specific provisions in this Agreement; such updated Perfection Certificates subject to the review and approval of Collateral Agent unless such facts, events or circumstances being updated first arose or occurred after the Effective Date and do not constitute a breach, default, or Event of Default under this Agreement or any other Loan Document), each Loan Party and each of its Subsidiaries is the sole owner of the Intellectual Property which has any material value that each respectively purports to own (“</w:t>
      </w:r>
      <w:r>
        <w:rPr>
          <w:rFonts w:ascii="Times New Roman;Times;Serif" w:hAnsi="Times New Roman;Times;Serif"/>
          <w:b/>
          <w:i w:val="false"/>
          <w:caps w:val="false"/>
          <w:smallCaps w:val="false"/>
          <w:sz w:val="20"/>
        </w:rPr>
        <w:t>Company Owned IP</w:t>
      </w:r>
      <w:r>
        <w:rPr>
          <w:rFonts w:ascii="Times New Roman;Times;Serif" w:hAnsi="Times New Roman;Times;Serif"/>
          <w:b w:val="false"/>
          <w:i w:val="false"/>
          <w:caps w:val="false"/>
          <w:smallCaps w:val="false"/>
          <w:sz w:val="20"/>
        </w:rPr>
        <w:t>”), free and clear of all Liens other than Permitted Liens and, neither any Loan Party nor any of its Subsidiaries is a party to, nor is bound by, any material license or other material agreement with respect to which such Loan Party or such Subsidiary is the licensee that (i) prohibits or otherwise restricts such Loan Party or its Subsidiaries from granting a security interest in such Loan Party’s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in the then-next Compliance Certificate (or, within thirty (30) days following the then-next month ending, in the event Compliance Certificates are delivered less frequently than monthly) following any Loan Party or any of its Subsidiaries entering into or becoming bound by any material license or agreement with respect to which such Loan Party or any Subsidiary is the licensee (other than over-the-counter software that is commercially available to the public or open source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Borrower (i) no part of any Loan Party’s or such Loan Party’s Subsidiaries’ issued Patents included in the Company Owned IP has been judged invalid or unenforceable, in whole or in part, and (ii) no claim has been made that any part of any such Loan Party’s or its Subsidiaries’ Intellectual Property or any practice by any Loan Party or its Subsidiaries violates the rights of any third party except to the extent such claim could not reasonably be expected to have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Borrower, each inventor named on the Patents within the Company Owned IP filed by any Loan Party or any of its Subsidiaries, has executed an agreement confirming assignment of his, her or its entire right, title and interest in and to such owned Intellectual Property to the applicable Loan Party or such Loan Party’s applicable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material maintenance, annuity or renewal fees that are currently overdue beyond their allotted grace period for any of the Patents or Trademarks in the Company Owned IP or, to the knowledge of the Loan Parties, any of the exclusively licensed Intellectual Property of the Loan Party or any of its Subsidiaries which has any material value to any Loan Party or any of its Subsidiaries, nor have any applications or registrations therefor lapsed or become abandoned, been cancelled or expired, in each case, such lapse, abandonment, cancellation or expiration would reasonably be expected to have a Material Adverse Change or materially impair any Loan Party’s or any of its applicable Subsidiaries to market, sell, develop or license any Material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Borrower, there are no material unpaid fees or royalties under any material agreements related to the Intellectual Property licensed by any Loan Party or any Subsidiary in its business that have become materially overdue or have not been uncured. Each such material agreement is in full force and effect and is legal, valid, binding, and enforceable in accordance with its respective terms with respect to the applicable Loan Party or its Subsidiary and to the knowledge of the Loan Party, with respect to the counterparties therein, except as may be limited by bankruptcy, insolvency, reorganization, moratorium or similar laws relating to or limiting creditors’ rights generally or by equitable principles relating to enforceability. To the knowledge of Borrower (i) neither any Loan Party nor any of its Subsidiaries, as applicable, is in breach of or default in any manner that could reasonably be expected to materially affect any Material Products or any Material Agreement to which it is a party, and (ii) no circumstances or grounds exist that would give rise to a claim of breach or right of rescission, termination or non-renewal of any of such Material Agreement, including the execution, delivery and performance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described in the Perfection Certificate delivered on the Effective Date and the most recently delivered Compliance Certificate in accordance with Section 6.2(b),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any Loan Party or any of its Subsidiaries (collectively referred to hereinafter as “</w:t>
      </w:r>
      <w:r>
        <w:rPr>
          <w:rFonts w:ascii="Times New Roman;Times;Serif" w:hAnsi="Times New Roman;Times;Serif"/>
          <w:b/>
          <w:i w:val="false"/>
          <w:caps w:val="false"/>
          <w:smallCaps w:val="false"/>
          <w:sz w:val="20"/>
        </w:rPr>
        <w:t>Specified Disputes</w:t>
      </w:r>
      <w:r>
        <w:rPr>
          <w:rFonts w:ascii="Times New Roman;Times;Serif" w:hAnsi="Times New Roman;Times;Serif"/>
          <w:b w:val="false"/>
          <w:i w:val="false"/>
          <w:caps w:val="false"/>
          <w:smallCaps w:val="false"/>
          <w:sz w:val="20"/>
        </w:rPr>
        <w:t>”), nor to the knowledge of Borrower, has any such Specified Dispute been threatened in writing, in each case challenging the legality, validity, enforceability or ownership of any Company Owned IP of any Loan Party or any of its Subsidiaries, in each case that would reasonably be expected to have a material adverse effect on any Material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each case where an issued Patent within the Company Owned IP is owned or co-owned by any Loan Party or any of its Subsidiaries by assignment, the assignment has been duly recorded with the U.S. Patent and Trademark Office and/or other applicable Governmental Authority to the extent that such recordation is required in the applicable jurisdiction to vest the title of such Patent in the applicable Loan Party or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are no pending or, to the knowledge of Borrower, threatened claims against Loan Party or any of its Subsidiaries alleging that the business of any Loan Party or any of its Subsidiaries, as currently conducted or currently proposed to be conducted, violates the intellectual property rights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no settlements, covenants not to sue, consents, judgments, orders or similar obligations which restrict the rights of any Loan Party or any of its Subsidiaries to practice any Company Owned IP or any exclusively in-licensed Intellectual Property rights necessary to make, have made, sale, offer for sale, use or import any Material Products as currently conducted or as currently proposed to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Loan Party and each of its Subsidiaries has taken all commercially reasonable measures customary in the biopharmaceutical industry to protect the confidentiality and value of all trade secrets included in the Company Owned IP owned by such Loan Party or any of its Subsidiaries or used or held for use by such Loan Party or any of its Subsidiaries, in each case necessary to make, have made, sale, offer for sale, use or import any Material Products as currently conducted or as currently proposed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Loan Party owns or controls all material rights with respect to Company Owned IP or in-licensed Intellectual Property necessary or material in the operation or conduct of such Loan Party’s business as currently conducted and proposed to be conducted in connection with the Material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Litigation.</w:t>
      </w:r>
      <w:r>
        <w:rPr>
          <w:rFonts w:ascii="Times New Roman;Times;Serif" w:hAnsi="Times New Roman;Times;Serif"/>
          <w:b w:val="false"/>
          <w:i w:val="false"/>
          <w:caps w:val="false"/>
          <w:smallCaps w:val="false"/>
          <w:sz w:val="20"/>
        </w:rPr>
        <w:t xml:space="preserve"> Except as disclosed (i) on the Perfection Certificates, or (ii) in accordance with Section 6.9 hereof, there are no actions, suits, investigations, or proceedings pending or, to the knowledge of the Responsible Officers, threatened in writing by or against any Loan Party or any of such Loan Party’s Subsidiaries that could reasonably be expected to result in damages or costs of more than One Million Dollars ($1,000,000.00) or in which a likely adverse decision would reasonably be expected to have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Financial Statements.</w:t>
      </w:r>
      <w:r>
        <w:rPr>
          <w:rFonts w:ascii="Times New Roman;Times;Serif" w:hAnsi="Times New Roman;Times;Serif"/>
          <w:b w:val="false"/>
          <w:i w:val="false"/>
          <w:caps w:val="false"/>
          <w:smallCaps w:val="false"/>
          <w:sz w:val="20"/>
        </w:rPr>
        <w:t xml:space="preserve"> All consolidated financial statements for Parent and its Subsidiaries, delivered to the Lenders and Collateral Agent fairly present, in conformity with GAAP, in all material respects the consolidated financial condition of Parent and its Subsidiaries, and the consolidated results of operations of Parent and its Subsidiaries (subject, in the case of unaudited financial statements, to normal year-end adjustments to reflect actual expenses incurred and merger consolidation adjustments and the absence of footnotes and provided further that such unaudited financial statements shall not include the noncash impact of accounting for stock compensation or other non-cash equity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Solvency.</w:t>
      </w:r>
      <w:r>
        <w:rPr>
          <w:rFonts w:ascii="Times New Roman;Times;Serif" w:hAnsi="Times New Roman;Times;Serif"/>
          <w:b w:val="false"/>
          <w:i w:val="false"/>
          <w:caps w:val="false"/>
          <w:smallCaps w:val="false"/>
          <w:sz w:val="20"/>
        </w:rPr>
        <w:t xml:space="preserve"> Each Loan Party is Solvent, and each Loan Party and its Subsidiaries, on a consolidated basis, are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Regulatory Compliance.</w:t>
      </w:r>
      <w:r>
        <w:rPr>
          <w:rFonts w:ascii="Times New Roman;Times;Serif" w:hAnsi="Times New Roman;Times;Serif"/>
          <w:b w:val="false"/>
          <w:i w:val="false"/>
          <w:caps w:val="false"/>
          <w:smallCaps w:val="false"/>
          <w:sz w:val="20"/>
        </w:rPr>
        <w:t xml:space="preserve"> Neither Borrower nor any of its Subsidiaries is an “investment company”, a company that would be an “investment company” except for the exclusion from the definition of “investment company” in Section 3(c) of the Investment Company Act of 1940, as amended (the “1940 Act”), or a company “controlled” by an “investment company” under the 1940 Act. Neither Borrower nor any of its Subsidiaries is engaged as one of its important activities in extending credit for margin stock (under Regulations X, T and U of the Federal Reserve Board of Governors).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Requirements of Law (including the U.S. Fair Labor Standards Act),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Borrower, any of its Subsidiaries, or, to the knowledge of the Borrower, any of Borrower’s or its Subsidiaries’ controlled Affiliates or any of their respective agents acting or benefiting in any capacity in connection with the transactions contemplated by this Agreement is (i) in violation of any applicable Anti-Terrorism Law, (ii) engaging in or conspiring to engage in any transaction that evades or avoids, or has the purpose of evading or avoiding or attempts to violate, any of the prohibitions set forth in any applicable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applicable to such Borrower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each of its Subsidiaries has conducted its businesses in compliance with applicable anti-corruption laws (including but not limited to, the United Kingdom Bribery Act 2010 and the U.S. Foreign Corrupt Practices Act 1977) and has instituted and maintained policies and procedures designed to promote and achieve compliance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Investments.</w:t>
      </w:r>
      <w:r>
        <w:rPr>
          <w:rFonts w:ascii="Times New Roman;Times;Serif" w:hAnsi="Times New Roman;Times;Serif"/>
          <w:b w:val="false"/>
          <w:i w:val="false"/>
          <w:caps w:val="false"/>
          <w:smallCaps w:val="false"/>
          <w:sz w:val="20"/>
        </w:rPr>
        <w:t xml:space="preserve"> Neither Borrower nor any of its Subsidiaries owns any stock, shares, partnership interests or other equity securities except for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5.9            Tax Returns and Payments; Pension Contributions.</w:t>
      </w:r>
      <w:r>
        <w:rPr>
          <w:rFonts w:ascii="Times New Roman;Times;Serif" w:hAnsi="Times New Roman;Times;Serif"/>
          <w:b w:val="false"/>
          <w:i w:val="false"/>
          <w:caps w:val="false"/>
          <w:smallCaps w:val="false"/>
          <w:sz w:val="20"/>
        </w:rPr>
        <w:t xml:space="preserve"> Borrower and each of its Subsidiaries has timely filed (or timely filed extensions to file) all required foreign, federal, material state, and material local tax returns and reports, and Borrower and each of its Subsidiaries, has timely paid all foreign, federal, material state, and material local taxes, assessments, deposits and contributions owed by Borrower and such Subsidiaries, in all jurisdictions in which Borrower or any such Subsidiary is subject to taxes, including the United States, unless (a) such taxes are being contested in accordance with the following sentence or (b) if such taxes, assessments, deposits and contributions owed do not, individually or in the aggregate, exceed Five Hundred Thousand Dollars ($500,000.00).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if applicable in the relevant jurisdiction, post bonds or takes any other steps required to prevent the Governmental Authority levying such contested taxes from obtaining a Lien upon any of the Collateral that is other than a “Permitted Lien.” Neither Borrower nor any of its Subsidiaries is aware of any claims or adjustments proposed for any of Borrower’s or such Subsidiaries’ prior tax years which could result in additional Taxes in excess of Five Hundred Thousand Dollars ($500,000.00)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would result in any liability of Borrower or its Subsidiaries (including any liability to the Pension Benefit Guaranty Corporation or its successors or any other Governmental Authority), in excess of One Million Dollars ($1,000,000.00) becoming due and payable in the aggregate over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Use of Proceeds.</w:t>
      </w:r>
      <w:r>
        <w:rPr>
          <w:rFonts w:ascii="Times New Roman;Times;Serif" w:hAnsi="Times New Roman;Times;Serif"/>
          <w:b w:val="false"/>
          <w:i w:val="false"/>
          <w:caps w:val="false"/>
          <w:smallCaps w:val="false"/>
          <w:sz w:val="20"/>
        </w:rPr>
        <w:t xml:space="preserve"> Borrower shall use the proceeds of the Credit Extensions solely as working capital and to fund its general business requirements in accordance with the provisions of this Agreement, and not for personal, family, household or agricultural purposes. A portion of the proceeds of the Term A Loans shall be used by Borrower to repay the Existing Indebtedness in full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Shares.</w:t>
      </w:r>
      <w:r>
        <w:rPr>
          <w:rFonts w:ascii="Times New Roman;Times;Serif" w:hAnsi="Times New Roman;Times;Serif"/>
          <w:b w:val="false"/>
          <w:i w:val="false"/>
          <w:caps w:val="false"/>
          <w:smallCaps w:val="false"/>
          <w:sz w:val="20"/>
        </w:rPr>
        <w:t xml:space="preserve"> Borrower has full power and authority to create a first lien on the Shares and no disability or contractual obligation exists that 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Full Disclosure.</w:t>
      </w:r>
      <w:r>
        <w:rPr>
          <w:rFonts w:ascii="Times New Roman;Times;Serif" w:hAnsi="Times New Roman;Times;Serif"/>
          <w:b w:val="false"/>
          <w:i w:val="false"/>
          <w:caps w:val="false"/>
          <w:smallCaps w:val="false"/>
          <w:sz w:val="20"/>
        </w:rPr>
        <w:t xml:space="preserve"> No written representation, warranty or other statement of Borrower or any of its Subsidiaries in any certificate or written 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Know Your Customer” Information</w:t>
      </w:r>
      <w:r>
        <w:rPr>
          <w:rFonts w:ascii="Times New Roman;Times;Serif" w:hAnsi="Times New Roman;Times;Serif"/>
          <w:b w:val="false"/>
          <w:i w:val="false"/>
          <w:caps w:val="false"/>
          <w:smallCaps w:val="false"/>
          <w:sz w:val="20"/>
        </w:rPr>
        <w:t>. All materials and information provided to Collateral Agent and Lenders in connection with applicable “know your customer” and Anti-Terrorism Law are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5.14            Definition of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For purposes of the Loan Documents, whenever a representation or warranty is made to Borrower’s knowledge or awareness, to the “best of” Borrower’s knowledge, or with a similar qualification, knowledge or awareness means the actual knowledge, after reasonable investigation, of the Responsible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and shall cause each of its Subsidiaries to, do all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Government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Maintain its and, except as permitted by Section 7.3, all its Subsidiaries’ legal existence and good standing (if applicable)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Financial Statements, Reports,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Deliver to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available, but no later than thirty (30) days after the last day of each month (other than the last month of any fiscal quarter), a company prepared consolidated balance sheet, income statement and cash flow statement covering the consolidated operations of Parent and its Subsidiaries for such month certified by a Responsible Officer and in a form reasonably acceptable to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available, but no later than forty-five (45) days after the last day of each quarter, a company prepared consolidated balance sheet, income statement and cash flow statement covering the consolidated operations of Parent and its Subsidiaries for such quarter certified by a Responsible Officer and in a form reasonably acceptable to Collateral Agent; provided that, with respect to any such company prepared consolidated balance sheet, income statement and cash flow statement delivered for the last fiscal quarter of Parent’s fiscal year, it is understood that such financial statements are unaudited and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as soon as available, but no later than ninety (90) days after the last day of Parent’s fiscal year, audited consolidated financial statements prepared under GAAP, consistently applied, together with an unqualified opinion on the financial statements from an independent certified public accounting firm acceptable to Collateral Agent in its reasonable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unqualified opinion may include a going concern explanatory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soon as available after approval thereof by Parent’s Board of Directors, but no later than thirty (30) days after the last day of each of Parent’s fiscal years, Parent’s annual financial projections for the entire current fiscal year as approved by Parent’s Board of Directors, which such annual financial projections shall be set forth in a month-by-month format or quarter-by-quarter format (such annual financial projections as originally delivered to Collateral Agent and the Lenders are referred to herein as the “</w:t>
      </w:r>
      <w:r>
        <w:rPr>
          <w:rFonts w:ascii="Times New Roman;Times;Serif" w:hAnsi="Times New Roman;Times;Serif"/>
          <w:b/>
          <w:i w:val="false"/>
          <w:caps w:val="false"/>
          <w:smallCaps w:val="false"/>
          <w:sz w:val="20"/>
        </w:rPr>
        <w:t>Annual Projections</w:t>
      </w:r>
      <w:r>
        <w:rPr>
          <w:rFonts w:ascii="Times New Roman;Times;Serif" w:hAnsi="Times New Roman;Times;Serif"/>
          <w:b w:val="false"/>
          <w:i w:val="false"/>
          <w:caps w:val="false"/>
          <w:smallCaps w:val="false"/>
          <w:sz w:val="20"/>
        </w:rPr>
        <w:t>”; provided that, any revisions of the Annual Projections approved by Parent’s Board of Directors shall be delivered to Collateral Agent and the Lenders no later than seven (7) days after such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within five (5) days of delivery, copies of all written statements, reports and notices made available to Parent’s security holders of any class of Parent’s securities or holders of Subordinated Debt, in such holders’ capacities as security holders or holders of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within five (5) days of filing, all reports on Form 10-K, 10-Q and 8-K filed by the Parent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promptly, together with the deliveries made in accordance with Section 6.2(a)(i) through (iii) above, notice of any amendments of or other changes to the Operating Documents of any Loan Party or any of its Subsidiaries, together with any copies reflecting such amendments or changes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prompt notice of any event that, to any Loan Party’s knowledge, could reasonably be expected to materially and adversely affect any material Intellectual Property of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as soon as available, but no later than thirty (30) days after the last day of each month, copies of the month-end account statements for each Collateral Account maintained by any Loan Party and its Subsidiaries which statements may be provided to Collateral Agent and each Lender by such Loan Party or directly from the applicable institution(s);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other information as reasonably requested by Collateral Agent or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or Parent posts such documents, or provides a link thereto, on Borrower’s or Parent’s website on the internet at its website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Together with the deliveries made in accordance with Section 6.2(a)(i) through (ii) above, deliver to each Lender, a duly completed Compliance Certificate signed by a Responsible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Keep proper books of record and account in accordance with GAAP in all material respects (subject, in the case of unaudited financial statements, to normal year-end adjustments to reflect actual expenses incurred and merger consolidation adjustments and the absence of footnotes and provided further that such unaudited financial statements shall not include the non-cash impact of accounting for stock compensation or other non-cash equity items), in which full, true and correct entries shall be made of all dealings and transactions in relation to its business and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Inventory; Returns.</w:t>
      </w:r>
      <w:r>
        <w:rPr>
          <w:rFonts w:ascii="Times New Roman;Times;Serif" w:hAnsi="Times New Roman;Times;Serif"/>
          <w:b w:val="false"/>
          <w:i w:val="false"/>
          <w:caps w:val="false"/>
          <w:smallCaps w:val="false"/>
          <w:sz w:val="20"/>
        </w:rPr>
        <w:t xml:space="preserve"> Keep all Inventory held and released for commercial sale in good and marketable condition, free from material defects. Returns and allowances between Borrower, or any of its Subsidiaries, and their respective Account Debtors shall follow Borrower’s, or such Subsidiary’s, customary practices as they exist on the Effective Date in connection with the commercialization of Borrower’s products. Borrower must promptly notify Collateral Agent of all returns, recoveries, disputes and claims with customers that involve Inventory for commercial sale, that is required to be booked as inventory in accordance with GAAP, of more than Five Hundred Thousand Dollars ($500,000.00) individually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Taxes; Pensions.</w:t>
      </w:r>
      <w:r>
        <w:rPr>
          <w:rFonts w:ascii="Times New Roman;Times;Serif" w:hAnsi="Times New Roman;Times;Serif"/>
          <w:b w:val="false"/>
          <w:i w:val="false"/>
          <w:caps w:val="false"/>
          <w:smallCaps w:val="false"/>
          <w:sz w:val="20"/>
        </w:rPr>
        <w:t xml:space="preserve"> Timely file and require each of its Subsidiaries to timely file, all required foreign, federal, material state, and material local tax returns and reports and timely pay, and require each of its Subsidiaries to timely pay, all foreign, federal, material state, and material local taxes, assessments, deposits and contributions owed by Borrower or its Subsidiaries, except for deferred payment of any taxes contested pursuant to the terms of Section 5.9 hereof, and shall deliver to Lenders, on demand, appropriate certificates attesting to such payments, and pay all amounts necessary to fund all present pension, profit sharing and deferred compensation plans in accordance with the terms of such plans; provided that, as used herein, “material state, and material local Taxes, assessments, deposits and contributions” mean those, individually or in the aggregate, equal to or that exceed Five Hundred Thousand Dollars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Insurance.</w:t>
      </w:r>
      <w:r>
        <w:rPr>
          <w:rFonts w:ascii="Times New Roman;Times;Serif" w:hAnsi="Times New Roman;Times;Serif"/>
          <w:b w:val="false"/>
          <w:i w:val="false"/>
          <w:caps w:val="false"/>
          <w:smallCaps w:val="false"/>
          <w:sz w:val="20"/>
        </w:rPr>
        <w:t xml:space="preserve"> Keep Borrower’s and its Subsidiaries’ business and the Collateral insured for risks and in amounts standard for companies in Borrower’s and its Subsidiaries’ industry and location and as Collateral Agent may reasonably request. Insurance policies shall be in a form, with companies, and in amounts that are reasonably satisfactory to Collateral Agent and Collateral Agent hereby agrees that as of the Effective Date, Borrower’s insurance coverage is satisfactory for the purposes herein.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(or, ten (10) days’ for non-payment of premiums) prior written notice before any such policy or policies shall be canceled. At Collateral Agent’s request, Borrower shall deliver complete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Five Hundred Thousand Dollars ($500,000.00) with respect to any loss, but not exceeding Five Hundred Thousand Dollars ($500,000.00),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subject to Permitted Liens, and (b) after the occurrence and during the continuance of an Event of Default, all proceeds payable under such casualty policy shall, at the option of Collateral Agent, be payable to Collateral Agent, for the ratable benefit of the Lenders, on account of the Obligations. If any Loan Party or any of its Subsidiaries fails to obtain insurance as required under this Section 6.5 or to pay any amount or furnish any required proof of payment to third persons, Collateral Agent may make, at Borrower’s expense, all or part of such payment or obtain such insurance policies required in this Section 6.5, and take any action under the policies Collateral Agent deems prudent.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            Operating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Post-Closing Letter, maintain all of Borrower’s Collateral Accounts subject to a Control Agreement in favor of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provide Collateral Agent five (5) days’ prior written notice before any Loan Party or any Subsidiary of a Loan Party establishes any Collateral Account. In addition and subject to the Post-Closing Letter, for each Collateral Account that Borrower at any time maintains, Borrower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(which in the case of any Collateral Account maintained in the United Kingdom shall be acknowledgement of a notice of charge) prior to the establishment of such Collateral Account, which Control Agreement may not be terminated without prior written consent of Collateral Agent (but which may be terminated upon the satisfaction in full in cash of the Obligations (other than inchoate indemnity obligations) and the termination of this Agreement, at the sole cost and expense of Borrower). The provisions of the previous sentence and Section 6.6(a) shall not apply to deposit accounts exclusively used for payroll, payroll taxes and other employee wage and benefit payments to or for the benefit of Borrower’s employees and identified to Collateral Agent by Borrower as such in the Perfection Certificates or by a separate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Loan Party or any Subsidiary of a Loan Party shall maintain any Collateral Accounts except Collateral Accounts maintained in accordance with Sections 6.6(a) and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            Protection of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and each of its Subsidiaries shall: (a) use commercially reasonable efforts to protect, defend and maintain the validity and enforceability of its Intellectual Property that is material to the business of the Borrower and its Subsidiaries, taken as a whole; (b) promptly, after obtaining knowledge thereof, shall advise Collateral Agent in writing of infringement by a third party of any of its material Intellectual Property; and (c) not allow any of its Intellectual Property material to the business of any Loan Party or its Subsidiaries, to be abandoned, forfeited or dedicated to the public without Collateral Agent’s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the IP Lien Mandatory Time, (i) if any Loan Party (A) obtains any patent, registered trademark or servicemark, registered copyright, registered mask work, or any pending application for any of the foregoing, whether as owner, licensee or otherwise, or (B) applies for any patent or the registration of any trademark or servicemark, then such Loan Party shall, together with the deliveries made in accordance with Section 6.2(a)(ii) and (iii), provide written notice thereof to Collateral Agent and shall execute such intellectual property security agreements (or supplements to existing intellectual property security agreements) and other documents and take such other actions as Collateral Agent shall reasonably request in its good faith business judgment to perfect and maintain a first priority perfected security interest in favor of Collateral Agent, for the ratable benefit of the Lenders (subject to Permitted Liens), in such property; (ii) if any Loan Party registers any copyrights or mask works in the United States Copyright Office, such Loan Party shall together with the deliveries made in accordance with Section 6.2(a)(ii) and (iii): provide written notice thereof to Collateral Agent and shall execute such intellectual property security agreements (or supplements to existing intellectual property security agreements) and other documents and take such other actions as Collateral Agent shall reasonably request in its good faith business judgment to perfect and maintain a first priority perfected security interest in favor of Collateral Agent, for the ratable benefit of the Lenders (subject to Permitted Liens), in such copyrights and/or mask works registered with the United States Copyright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Litigation Cooperation. </w:t>
      </w:r>
      <w:r>
        <w:rPr>
          <w:rFonts w:ascii="Times New Roman;Times;Serif" w:hAnsi="Times New Roman;Times;Serif"/>
          <w:b w:val="false"/>
          <w:i w:val="false"/>
          <w:caps w:val="false"/>
          <w:smallCaps w:val="false"/>
          <w:sz w:val="20"/>
        </w:rPr>
        <w:t>Commencing on the Effective Date and continuing through the termination of this Agreement, make available to 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Notices of Litigation and Event of Default.</w:t>
      </w:r>
      <w:r>
        <w:rPr>
          <w:rFonts w:ascii="Times New Roman;Times;Serif" w:hAnsi="Times New Roman;Times;Serif"/>
          <w:b w:val="false"/>
          <w:i w:val="false"/>
          <w:caps w:val="false"/>
          <w:smallCaps w:val="false"/>
          <w:sz w:val="20"/>
        </w:rPr>
        <w:t xml:space="preserve"> Borrower will give prompt written notice to Collateral Agent and the Lenders of any litigation or governmental proceedings pending or threatened (in writing) against Borrower or any of its Subsidiaries, which could reasonably be expected to result in damages or costs to Borrower or any of its Subsidiaries of Five Hundred Thousand Dollars ($500,000.00)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Borrower shall give written notice to Collateral Agent and the Lenders of such occurrence, which such notice shall include a reasonably detailed description of such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6.10            Financial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Revenue Covenant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fiscal quarters ending September 30, 2025 and December 31, 2025, the Loan Parties shall maintain Trailing Six-Month Ensifentrine Revenues, tested as of the last day of each such fiscal quarter, of greater than or equal to the lesser of (x) [***] and (y) the Forecast Revenues corresponding to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Commencing with the fiscal quarter ending March 31, 2026, and for each fiscal quarter thereafter, the Loan Parties shall maintain Trailing Six-Month Ensifentrine Revenues, tested as of the last day of each such fiscal quarter, of greater than or equal to the lesser of (x) [***] and (y) the Forecast Revenues corresponding to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herein to the contrary, compliance with the revenue covenant in Section 6.10(a)(i) or (ii), as applicable, shall not be tested at the end of any fiscal quarter if one of the following conditions have been met: (A) the Loan Parties’ unrestricted cash balance (subject to Permitted Liens) on the last calendar day of each month during such quarter is equal to or greater than the product of (1) 1.25 multiplied by (2) the aggregate principal amount of outstanding Term Loans on such date; (B) (1) the Loan Parties’ unrestricted cash balance (subject to Permitted Liens) on the last calendar day of each month during such quarter is equal to or greater than the product of (x) 0.5 multiplied by (y) the aggregate principal amount of outstanding Term Loans on such date, and (2) the Market Capitalization as of the last trading day each month during such quarter is at least One Billion Five Hundred Million Dollars ($1,500,000,000.00); or (C) the Market Capitalization as of the last trading day each month during such quarter is at least Three Billion Dollars ($3,000,000,000.00) (any of the immediately foregoing clauses (A), (B) and (C), a “</w:t>
      </w:r>
      <w:r>
        <w:rPr>
          <w:rFonts w:ascii="Times New Roman;Times;Serif" w:hAnsi="Times New Roman;Times;Serif"/>
          <w:b/>
          <w:i w:val="false"/>
          <w:caps w:val="false"/>
          <w:smallCaps w:val="false"/>
          <w:sz w:val="20"/>
        </w:rPr>
        <w:t>Waiver Condition</w:t>
      </w:r>
      <w:r>
        <w:rPr>
          <w:rFonts w:ascii="Times New Roman;Times;Serif" w:hAnsi="Times New Roman;Times;Serif"/>
          <w:b w:val="false"/>
          <w:i w:val="false"/>
          <w:caps w:val="false"/>
          <w:smallCaps w:val="false"/>
          <w:sz w:val="20"/>
        </w:rPr>
        <w:t>”). To the extent the Borrower elects not to test compliance with the revenue covenant in Section 6.10(a)(i) or Section 6.10(a)(ii), as applicable, the fulfillment of a Waiver Condition shall be met by (x) with respect to clauses (A) and (B)(1) above, delivery of bank statements as of the last day of each calendar month ending during such fiscal quarter (to be delivered as set forth in Section 6.2(a)(ix)) showing compliance with the applicable cash balance requirements, and (y) with respect to clauses (B)(2) and (C) above calculations of Market Capitalization as of the last trading day of each calendar month ending during such fiscal quarter (to be delivered concurrently with the delivery of a Compliance Certificate for such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Liquidity Covenant</w:t>
      </w:r>
      <w:r>
        <w:rPr>
          <w:rFonts w:ascii="Times New Roman;Times;Serif" w:hAnsi="Times New Roman;Times;Serif"/>
          <w:b w:val="false"/>
          <w:i w:val="false"/>
          <w:caps w:val="false"/>
          <w:smallCaps w:val="false"/>
          <w:sz w:val="20"/>
        </w:rPr>
        <w:t>. Commencing on July 1, 2025 and at all times thereafter, Borrower must maintain a minimum aggregate unrestricted cash balance (subject to Permitted Liens) equal to or greater than the Minimum Liquidity Amount in Collateral Accounts in the United States that are subject to Control Agreements in favor of Collateral Agent; provided, however, Borrower shall not be obligated to comply with any provisions of this Section 6.10(b) at any given time if the market capitalization of Parent at such time is at least Three Billion Dollars ($3,000,000,000.00).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6.11            Landlord Waivers; Bailee Waivers.</w:t>
      </w:r>
      <w:r>
        <w:rPr>
          <w:rFonts w:ascii="Times New Roman;Times;Serif" w:hAnsi="Times New Roman;Times;Serif"/>
          <w:b w:val="false"/>
          <w:i w:val="false"/>
          <w:caps w:val="false"/>
          <w:smallCaps w:val="false"/>
          <w:sz w:val="20"/>
        </w:rPr>
        <w:t xml:space="preserve"> In the event any Loan Party or any of its Subsidiaries, after the Effective Date, intends to add any new offices or business locations, including warehouses, or otherwise store any portion of the Collateral with, or deliver any portion of the Collateral to, a bailee (regardless of whether such office, business location, or warehouse is a new or existing office, business location or warehouse), in each case pursuant to Section 7.2, then Borrower shall provide written notice thereof to Collateral Agent and for any new location of such Loan Party or its Subsidiary, as applicable, and in the event that such location is in the United States and the Collateral at such new location is valued in excess of Five Hundred Thousand Dollars ($500,000.00) in the aggregate, Borrower shall use commercially reasonable efforts to cause such bailee or landlord, as applicable, to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6.12           Creation/Acquisition of Subsidiaries.</w:t>
      </w:r>
      <w:r>
        <w:rPr>
          <w:rFonts w:ascii="Times New Roman;Times;Serif" w:hAnsi="Times New Roman;Times;Serif"/>
          <w:b w:val="false"/>
          <w:i w:val="false"/>
          <w:caps w:val="false"/>
          <w:smallCaps w:val="false"/>
          <w:sz w:val="20"/>
        </w:rPr>
        <w:t xml:space="preserve"> In the event any Loan Party creates or acquires any Subsidiary, Borrower shall provide prior written notice to Collateral Agent of the creation or acquisition of such new Subsidiary and take all such action as may be reasonably required by Collateral Agent to cause each such Subsidiary to become a co-Borrower hereunder or to guarantee the Obligations of Borrower under the Loan Documents and, in each case, grant a continuing pledge and security interest in and to the assets of such Subsidiary that constitutes Collateral; and Borrower (or its Subsidiary, as applicable) shall grant and pledge to Collateral Agent, for the ratable benefit of the Lenders, a perfected security interest in the shares of each such newly created Subsidiary; provided, however, that solely in the circumstance in which any Loan Party creates or acquires a Foreign Subsidiary in an acquisition permitted by Section 7.3 hereof or otherwise approved by the Required Lenders, such Foreign Subsidiary shall not be required to become a co-Borrower hereunder or to guarantee the Obligations of Borrower under the Loan Documents or grant a continuing pledge and security interest in and to the assets of such Foreign Subsidiary, if (A) Borrower demonstrates to the reasonable satisfaction of Collateral Agent that such Foreign Subsidiary providing such guarantee or pledge and security interest would create adverse tax consequences to the Loan Parties under the U.S. Internal Revenue Code; (B) no material Intellectual Property is held or maintained by such Foreign Subsidiary; and (C)(i) the aggregate value of cash and Cash Equivalents held or maintained by such Foreign Subsidiary does not exceed Five Hundred Thousand Dollars ($500,000.00) at any time and (ii) the aggregate value of cash and Cash Equivalents held or maintained by all Foreign Subsidiaries that are not Loan Parties does not exceed Two Million Dollars ($2,000,000.00)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6.13            Permitted Convertible Debt Payment Covenant</w:t>
      </w:r>
      <w:r>
        <w:rPr>
          <w:rFonts w:ascii="Times New Roman;Times;Serif" w:hAnsi="Times New Roman;Times;Serif"/>
          <w:b w:val="false"/>
          <w:i w:val="false"/>
          <w:caps w:val="false"/>
          <w:smallCaps w:val="false"/>
          <w:sz w:val="20"/>
        </w:rPr>
        <w:t>. Immediately prior to any Loan Party making a redemption or any principal payment in cash with respect to Permitted Convertible Debt, and at all times thereafter, Borrower must maintain a minimum aggregate unrestricted cash balance (subject to Permitted Liens) in the amount required by clause (b) of the defined term “Permitted Convertible Debt Payment Conditions.” For the avoidance of doubt, to the extent the provisions of this Section 6.13 conflict with the provisions of Section 6.10(b), the provisions of this Section 6.13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6.14            Intercompany License Agreement. </w:t>
      </w:r>
      <w:r>
        <w:rPr>
          <w:rFonts w:ascii="Times New Roman;Times;Serif" w:hAnsi="Times New Roman;Times;Serif"/>
          <w:b w:val="false"/>
          <w:i w:val="false"/>
          <w:caps w:val="false"/>
          <w:smallCaps w:val="false"/>
          <w:sz w:val="20"/>
        </w:rPr>
        <w:t>Before January 31, 2024, (or such later time as the Lenders may agree in their sole discretion) Borrower shall enter into intercompany license agreement(s) (the “</w:t>
      </w:r>
      <w:r>
        <w:rPr>
          <w:rFonts w:ascii="Times New Roman;Times;Serif" w:hAnsi="Times New Roman;Times;Serif"/>
          <w:b/>
          <w:i w:val="false"/>
          <w:caps w:val="false"/>
          <w:smallCaps w:val="false"/>
          <w:sz w:val="20"/>
        </w:rPr>
        <w:t>Intercompany License Agreement</w:t>
      </w:r>
      <w:r>
        <w:rPr>
          <w:rFonts w:ascii="Times New Roman;Times;Serif" w:hAnsi="Times New Roman;Times;Serif"/>
          <w:b w:val="false"/>
          <w:i w:val="false"/>
          <w:caps w:val="false"/>
          <w:smallCaps w:val="false"/>
          <w:sz w:val="20"/>
        </w:rPr>
        <w:t>”) with the Parent with respect to Ensifentrine that would allow and facilitate to, among other things, sell, market and distribute Ensifentrine in the United States. The Intercompany License Agreement shall include an exclusive license grant from the Parent to Borrower for all commercial rights in the United States with respect to Ensifentrine, including, without limitation, the exclusive rights to import, manufacture, distribute and sell Ensifentrine in the United States. The Intercompany License Agreement shall otherwise have such terms and conditions as are generally accepted market terms and conditions and be reasonably acceptable to Lenders. Furthermore, prior to January 31, 2024, Borrower shall enter into collateral assignment agreement with Collateral Agent with respect to the Intercompany License Agreement to secure the payment of the Obligations which collateral assignment agreement shall be in such form and substance as acceptable to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6.15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Execute any further instruments and take further action as Collateral Agent or any Lender reasonably requests to perfect or continue Collateral Agent’s Lien in the Collateral (which, for the avoidance of doubt, shall include Intellectual Property from and after the IP Lien Mandatory Time) or to effect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prior to the IP Lien Mandatory Time, each Loan Party shall enter into such amendments to the Loan Documents and enter into such new Loan Documents, including, without limitation, the IP Agreement, as would give first priority perfected security interest in the Intellectual Property of Loan Parties to Collateral Agent, for the ratable benefit of Lenders (subject to Permitted Liens), to secure the obligations of Borrower and Parent under the Loan Documents to which they are parties. Collateral Agent and Lenders are hereby authorized to register such security interest in Borrower’s and Parent’s Intellectual Property through such filings and with such Governmental Authorities as they deem reasonable and prudent. Without limiting the generality of the foregoing, Collateral Agent’s Lien on Intellectual Property of Loan Parties must be registered prior to any Loan Party granting any Lien on its Intellectual Property to any third party which is otherwise allowed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compliance with the provisions of Section 6.15(c) (and other applicable provisions of the Loan Documents, if any), if a Loan Party enters into a Permitted Royalty Financing, the parties shall enter into such amendments to the Loan Documents as are necessary to exclude Royalty Interest Collateral from the definition of “Collateral” and to release any Liens that the Collateral Agent or any Lender may have pursuant to any Loan Document in the Royalty Interest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acknowledges that Hercules has elected to be regulated as a business development company under the 1940 Act, and as such is required to make available significant managerial assistance to its portfolio companies. Significant managerial assistance may include, but is not limited to, guidance and counsel concerning the portfolio company’s management, operations, business objectives and policies, arrangement of financing, management of relationships with financing sources, recruitment of management personnel and evaluation of acquisition and divestiture opportunities. Borrower hereby acknowledges and agrees that it may request such assistance at any time from Hercules by contacting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6.16            Additional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Parent shall permit any representative that Collateral Agent or Lenders authorize, including their respective attorneys and accountants, to inspect the Collateral and examine and make copies and abstracts of the books of account and records of Borrower and Parent at reasonable times and upon reasonable notice during normal business hours; provided, however, that so long as no Event of Default has occurred and is continuing, such examinations shall be limited to no more often than once per fiscal year. In addition, in connection with such inspections, any such representative shall have the right to meet with management and officers of Borrower and Parent to discuss such books of account and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Hercules shall be entitled at reasonable times and intervals to consult with and advise the management and officers of Borrower and Parent concerning significant business issues affecting Borrower or Parent. Such consultations shall not unreasonably interfere with Borrower’s or Parent’s business operations. The parties intend that the rights granted Hercules shall constitute “management rights” within the meaning of 29 C.F.R. Section 2510.3-101(d)(3)(ii), but that any advice, recommendations or participation by Hercules with respect to any business issues shall not be deemed to give Hercules, nor be deemed an exercise by Hercules of, control over Borrower’s or Parent’s management or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not do, and shall ensure that no Loan Party or any Subsidiary of Loan Party does, any of the following without the prior written consent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Dispositions.</w:t>
      </w:r>
      <w:r>
        <w:rPr>
          <w:rFonts w:ascii="Times New Roman;Times;Serif" w:hAnsi="Times New Roman;Times;Serif"/>
          <w:b w:val="false"/>
          <w:i w:val="false"/>
          <w:caps w:val="false"/>
          <w:smallCaps w:val="false"/>
          <w:sz w:val="20"/>
        </w:rPr>
        <w:t xml:space="preserve"> Convey, sell, lease, transfer, assign, or otherwise dispose of (collectively,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or permit any of its Subsidiaries to Transfer, all or any part of its business or property, except for (a) Permitted Intercompany Transfers and (b) Transfers (i) of Inventory in the ordinary course of business; (ii) of worn out or obsolete Equipment; (iii) in connection with the Intercompany License Agreement, Permitted Acquisitions, Permitted Royalty Financing, Permitted Liens, Permitted Investments or Permitted Licenses; (iv) of cash and Cash Equivalents in connection with transactions not prohibited hereunder in the ordinary course of business; (v) consisting of the sale or issuance of any stock of Parent, (vi) consisting of the lapse, cancellation, abandonment, forfeiture or dedication to the public of any Intellectual Property that is not material to Borrower’s business to the extent not otherwise prohibited by the terms of Section 6.7(c); (vii) (w) the issuance or sale of any Permitted Convertible Debt by Parent, (x) the sale of any Permitted Warrant Transaction by Parent, (y) the purchase of any Permitted Bond Hedge Transaction by Parent or (z) the performance by Parent of its obligations under any Permitted Convertible Debt, any Permitted Warrant Transaction or any Permitted Bond Hedge Transaction, so long as, with respect solely to redemptions or any principal payments in cash, the Permitted Convertible Debt Payment Conditions are met immediately prior to the making of such redemption or principal payment in cash and at all times thereafter, and (viii) of other property (other than Intellectual Property) not to exceed Two Million Dollars ($2,000,000.00) in the aggregate in any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clarification, notwithstanding anything to the contrary in the foregoing, the issuance of, performance of obligations under (including any payments of interest), and conversion, exchange, exercise, repurchase, redemption (including, for the avoidance of doubt, a required repurchase in connection with the redemption of Permitted Convertible Debt upon satisfaction of a condition related to the price of ordinary shares of Parent (including for the avoidance of doubt, American Depositary Shares representing such ordinary shares)), settlement or early termination or cancellation of (whether in whole or in part and including by netting or set-off) (in each case, whether in cash, ordinary shares, following a merger event or other change of the Common Stock, other securities or property), or the satisfaction of any condition that would permit or require any of the foregoing, any Permitted Convertible Debt shall not constitute a prepayment of Indebtedness by any Loan Party for the purposes of this Section 7; provided that any redemption or principal payment in cash with respect to the Permitted Convertible Debt (other than cash in lieu of fractional shares) shall only be allowed if the Permitted Convertible Debt Payment Conditions are satisfied in respect of such payment and at all times after such payment; provided further that, to the extent the aggregate amount of cash payable upon conversion or redemption of the Permitted Convertible Debt (excluding any required payment of interest with respect to such Permitted Convertible Debt and excluding any payment of cash in lieu of a fractional share due upon conversion thereof) exceeds the aggregate principal amount thereof, the payment of such excess cash shall not be permitted by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Changes in Business, Management, Ownership, or Business Locations.</w:t>
      </w:r>
      <w:r>
        <w:rPr>
          <w:rFonts w:ascii="Times New Roman;Times;Serif" w:hAnsi="Times New Roman;Times;Serif"/>
          <w:b w:val="false"/>
          <w:i w:val="false"/>
          <w:caps w:val="false"/>
          <w:smallCaps w:val="false"/>
          <w:sz w:val="20"/>
        </w:rPr>
        <w:t xml:space="preserve"> (a) Engage in or permit any of its Subsidiaries to engage in any business other than the businesses engaged in by the Loan Parties as of the Effective Date or reasonably related thereto; (b) liquidate or dissolve except as permitted pursuant to Section 7.3; or (c) (i) any Key Person shall cease to be actively engaged in the management of Borrower unless written notice thereof is provided to Collateral Agent within ten (10) Business Days of such change, or (ii) consummate any transaction or series of related transactions in which the stockholders of any Loan Party who were not stockholders immediately prior to the first such transaction own more than forty nine percent (49%) of the voting stock of such Loan Party immediately after giving effect to such transaction or related series of such transactions (other than by the sale of Parent’s equity securities in a public offering, a private placement of public equity or to venture capital investors so long as Borrower identifies to Collateral Agent the venture capital investors prior to the closing of the transaction). Loan Parties shall not, without at least thirty (30) days’ prior written notice to Collateral Agent: (A) add any new offices or business locations, including warehouses (unless such new offices or business locations contain less than Five Hundred Thousand Dollars ($500,000.00) in assets or property of the Loan Parties); (B) change its jurisdiction of organization, (C) change its organizational structure or type, (D) change its legal name, or (E) change any organizational number (if any) assigned by its jurisdiction of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Mergers or Acquisitions.</w:t>
      </w:r>
      <w:r>
        <w:rPr>
          <w:rFonts w:ascii="Times New Roman;Times;Serif" w:hAnsi="Times New Roman;Times;Serif"/>
          <w:b w:val="false"/>
          <w:i w:val="false"/>
          <w:caps w:val="false"/>
          <w:smallCaps w:val="false"/>
          <w:sz w:val="20"/>
        </w:rPr>
        <w:t xml:space="preserve"> Merge or consolidate, or permit any of its Subsidiaries to merge or consolidate, with any other Person, or acquire, or permit any of its Subsidiaries to acquire, all or substantially all of the capital stock, shares or property of another Person (including, without limitation, pursuant to a Division), except for (a) Permitted Acquisitions or (b) mergers or consolidations where a Subsidiary merges or consolidates into another Subsidiary (and to the extent such merger or consolidation involves a Loan Party, such surviving Subsidiary is the Loan Party or shall become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Indebtedness.</w:t>
      </w:r>
      <w:r>
        <w:rPr>
          <w:rFonts w:ascii="Times New Roman;Times;Serif" w:hAnsi="Times New Roman;Times;Serif"/>
          <w:b w:val="false"/>
          <w:i w:val="false"/>
          <w:caps w:val="false"/>
          <w:smallCaps w:val="false"/>
          <w:sz w:val="20"/>
        </w:rPr>
        <w:t xml:space="preserve"> Create, incur, assume, or be liable for any Indebtedness, or permit any Subsidiary to do so, other than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Encumbrance.</w:t>
      </w:r>
      <w:r>
        <w:rPr>
          <w:rFonts w:ascii="Times New Roman;Times;Serif" w:hAnsi="Times New Roman;Times;Serif"/>
          <w:b w:val="false"/>
          <w:i w:val="false"/>
          <w:caps w:val="false"/>
          <w:smallCaps w:val="false"/>
          <w:sz w:val="20"/>
        </w:rPr>
        <w:t xml:space="preserve"> Create, incur, allow, or suffer any Lien on any of its property, or assign or convey any right to receive income, including the sale of any Accounts, or permit any of its Subsidiaries to do so, except for Permitted Liens, subject to Legal Reservations,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 as is otherwise permitted in Section 7.1 hereof and the definition of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herein and (b) for customary covenants contained in purchase agreements and/or acquisition agreements restricting the granting of security interests on any Loan Party’s or its Subsidiaries’ property pending the closing of such transactions; provided that (i) such covenants do not at any time prohibit the Borrower or such Subsidiaries from granting a security interest in Borrower’s or such Subsidiaries’ property in favor of Collateral Agent for the benefit of Lenders or in any way impair the Liens in favor of Collateral Agent made in connection with this Agreement, (ii) the counterparty is not granted a security interest in any property of Borrower or any Subsidiary and (iii) no Event of Default has occurred and is continuing immediately prior to, nor would occur as a result of, entry into such purchase agreements and/or acquisition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Maintenance of Collateral Accounts.</w:t>
      </w:r>
      <w:r>
        <w:rPr>
          <w:rFonts w:ascii="Times New Roman;Times;Serif" w:hAnsi="Times New Roman;Times;Serif"/>
          <w:b w:val="false"/>
          <w:i w:val="false"/>
          <w:caps w:val="false"/>
          <w:smallCaps w:val="false"/>
          <w:sz w:val="20"/>
        </w:rPr>
        <w:t xml:space="preserve"> Maintain any Collateral Account except pursuant to the terms of Section 6.6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Distributions; Investments.</w:t>
      </w:r>
      <w:r>
        <w:rPr>
          <w:rFonts w:ascii="Times New Roman;Times;Serif" w:hAnsi="Times New Roman;Times;Serif"/>
          <w:b w:val="false"/>
          <w:i w:val="false"/>
          <w:caps w:val="false"/>
          <w:smallCaps w:val="false"/>
          <w:sz w:val="20"/>
        </w:rPr>
        <w:t xml:space="preserve"> Pay any dividends or make any distribution or payment in respect of or redeem, retire or purchase any capital stock (in each case, other than (i) dividends or distributions payable solely in capital stock of Parent to equity holders of a Parent, (ii) dividends or distributions payable to a Loan Party, (iii) repurchases pursuant to the terms of employee stock purchase plans, employee restricted stock agreements, stockholder rights plans, director or consultant stock option plans, or similar plans, provided that no Event of Default exists prior to such repurchase or would not exist after giving effect to such repurchase, (iv) distributions and investments constituting Permitted Intercompany Transfers, (v) repurchases of stock of former employees, officers, consultants or directors pursuant to stock repurchase agreements by the cancellation of indebtedness owed by such former employees or directors to any Loan Party or any of its Subsidiaries, provided such repurchases (for both clauses (iii) and (v)) do not exceed Five Hundred Thousand Dollars ($500,000.00) in the aggregate per fiscal year excluding any applicable tax withholding payments, (vi) non-cash repurchases of stock of Parent to occur upon exercise of stock options or warrants or the settlement or vesting of other equity awards, (vii) cash payments in lieu of the issuance of fractional shares, and (viii) such other payments in an aggregate amount not to exceed Five Hundred Thousand Dollars ($500,000.00); provided that “capital stock” shall not include at any time (A) Permitted Convertible Debt until such Permitted Convertible Debt has been converted pursuant to the terms thereof, (B) other debt securities that are or by their terms may be convertible or exchangeable into or for such capital stock until such debt securities have been converted or exchanged pursuant to the terms thereof or (C) any Permitted Bond Hedge Transaction or Permitted Warrant Transaction until any Equity Interests have been issued pursuant to the terms thereof, or (b) directly or indirectly make any Investment other than Permitted Investments, or permit any of its Subsidiaries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for the avoidance of doubt, this Section 7.7 shall not prohibit, (i) so long as in the event of any redemption of, or making of any principal payment in cash with respect to, the Permitted Convertible Debt, the Permitted Convertible Debt Payment Conditions are fulfilled prior thereto and at all times thereafter, the conversion by holders of (including any cash payment upon conversion), or required payment of any principal or premium on (including, for the avoidance of doubt, in respect of a required repurchase in connection with the redemption of Permitted Convertible Debt upon satisfaction of a condition related to the stock price of Parent’s ordinary shares (including for the avoidance of doubt, American Depositary Shares representing such ordinary shares)) or required payment of any interest with respect to, any Permitted Convertible Debt in each case, in accordance with the terms of the indenture governing such Permitted Convertible Debt or (ii) the entry into (including the payment of premiums in connection therewith) or any required payment with respect to, or required early unwind or settlement of, any Permitted Bond Hedge Transaction or Permitted Warrant Transaction, in each case, in accordance with the terms of the agreement governing such Permitted Bond Hedge Transaction or Permitted Warrant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Loan Party may repurchase, exchange or induce the conversion of Permitted Convertible Debt by delivery of ordinary shares of Parent (including for the avoidance of doubt, American Depositary Shares representing such ordinary shares) and/or a different series of Permitted Convertible Debt and/or by payment of cash (in an amount that does not exceed the proceeds received by Borrower from the substantially concurrent issuance of ordinary shares of Parent (including for the avoidance of doubt, American Depositary Shares representing such ordinary shares) and/or such different series of Permitted Convertible Debt minus the net cost of any Permitted Bond Hedge Transaction and related Permitted Warrant Transaction entered into in connection therewith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(i)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 and (ii) immediately prior to any cash payment being made by any Loan Party with respect to any redemption of, or principal payment to, the Permitted Convertible Debt and at all times thereafter, the Permitted Convertible Debt Payment Conditions must be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            Transactions with Affiliates.</w:t>
      </w:r>
      <w:r>
        <w:rPr>
          <w:rFonts w:ascii="Times New Roman;Times;Serif" w:hAnsi="Times New Roman;Times;Serif"/>
          <w:b w:val="false"/>
          <w:i w:val="false"/>
          <w:caps w:val="false"/>
          <w:smallCaps w:val="false"/>
          <w:sz w:val="20"/>
        </w:rPr>
        <w:t xml:space="preserve"> Directly or indirectly enter into or permit to exist any material transaction with any Affiliate of Borrower or any of its Subsidiaries, except for (a) transactions that are in the ordinary course of Loan Parties’ or such Subsidiary’s business, upon fair and reasonable terms that are no less favorable to Borrower or such Subsidiary than would be obtained in an arm’s length transaction with a non-affiliated Person, (b) transaction explicitly permitted or required to be made hereunder between Affiliates, (c) compensation related arrangements in the ordinary course of business or otherwise approved by the applicable Loan Party’s board or by the Required Lenders in writing, (d) Permitted Intercompany Transfers, (e) Subordinated Debt or equity investments by any Loan Party’s investors in any Loan Party or its Subsidiaries, and (f) benefit plans and indemnification arrangements approved by the board for employees,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Subordinated Debt.</w:t>
      </w:r>
      <w:r>
        <w:rPr>
          <w:rFonts w:ascii="Times New Roman;Times;Serif" w:hAnsi="Times New Roman;Times;Serif"/>
          <w:b w:val="false"/>
          <w:i w:val="false"/>
          <w:caps w:val="false"/>
          <w:smallCaps w:val="false"/>
          <w:sz w:val="20"/>
        </w:rPr>
        <w:t xml:space="preserve"> (a) 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(excluding payments and reimbursements of customary fees and expenses) or adversely affect the subordination thereof to Obligations owed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            Compliance.</w:t>
      </w:r>
      <w:r>
        <w:rPr>
          <w:rFonts w:ascii="Times New Roman;Times;Serif" w:hAnsi="Times New Roman;Times;Serif"/>
          <w:b w:val="false"/>
          <w:i w:val="false"/>
          <w:caps w:val="false"/>
          <w:smallCaps w:val="false"/>
          <w:sz w:val="20"/>
        </w:rPr>
        <w:t xml:space="preserve">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other than as a result of a Permitted Acquisition, be or become an employer (for the purposes of sections 38 to 51 of the Pensions Act 2004) of an occupational pension scheme which is not a money purchase scheme (both terms as defined in the Pensions Schemes Act 1993) or, other than as a result of a Permitted Acquisition, be or become “connected” with or an “associate” of (as those terms are used in sections 38 and 43 of the Pensions Act 2004) such an employer; withdraw or permit any Subsidiary to withdraw from participation in, permit partial or complete termination of, or permit the occurrence of any other event with respect to, any present pension, profit sharing and deferred compensation plan which results in any liability of Borrower or any of its Subsidiaries (including any liability to the Pension Benefit Guaranty Corporation or its successors or any other Governmental Authority), which, together with all occupational pension scheme liabilities that all Loan Parties and their Subsidiaries become subject to over the term of this Agreement, would be in an amount in excess of One Million Dollars ($1,000,000.00) for all Loan Parties and their Subsidiaries becoming due and payable over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Loan Party or any of its Subsidiaries shall directly or indirectly use the proceeds of the Loans for any purpose which would breach the Bribery Act 2010, the United States Foreign Corrupt Practices Act of 1977 or other similar legislation in other jurisdictions. Each Loan Party and its Subsidiaries shall conduct its businesses in compliance with applicable anti-corruption laws (including but not limited to, the U.S. Foreign Corrupt Practices Act 1977) and maintain policies and procedures designed to promote and achieve compliance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7.11           Compliance with Anti-Terrorism Laws.</w:t>
      </w:r>
      <w:r>
        <w:rPr>
          <w:rFonts w:ascii="Times New Roman;Times;Serif" w:hAnsi="Times New Roman;Times;Serif"/>
          <w:b w:val="false"/>
          <w:i w:val="false"/>
          <w:caps w:val="false"/>
          <w:smallCaps w:val="false"/>
          <w:sz w:val="20"/>
        </w:rPr>
        <w:t xml:space="preserve"> Collateral Agent hereby notifies Borrower and each of its Subsidiaries that pursuant to the 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controlled Affiliate to, directly or indirectly, knowingly enter into any documents, instruments, agreements or contracts with any Person listed on the OFAC Lists or similar lists produced by an Authority. Borrower and each of its Subsidiaries shall immediately notify Collateral Agent if Borrower or such Subsidiary has knowledge that Borrower, or any Subsidiary or controlled Affiliate of Borrower, is listed on the OFAC Lists or similar lists produced by an Authority or (a) is convicted on, (b) pleads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to, (c) is indicted on, or (d) is arraigned and held over on charges involving money laundering or predicate crimes to money laundering. Neither Borrower nor any of its Subsidiaries shall, nor shall Borrower or any of its Subsidiaries, permit any controlled Affiliate to, directly or indirectly, (i) conduct any business or engage in any transaction or dealing with any Blocked Person, or in any Sanctioned Country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Laws, or (iii) engage in or conspire to engage in any transaction that evades or avoids, or has the purpose of evading or avoiding, or attempts to violate, any of the prohibitions set forth in Executive Order No. 13224 or other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7.12            Material Agreement</w:t>
      </w:r>
      <w:r>
        <w:rPr>
          <w:rFonts w:ascii="Times New Roman;Times;Serif" w:hAnsi="Times New Roman;Times;Serif"/>
          <w:b w:val="false"/>
          <w:i w:val="false"/>
          <w:caps w:val="false"/>
          <w:smallCaps w:val="false"/>
          <w:sz w:val="20"/>
        </w:rPr>
        <w:t>. No Loan Party shall without the consent of Collateral Agent, terminate the Material License or amend the Material License in a manner that is reasonably likely to have a material negative impact on Collateral Agent or Lenders, and Borrower shall give written notice to Collateral Agent of entering into a Material Agreement or materially amending or terminating a Material Agreement within five (5) days of such entry, amendment or termination. The documents or notifications required to be delivered pursuant to the terms of this Section 7.12 (to the extent any such documents are included in materials otherwise filed with the SEC) may be delivered electronically and if so delivered, shall be deemed to have been delivered on the date on which Borrower or Parent posts such documents, or provides a link thereto, on Borrower’s or Parent’s website on the internet at its website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the following shall constitute an event of default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Payment Default.</w:t>
      </w:r>
      <w:r>
        <w:rPr>
          <w:rFonts w:ascii="Times New Roman;Times;Serif" w:hAnsi="Times New Roman;Times;Serif"/>
          <w:b w:val="false"/>
          <w:i w:val="false"/>
          <w:caps w:val="false"/>
          <w:smallCaps w:val="false"/>
          <w:sz w:val="20"/>
        </w:rPr>
        <w:t xml:space="preserve"> Borrower fails to (a) make any payment of principal or interest on any Credit Extension on its due date, or (b) pay any other 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            Covenant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Loan Party or, if applicable, any of its Subsidiaries fails or neglects to perform any obligation in Sections 6.2 (Financial Statements, Reports, Certificates), 6.4 (Taxes), 6.5 (Insurance), 6.6 (Operating Accounts), 6.7 (Protection of Intellectual Property Rights), 6.9 (Notice of Litigation and Default), 6.10 (Financial Covenant), 6.12 (Creation/Acquisition of Subsidiaries), 6.13 (Permitted Convertible Debt Payment Covenant), 6.14 (Asset Transfer), 6.15 (Further Assurances) or 6.16(a) (Additional Rights) or Borrower violates any covenant in Section 7;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Loan Party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Material Adverse Change.</w:t>
      </w:r>
      <w:r>
        <w:rPr>
          <w:rFonts w:ascii="Times New Roman;Times;Serif" w:hAnsi="Times New Roman;Times;Serif"/>
          <w:b w:val="false"/>
          <w:i w:val="false"/>
          <w:caps w:val="false"/>
          <w:smallCaps w:val="false"/>
          <w:sz w:val="20"/>
        </w:rPr>
        <w:t xml:space="preserve"> A Material Adverse Change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            Attachment; Levy; Restraint on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service of process seeking to attach, by trustee or similar process, any funds of any Loan party or any of its Subsidiaries or of any entity under control of any Loan Party or its Subsidiaries on deposit with any Lender or any Lender’s Affiliate or any bank or other institution at which any Loan Party or any of its Subsidiaries maintains a Collateral Account, or (ii) a notice of lien, levy, or assessment is filed against any Loan Party or any of its Subsidiaries or their respective assets by any government agency, and the same under subclauses (i) and (ii) hereof are not, within ten (10) days after the occurrence thereof, discharged or stayed (whether through the posting of a bond or otherwise); provided, however, no Credit Extensions shall be made during any ten (10) day cure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any material portion of a Loan Party’s or its Subsidiary’s assets is attached, seized, levied on, or comes into possession of a trustee or receiver, or (ii) any court order enjoins, restrains, or prevents any Loan Party or any of its Subsidiaries from conducting any material part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            Insolvency.</w:t>
      </w:r>
      <w:r>
        <w:rPr>
          <w:rFonts w:ascii="Times New Roman;Times;Serif" w:hAnsi="Times New Roman;Times;Serif"/>
          <w:b w:val="false"/>
          <w:i w:val="false"/>
          <w:caps w:val="false"/>
          <w:smallCaps w:val="false"/>
          <w:sz w:val="20"/>
        </w:rPr>
        <w:t xml:space="preserve"> (a) Any Loan Party is or becomes Insolvent, or any Loan Party and its Subsidiaries, taken as a whole, are or become Insolvent; (b) any Loan Party or any of its Subsidiaries begins an Insolvency Proceeding; or (c) an Insolvency Proceeding is begun against any Loan Party or any of its Subsidiaries and not dismissed or stayed within forty-five (45) days (but no Credit Extensions shall be made while any Loan Party or any Subsidiary is Insolvent and/or until any Insolvency Proceeding is dismissed);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            Other Agreements.</w:t>
      </w:r>
      <w:r>
        <w:rPr>
          <w:rFonts w:ascii="Times New Roman;Times;Serif" w:hAnsi="Times New Roman;Times;Serif"/>
          <w:b w:val="false"/>
          <w:i w:val="false"/>
          <w:caps w:val="false"/>
          <w:smallCaps w:val="false"/>
          <w:sz w:val="20"/>
        </w:rPr>
        <w:t xml:space="preserve"> There is a default in any agreement (after giving effect to any grace period therein) to which any Loan Party or any of its Subsidiaries is a party with a third party or parties resulting in a right by such third party or parties, whether or not exercised, to accelerate the maturity of any Indebtedness in an amount in excess of Two Million Dollars ($2,000,000.00) or that could reasonably be expected to have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8.7            Judgments.</w:t>
      </w:r>
      <w:r>
        <w:rPr>
          <w:rFonts w:ascii="Times New Roman;Times;Serif" w:hAnsi="Times New Roman;Times;Serif"/>
          <w:b w:val="false"/>
          <w:i w:val="false"/>
          <w:caps w:val="false"/>
          <w:smallCaps w:val="false"/>
          <w:sz w:val="20"/>
        </w:rPr>
        <w:t xml:space="preserve"> One or more judgments, orders, or decrees for the payment of money in an amount, individually or in the aggregate, of at least Two Million Dollars ($2,000,000.00) (not covered by independent third-party insurance as to which liability has been accepted by such insurance carrier) shall be rendered against any Loan Party or any of its Subsidiaries and shall remain unsatisfied, unvacated, or unstayed for a period of ten (10) days after the entry thereof (provided that no Credit Extensions will be made prior to the satisfaction, vacation, or stay of such judgment, order or decree);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8.8            Misrepresentations.</w:t>
      </w:r>
      <w:r>
        <w:rPr>
          <w:rFonts w:ascii="Times New Roman;Times;Serif" w:hAnsi="Times New Roman;Times;Serif"/>
          <w:b w:val="false"/>
          <w:i w:val="false"/>
          <w:caps w:val="false"/>
          <w:smallCaps w:val="false"/>
          <w:sz w:val="20"/>
        </w:rPr>
        <w:t xml:space="preserve"> Any Loan Party or any of its Subsidiaries or any Person acting for any Loan Party or any of its Subsidiaries makes any 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8.9            Subordinated Debt.</w:t>
      </w:r>
      <w:r>
        <w:rPr>
          <w:rFonts w:ascii="Times New Roman;Times;Serif" w:hAnsi="Times New Roman;Times;Serif"/>
          <w:b w:val="false"/>
          <w:i w:val="false"/>
          <w:caps w:val="false"/>
          <w:smallCaps w:val="false"/>
          <w:sz w:val="20"/>
        </w:rPr>
        <w:t xml:space="preserve"> A default or breach occurs under any agreement between any Loan Party or any of its Subsidiaries and any creditor of any Loan Party or any of its Subsidiaries that signed a subordination, intercreditor, or other similar agreement with Collateral Agent or the Lenders, or any creditor that has signed such an agreement with Collateral Agent or the Lenders breaches any material terms of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Guaranty.</w:t>
      </w:r>
      <w:r>
        <w:rPr>
          <w:rFonts w:ascii="Times New Roman;Times;Serif" w:hAnsi="Times New Roman;Times;Serif"/>
          <w:b w:val="false"/>
          <w:i w:val="false"/>
          <w:caps w:val="false"/>
          <w:smallCaps w:val="false"/>
          <w:sz w:val="20"/>
        </w:rPr>
        <w:t xml:space="preserve"> (a) Any Guaranty terminates or ceases for any reason to be in full force and effect; (b) any Guarantor does not perform any obligation or covenant under any Guaranty; (c) any circumstance described in Section 8.3, 8.4, 8.5, 8.7, or 8.8 occurs with respect to any Guarantor, or (d) the liquidation, winding up, or termination of existence of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            Governmental Approvals.</w:t>
      </w:r>
      <w:r>
        <w:rPr>
          <w:rFonts w:ascii="Times New Roman;Times;Serif" w:hAnsi="Times New Roman;Times;Serif"/>
          <w:b w:val="false"/>
          <w:i w:val="false"/>
          <w:caps w:val="false"/>
          <w:smallCaps w:val="false"/>
          <w:sz w:val="20"/>
        </w:rPr>
        <w:t xml:space="preserve"> Any Governmental Approval shall have been revoked, rescinded, suspended, modified in an adverse manner, or not renewed in the ordinary course for a full term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such revocation, rescission, suspension, modification or non-renewal has resulted in or would reasonably be expected to result in a Material Adverse Change;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Lien Priority</w:t>
      </w:r>
      <w:r>
        <w:rPr>
          <w:rFonts w:ascii="Times New Roman;Times;Serif" w:hAnsi="Times New Roman;Times;Serif"/>
          <w:b w:val="false"/>
          <w:i w:val="false"/>
          <w:caps w:val="false"/>
          <w:smallCaps w:val="false"/>
          <w:sz w:val="20"/>
        </w:rPr>
        <w:t>. Subject to the Legal Reservations, any Lien created hereunder or by any other Loan Document shall at any time fail to constitute a valid and perfected Lien on any of the Collateral purported to be secured thereby, subject to no prior or equal Lien, other than Permitted Liens which are permitted to have priority in accordance with the terms of this Agreement; provided that such circumstance is not due to Collateral Agent’s failure to file an appropriate continuation financing statement, amendment financing statement or initial financing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            Delisting</w:t>
      </w:r>
      <w:r>
        <w:rPr>
          <w:rFonts w:ascii="Times New Roman;Times;Serif" w:hAnsi="Times New Roman;Times;Serif"/>
          <w:b w:val="false"/>
          <w:i w:val="false"/>
          <w:caps w:val="false"/>
          <w:smallCaps w:val="false"/>
          <w:sz w:val="20"/>
        </w:rPr>
        <w:t>. The American Depositary Shares of Parent are delisted from Nasdaq Global Market because of failure to comply with continued listing standards thereof or due to a voluntary delisting, in each case, which results in such shares not being listed on any nationally recognized stock exchange in the United States having listing standards at least as restrictive as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sz w:val="20"/>
          <w:u w:val="single"/>
        </w:rPr>
        <w:t>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and during the continuance of an Event of Default, Agent, in accordance with the Lender Intercreditor Agreement or, if such rights and remedies are not addressed in the Lender Intercreditor Agreement, as directed by the Required Lenders, may,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rights of Collateral Agent and the Lenders set forth in Section 9.1(a) above, upon the occurrence and during the continuance of an Event of Default, Collateral Agent shall have the right, without notice or demand, to do any or all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foreclose upon and/or sell or otherwise liquidate,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apply to the Obligations any (a) balances and deposits of Borrower that Collateral Agent or any Lender holds or controls, or (b) any amount held or controlled by Collateral Agent or any Lender owing to or for the credit or the account of Borrower;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commence and prosecute an Insolvency Proceeding or consent to Borrower commencing any Insolvency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demand and receive possession of Borrower’s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this Section 9.1 to the contrary, upon the occurrence of any Event of Default, subject to the terms of the Lender Intercreditor Agreement, Collateral Agent shall have the right to exercise any and all remedies referenced in this Section 9.1 without the written consent of Required Lenders following the occurrence of an Exigent Circumstance. As used in the immediately preceding sentence, “</w:t>
      </w:r>
      <w:r>
        <w:rPr>
          <w:rFonts w:ascii="Times New Roman;Times;Serif" w:hAnsi="Times New Roman;Times;Serif"/>
          <w:b/>
          <w:i w:val="false"/>
          <w:caps w:val="false"/>
          <w:smallCaps w:val="false"/>
          <w:sz w:val="20"/>
        </w:rPr>
        <w:t>Exigent Circumstance</w:t>
      </w:r>
      <w:r>
        <w:rPr>
          <w:rFonts w:ascii="Times New Roman;Times;Serif" w:hAnsi="Times New Roman;Times;Serif"/>
          <w:b w:val="false"/>
          <w:i w:val="false"/>
          <w:caps w:val="false"/>
          <w:smallCaps w:val="false"/>
          <w:sz w:val="20"/>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Power of Attorney.</w:t>
      </w:r>
      <w:r>
        <w:rPr>
          <w:rFonts w:ascii="Times New Roman;Times;Serif" w:hAnsi="Times New Roman;Times;Serif"/>
          <w:b w:val="false"/>
          <w:i w:val="false"/>
          <w:caps w:val="false"/>
          <w:smallCaps w:val="false"/>
          <w:sz w:val="20"/>
        </w:rPr>
        <w:t xml:space="preserve"> Borrower hereby irrevocably appoints Collateral Agent as its lawful attorney-in-fact, exercisable solely upon the occurrence and during the continuance of an Event of Default, to: (a) endorse any Loan Party’s name on any checks or other forms of payment or security; (b) sign Borrower’s or any Loan Party’s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Loan Party’s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the Lenders are under no further obligation to make Credit Extensions hereunder. Collateral Agent’s foregoing appointment as Borrower’s or any Loan Party’s attorney in fact, and all of Collateral Agent’s rights and powers, coupled with an interest, are irrevocable until all Obligations (other than inchoate indemnity obligations) have been fully repaid and performed and the Lenders’ obligation to provide Credit Extensions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Protective Payments.</w:t>
      </w:r>
      <w:r>
        <w:rPr>
          <w:rFonts w:ascii="Times New Roman;Times;Serif" w:hAnsi="Times New Roman;Times;Serif"/>
          <w:b w:val="false"/>
          <w:i w:val="false"/>
          <w:caps w:val="false"/>
          <w:smallCaps w:val="false"/>
          <w:sz w:val="20"/>
        </w:rPr>
        <w:t xml:space="preserve"> If Borrower or any of its Subsidiaries fails to obtain the insurance called for by Section 6.5 or fails to pay any 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            Application of Payments and Proceeds.</w:t>
      </w:r>
      <w:r>
        <w:rPr>
          <w:rFonts w:ascii="Times New Roman;Times;Serif" w:hAnsi="Times New Roman;Times;Serif"/>
          <w:b w:val="false"/>
          <w:i w:val="false"/>
          <w:caps w:val="false"/>
          <w:smallCaps w:val="false"/>
          <w:sz w:val="20"/>
        </w:rPr>
        <w:t xml:space="preserve"> Notwithstanding anything to the contrary contained in this Agreement, upon the occurrence and 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or the Insolvency Act,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9.5            Liability for Collateral.</w:t>
      </w:r>
      <w:r>
        <w:rPr>
          <w:rFonts w:ascii="Times New Roman;Times;Serif" w:hAnsi="Times New Roman;Times;Serif"/>
          <w:b w:val="false"/>
          <w:i w:val="false"/>
          <w:caps w:val="false"/>
          <w:smallCaps w:val="false"/>
          <w:sz w:val="20"/>
        </w:rPr>
        <w:t xml:space="preserve"> So long as Collateral Agent and the Lenders comply with reasonable banking practices regarding the 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9.6            No Waiver; Remedies Cumulative.</w:t>
      </w:r>
      <w:r>
        <w:rPr>
          <w:rFonts w:ascii="Times New Roman;Times;Serif" w:hAnsi="Times New Roman;Times;Serif"/>
          <w:b w:val="false"/>
          <w:i w:val="false"/>
          <w:caps w:val="false"/>
          <w:smallCaps w:val="false"/>
          <w:sz w:val="20"/>
        </w:rPr>
        <w:t xml:space="preserve"> Failure by Collateral Agent or any Lender, at any time or times, to require strict performance by 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9.7            Demand Waiver.</w:t>
      </w:r>
      <w:r>
        <w:rPr>
          <w:rFonts w:ascii="Times New Roman;Times;Serif" w:hAnsi="Times New Roman;Times;Serif"/>
          <w:b w:val="false"/>
          <w:i w:val="false"/>
          <w:caps w:val="false"/>
          <w:smallCaps w:val="false"/>
          <w:sz w:val="20"/>
        </w:rPr>
        <w:t xml:space="preserve"> Borrower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Collateral Agent or any Lender on which Borrower or any Subsidiary is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sz w:val="20"/>
          <w:u w:val="single"/>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consents, requests, approvals, demands, or other communication (collectively, “</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or electronic mail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facsimile number, or email address by giving the other party written notice thereof in accordance with the terms of this Section 10.</w:t>
      </w:r>
    </w:p>
    <w:p>
      <w:pPr>
        <w:pStyle w:val="TextBody"/>
        <w:bidi w:val="0"/>
        <w:spacing w:before="0" w:after="0"/>
        <w:ind w:left="0" w:right="0" w:hanging="0"/>
        <w:jc w:val="left"/>
        <w:rPr>
          <w:caps w:val="false"/>
          <w:smallCaps w:val="false"/>
        </w:rPr>
      </w:pPr>
      <w:r>
        <w:rPr>
          <w:caps w:val="false"/>
          <w:smallCaps w:val="false"/>
        </w:rPr>
        <w:t> </w:t>
      </w:r>
    </w:p>
    <w:tbl>
      <w:tblPr>
        <w:tblW w:w="9370" w:type="dxa"/>
        <w:jc w:val="center"/>
        <w:tblInd w:w="0" w:type="dxa"/>
        <w:tblLayout w:type="fixed"/>
        <w:tblCellMar>
          <w:top w:w="0" w:type="dxa"/>
          <w:left w:w="0" w:type="dxa"/>
          <w:bottom w:w="0" w:type="dxa"/>
          <w:right w:w="0" w:type="dxa"/>
        </w:tblCellMar>
      </w:tblPr>
      <w:tblGrid>
        <w:gridCol w:w="5465"/>
        <w:gridCol w:w="60"/>
        <w:gridCol w:w="3845"/>
      </w:tblGrid>
      <w:tr>
        <w:trPr/>
        <w:tc>
          <w:tcPr>
            <w:tcW w:w="5465" w:type="dxa"/>
            <w:tcBorders/>
            <w:vAlign w:val="center"/>
          </w:tcPr>
          <w:p>
            <w:pPr>
              <w:pStyle w:val="TableContents"/>
              <w:bidi w:val="0"/>
              <w:spacing w:before="0" w:after="283"/>
              <w:jc w:val="left"/>
              <w:rPr>
                <w:sz w:val="20"/>
              </w:rPr>
            </w:pPr>
            <w:r>
              <w:rPr>
                <w:sz w:val="20"/>
              </w:rPr>
              <w:t>If to Borrower:</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VERONA PHARMA,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8529 Six Forks Road, Suite 400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NC 27615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sz w:val="20"/>
              </w:rPr>
            </w:pPr>
            <w:r>
              <w:rPr>
                <w:sz w:val="20"/>
              </w:rPr>
              <w:t xml:space="preserve">with a copy (which </w:t>
              <w:br/>
              <w:t>shall not constitute</w:t>
              <w:br/>
              <w:t>notice) to:</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 South Grand Avenue, Suite 100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Elizabeth Y. J. Oh</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Collateral Agent or Oxford (with a copy to Greenberg Traurig, </w:t>
              <w:br/>
              <w:t>LLP, as noted below):</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jc w:val="both"/>
              <w:rPr/>
            </w:pPr>
            <w:r>
              <w:rPr/>
              <w:t>OXFORD FINANCE LLC</w:t>
            </w:r>
          </w:p>
          <w:p>
            <w:pPr>
              <w:pStyle w:val="TableContents"/>
              <w:bidi w:val="0"/>
              <w:jc w:val="both"/>
              <w:rPr/>
            </w:pPr>
            <w:r>
              <w:rPr/>
              <w:t>115 South Union Street</w:t>
            </w:r>
          </w:p>
          <w:p>
            <w:pPr>
              <w:pStyle w:val="TableContents"/>
              <w:bidi w:val="0"/>
              <w:jc w:val="both"/>
              <w:rPr/>
            </w:pPr>
            <w:r>
              <w:rPr/>
              <w:t>Suite 300</w:t>
            </w:r>
          </w:p>
          <w:p>
            <w:pPr>
              <w:pStyle w:val="TableContents"/>
              <w:bidi w:val="0"/>
              <w:jc w:val="both"/>
              <w:rPr/>
            </w:pPr>
            <w:r>
              <w:rPr/>
              <w:t>Alexandria, VA  22314</w:t>
            </w:r>
          </w:p>
          <w:p>
            <w:pPr>
              <w:pStyle w:val="TableContents"/>
              <w:bidi w:val="0"/>
              <w:jc w:val="both"/>
              <w:rPr/>
            </w:pPr>
            <w:r>
              <w:rPr/>
              <w:t>Attention: Legal Department</w:t>
            </w:r>
          </w:p>
          <w:p>
            <w:pPr>
              <w:pStyle w:val="TableContents"/>
              <w:bidi w:val="0"/>
              <w:jc w:val="both"/>
              <w:rPr/>
            </w:pPr>
            <w:r>
              <w:rPr/>
              <w:t>Fax: [***]</w:t>
            </w:r>
          </w:p>
          <w:p>
            <w:pPr>
              <w:pStyle w:val="TableContents"/>
              <w:bidi w:val="0"/>
              <w:spacing w:before="0" w:after="283"/>
              <w:jc w:val="both"/>
              <w:rPr/>
            </w:pPr>
            <w:r>
              <w:rPr/>
              <w:t>Email: [***]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both"/>
              <w:rPr/>
            </w:pPr>
            <w:r>
              <w:rPr/>
              <w:t> </w:t>
            </w:r>
          </w:p>
        </w:tc>
      </w:tr>
      <w:tr>
        <w:trPr/>
        <w:tc>
          <w:tcPr>
            <w:tcW w:w="5465" w:type="dxa"/>
            <w:tcBorders/>
            <w:vAlign w:val="center"/>
          </w:tcPr>
          <w:p>
            <w:pPr>
              <w:pStyle w:val="TableContents"/>
              <w:bidi w:val="0"/>
              <w:spacing w:before="0" w:after="283"/>
              <w:jc w:val="left"/>
              <w:rPr/>
            </w:pPr>
            <w:r>
              <w:rPr/>
              <w:t>With a copy to:</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jc w:val="both"/>
              <w:rPr/>
            </w:pPr>
            <w:r>
              <w:rPr/>
              <w:t>OXFORD FINANCE CREDIT</w:t>
            </w:r>
          </w:p>
          <w:p>
            <w:pPr>
              <w:pStyle w:val="TableContents"/>
              <w:bidi w:val="0"/>
              <w:jc w:val="both"/>
              <w:rPr/>
            </w:pPr>
            <w:r>
              <w:rPr/>
              <w:t>FUND II, LP</w:t>
            </w:r>
          </w:p>
          <w:p>
            <w:pPr>
              <w:pStyle w:val="TableContents"/>
              <w:bidi w:val="0"/>
              <w:jc w:val="both"/>
              <w:rPr/>
            </w:pPr>
            <w:r>
              <w:rPr/>
              <w:t>c/o Oxford Finance Advisors,</w:t>
            </w:r>
          </w:p>
          <w:p>
            <w:pPr>
              <w:pStyle w:val="TableContents"/>
              <w:bidi w:val="0"/>
              <w:jc w:val="both"/>
              <w:rPr/>
            </w:pPr>
            <w:r>
              <w:rPr/>
              <w:t>LLC, its manager</w:t>
            </w:r>
          </w:p>
          <w:p>
            <w:pPr>
              <w:pStyle w:val="TableContents"/>
              <w:bidi w:val="0"/>
              <w:jc w:val="both"/>
              <w:rPr/>
            </w:pPr>
            <w:r>
              <w:rPr/>
              <w:t>115 South Union Street</w:t>
            </w:r>
          </w:p>
          <w:p>
            <w:pPr>
              <w:pStyle w:val="TableContents"/>
              <w:bidi w:val="0"/>
              <w:jc w:val="both"/>
              <w:rPr/>
            </w:pPr>
            <w:r>
              <w:rPr/>
              <w:t>Suite 300</w:t>
            </w:r>
          </w:p>
          <w:p>
            <w:pPr>
              <w:pStyle w:val="TableContents"/>
              <w:bidi w:val="0"/>
              <w:jc w:val="both"/>
              <w:rPr/>
            </w:pPr>
            <w:r>
              <w:rPr/>
              <w:t>Alexandria, VA 22314</w:t>
            </w:r>
          </w:p>
          <w:p>
            <w:pPr>
              <w:pStyle w:val="TableContents"/>
              <w:bidi w:val="0"/>
              <w:jc w:val="both"/>
              <w:rPr/>
            </w:pPr>
            <w:r>
              <w:rPr/>
              <w:t>Attention: Legal Department</w:t>
            </w:r>
          </w:p>
          <w:p>
            <w:pPr>
              <w:pStyle w:val="TableContents"/>
              <w:bidi w:val="0"/>
              <w:jc w:val="both"/>
              <w:rPr/>
            </w:pPr>
            <w:r>
              <w:rPr/>
              <w:t>Fax: [***]</w:t>
            </w:r>
          </w:p>
          <w:p>
            <w:pPr>
              <w:pStyle w:val="TableContents"/>
              <w:bidi w:val="0"/>
              <w:spacing w:before="0" w:after="283"/>
              <w:jc w:val="both"/>
              <w:rPr/>
            </w:pPr>
            <w:r>
              <w:rPr/>
              <w:t>Email: [***]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both"/>
              <w:rPr/>
            </w:pPr>
            <w:r>
              <w:rPr/>
              <w:t> </w:t>
            </w:r>
          </w:p>
        </w:tc>
      </w:tr>
      <w:tr>
        <w:trPr/>
        <w:tc>
          <w:tcPr>
            <w:tcW w:w="5465" w:type="dxa"/>
            <w:tcBorders/>
            <w:vAlign w:val="center"/>
          </w:tcPr>
          <w:p>
            <w:pPr>
              <w:pStyle w:val="TableContents"/>
              <w:bidi w:val="0"/>
              <w:spacing w:before="0" w:after="283"/>
              <w:jc w:val="left"/>
              <w:rPr>
                <w:sz w:val="20"/>
              </w:rPr>
            </w:pPr>
            <w:r>
              <w:rPr>
                <w:sz w:val="20"/>
              </w:rPr>
              <w:t>With a copy to:</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FINANCE CREDIT FUND III, 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Oxford Finance Advisors, LLC, its manager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South Union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300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7009"/>
        <w:gridCol w:w="60"/>
        <w:gridCol w:w="3136"/>
      </w:tblGrid>
      <w:tr>
        <w:trPr/>
        <w:tc>
          <w:tcPr>
            <w:tcW w:w="7009" w:type="dxa"/>
            <w:tcBorders/>
            <w:vAlign w:val="center"/>
          </w:tcPr>
          <w:p>
            <w:pPr>
              <w:pStyle w:val="TableContents"/>
              <w:bidi w:val="0"/>
              <w:spacing w:before="0" w:after="283"/>
              <w:jc w:val="left"/>
              <w:rPr>
                <w:sz w:val="20"/>
              </w:rPr>
            </w:pPr>
            <w:r>
              <w:rPr>
                <w:sz w:val="20"/>
              </w:rPr>
              <w:t>If to Hercules, Hercules Private Credit Fund 1 L.P., Hercules Private Global Venture Growth Fund I L.P. or Hercules Venture Growth Credit Opportunities Fund 1 L.P. (with a copy to Greenberg Traurig, LLP, as noted below):</w:t>
            </w:r>
          </w:p>
        </w:tc>
        <w:tc>
          <w:tcPr>
            <w:tcW w:w="60" w:type="dxa"/>
            <w:tcBorders/>
            <w:vAlign w:val="center"/>
          </w:tcPr>
          <w:p>
            <w:pPr>
              <w:pStyle w:val="TableContents"/>
              <w:bidi w:val="0"/>
              <w:spacing w:before="0" w:after="283"/>
              <w:jc w:val="left"/>
              <w:rPr/>
            </w:pPr>
            <w:r>
              <w:rPr/>
              <w:t> </w:t>
            </w:r>
          </w:p>
        </w:tc>
        <w:tc>
          <w:tcPr>
            <w:tcW w:w="31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Department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 Kristen Kosofsky, Michael McMahon and John Miotti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Hamilton Avenue, Suite 310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 CA 94301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tc>
      </w:tr>
      <w:tr>
        <w:trPr/>
        <w:tc>
          <w:tcPr>
            <w:tcW w:w="7009"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copy shall not constitute notice):</w:t>
            </w:r>
          </w:p>
        </w:tc>
        <w:tc>
          <w:tcPr>
            <w:tcW w:w="60" w:type="dxa"/>
            <w:tcBorders/>
            <w:vAlign w:val="center"/>
          </w:tcPr>
          <w:p>
            <w:pPr>
              <w:pStyle w:val="TableContents"/>
              <w:bidi w:val="0"/>
              <w:spacing w:before="0" w:after="283"/>
              <w:jc w:val="left"/>
              <w:rPr/>
            </w:pPr>
            <w:r>
              <w:rPr/>
              <w:t> </w:t>
            </w:r>
          </w:p>
        </w:tc>
        <w:tc>
          <w:tcPr>
            <w:tcW w:w="3136"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International Place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Abdullah Malik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sz w:val="20"/>
          <w:u w:val="single"/>
        </w:rPr>
        <w:t>CHOICE OF LAW, VENUE AND JURY TRIAL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law governs the Loan Documents without regard to principles of conflicts of law. Borrower, Lenders and Collateral Agent each submit to the exclusive jurisdiction of the State and Federal courts in the City of New York, Borough of Manhattan. NOTWITHSTANDING THE FOREGOING, COLLATERAL AGENT AND THE LENDERS SHALL HAVE THE RIGHT TO BRING ANY ACTION OR PROCEEDING AGAINST BORROWER OR ITS PROPERTY IN THE COURTS OF ANY OTHER JURISDICTION WHICH COLLATERAL AGENT AND THE LENDERS (IN ACCORDANCE WITH THE PROVISIONS OF SECTION 9.1) DEEM NECESSARY OR APPROPRIATE TO REALIZE ON THE COLLATERAL OR TO OTHERWISE ENFORCE COLLATERAL AGENT’S AND THE LENDERS’ RIGHTS AGAINST BORROWER OR ITS PROPERTY.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first class, registered or certified mail return receipt requested, proper postage prepaid.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FULLEST EXTENT PERMITTED BY APPLICABLE LAW, BORROWER, COLLATERAL AGENT, AND THE LENDERS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sz w:val="20"/>
          <w:u w:val="single"/>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            Successors and Assigns.</w:t>
      </w:r>
      <w:r>
        <w:rPr>
          <w:rFonts w:ascii="Times New Roman;Times;Serif" w:hAnsi="Times New Roman;Times;Serif"/>
          <w:b w:val="false"/>
          <w:i w:val="false"/>
          <w:caps w:val="false"/>
          <w:smallCaps w:val="false"/>
          <w:sz w:val="20"/>
        </w:rPr>
        <w:t xml:space="preserve"> This Agreement binds and is for the benefit of the successors and permitted assigns of each party. Borrower may not 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Times New Roman;Times;Serif" w:hAnsi="Times New Roman;Times;Serif"/>
          <w:b/>
          <w:i w:val="false"/>
          <w:caps w:val="false"/>
          <w:smallCaps w:val="false"/>
          <w:sz w:val="20"/>
        </w:rPr>
        <w:t xml:space="preserve">(any </w:t>
      </w:r>
      <w:r>
        <w:rPr>
          <w:rFonts w:ascii="Times New Roman;Times;Serif" w:hAnsi="Times New Roman;Times;Serif"/>
          <w:b w:val="false"/>
          <w:i w:val="false"/>
          <w:caps w:val="false"/>
          <w:smallCaps w:val="false"/>
          <w:sz w:val="20"/>
        </w:rPr>
        <w:t>such sale, transfer, assignment, negotiation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or grant of a participation, a “</w:t>
      </w:r>
      <w:r>
        <w:rPr>
          <w:rFonts w:ascii="Times New Roman;Times;Serif" w:hAnsi="Times New Roman;Times;Serif"/>
          <w:b/>
          <w:i w:val="false"/>
          <w:caps w:val="false"/>
          <w:smallCaps w:val="false"/>
          <w:sz w:val="20"/>
        </w:rPr>
        <w:t>Lender Transfer”)</w:t>
      </w:r>
      <w:r>
        <w:rPr>
          <w:rFonts w:ascii="Times New Roman;Times;Serif" w:hAnsi="Times New Roman;Times;Serif"/>
          <w:b w:val="false"/>
          <w:i w:val="false"/>
          <w:caps w:val="false"/>
          <w:smallCaps w:val="false"/>
          <w:sz w:val="20"/>
        </w:rPr>
        <w:t xml:space="preserve"> all or any part of, or any interest in, the Lenders’ obligations, rights, and benefits under this Agreement and the other Loan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Times New Roman;Times;Serif" w:hAnsi="Times New Roman;Times;Serif"/>
          <w:b/>
          <w:i w:val="false"/>
          <w:caps w:val="false"/>
          <w:smallCaps w:val="false"/>
          <w:sz w:val="20"/>
        </w:rPr>
        <w:t>Approved Lender</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 The Collateral Agent, acting solely for this purpose as a non-fiduciary agent of the Borrower, shall maintain a register for the recordation of the names and addresses of the applicable Lenders and the principal amounts (and stated interest) of the applicable Term Loans owing to, each Lender pursuant to the terms hereof from time to time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Collateral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obligations under the Loan Documents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12.2            Indemnification.</w:t>
      </w:r>
      <w:r>
        <w:rPr>
          <w:rFonts w:ascii="Times New Roman;Times;Serif" w:hAnsi="Times New Roman;Times;Serif"/>
          <w:b w:val="false"/>
          <w:i w:val="false"/>
          <w:caps w:val="false"/>
          <w:smallCaps w:val="false"/>
          <w:sz w:val="20"/>
        </w:rPr>
        <w:t xml:space="preserve"> Borrower agrees to indemnify, defend and hold Collateral Agent and the Lenders and their respective directors, officers, employees, agents, attorneys, or any other Person affiliated with or representing Collateral Agent or the Lenders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harmless against: (a) all obligations, demands, claims, and liabilities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and documented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reasonable and documented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provided hereunder, in each case except for liabilities, obligations, losses, damages, penalties, actions, judgments, suits, claims, costs, expenses and disbursements directly caused by such Indemnified Person’s gross negligence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12.3            Time of Essence.</w:t>
      </w:r>
      <w:r>
        <w:rPr>
          <w:rFonts w:ascii="Times New Roman;Times;Serif" w:hAnsi="Times New Roman;Times;Serif"/>
          <w:b w:val="false"/>
          <w:i w:val="false"/>
          <w:caps w:val="false"/>
          <w:smallCaps w:val="false"/>
          <w:sz w:val="20"/>
        </w:rPr>
        <w:t xml:space="preserve"> Time is of the essence for the performance of all Obligations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12.4            Severability of Provisions.</w:t>
      </w:r>
      <w:r>
        <w:rPr>
          <w:rFonts w:ascii="Times New Roman;Times;Serif" w:hAnsi="Times New Roman;Times;Serif"/>
          <w:b w:val="false"/>
          <w:i w:val="false"/>
          <w:caps w:val="false"/>
          <w:smallCaps w:val="false"/>
          <w:sz w:val="20"/>
        </w:rPr>
        <w:t xml:space="preserve"> Each provision of this Agreement is severable from every other provision in determining the enforceability of any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12.5            Correction of Loan Documents.</w:t>
      </w:r>
      <w:r>
        <w:rPr>
          <w:rFonts w:ascii="Times New Roman;Times;Serif" w:hAnsi="Times New Roman;Times;Serif"/>
          <w:b w:val="false"/>
          <w:i w:val="false"/>
          <w:caps w:val="false"/>
          <w:smallCaps w:val="false"/>
          <w:sz w:val="20"/>
        </w:rPr>
        <w:t xml:space="preserve"> Collateral Agent and the Lenders may correct patent errors and fill in any blanks in this Agreement and the other Loan Documents consistent with the agreement of the parties so long as Collateral Agent provides Borrower with written notice of such correction and allows Borrower at least ten (10) days to object to such correction. In the event of such objection, such correction shall not be made except by an amendment signed by Collateral Agent, the Lenders and Borrower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12.6            Amendments in Writing; Integration.</w:t>
      </w:r>
      <w:r>
        <w:rPr>
          <w:rFonts w:ascii="Times New Roman;Times;Serif" w:hAnsi="Times New Roman;Times;Serif"/>
          <w:b w:val="false"/>
          <w:i w:val="false"/>
          <w:caps w:val="false"/>
          <w:smallCaps w:val="false"/>
          <w:sz w:val="20"/>
        </w:rPr>
        <w:t xml:space="preserve"> (a) No amendment, modification, termination or waiver of any provision of this Agreement or any 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such amendment, waiver or other modification that would have the effect of increasing or reducing a Lender’s Term Loan Commitment or Commitment Percentage shall be effective as to such Lender without such Lender’s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such amendment, waiver or modification that would affect the rights and duties of Collateral Agent shall be effective without Collateral Agent’s written consent or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under this Agreement);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as expressly provided for in Section 12.6(a)(i)-(iii), Collateral Agent may, if requested by the Required Lenders, from time to time designate covenants in this Agreement less restrictive by notification to a Responsible Officer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12.7            Counterparts.</w:t>
      </w:r>
      <w:r>
        <w:rPr>
          <w:rFonts w:ascii="Times New Roman;Times;Serif" w:hAnsi="Times New Roman;Times;Serif"/>
          <w:b w:val="false"/>
          <w:i w:val="false"/>
          <w:caps w:val="false"/>
          <w:smallCaps w:val="false"/>
          <w:sz w:val="20"/>
        </w:rPr>
        <w:t xml:space="preserve"> This Agreement may be executed in any number of counterparts and by different parties on separate counterparts, each of which, when executed and delivered, is an original, and all taken together, constitute one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12.8            Survival.</w:t>
      </w:r>
      <w:r>
        <w:rPr>
          <w:rFonts w:ascii="Times New Roman;Times;Serif" w:hAnsi="Times New Roman;Times;Serif"/>
          <w:b w:val="false"/>
          <w:i w:val="false"/>
          <w:caps w:val="false"/>
          <w:smallCaps w:val="false"/>
          <w:sz w:val="20"/>
        </w:rPr>
        <w:t xml:space="preserve"> All covenants, representations and warranties made in this Agreement continue in full force and effect until this Agreement has 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12.9 below, shall survive until the statute of limitations with respect to such claim or cause of action shall have run.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12.9            Confidentiality.</w:t>
      </w:r>
      <w:r>
        <w:rPr>
          <w:rFonts w:ascii="Times New Roman;Times;Serif" w:hAnsi="Times New Roman;Times;Serif"/>
          <w:b w:val="false"/>
          <w:i w:val="false"/>
          <w:caps w:val="false"/>
          <w:smallCaps w:val="false"/>
          <w:sz w:val="20"/>
        </w:rPr>
        <w:t xml:space="preserve"> In handling any confidential information of Borrower or any of its Subsidiaries, the Lenders and Collateral Agent shall exercise the same degree of care that it exercises for their own proprietary information, but disclosure of information may be made: (a) subject to the terms and conditions of this Agreement, to the Lenders’ and Collateral Agent’s Subsidiaries or Affiliates, investors, directors, officers, employees, advisors, counsel, accountants and professional advisors that are subject to confidentiality provisions of this Section 12.9 or subject to confidentiality restrictions that reasonably protect against the disclosure of such confidential information,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(other than as a result of its disclosure by Collateral Agent or any Lender in violation of this Agreement);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so long as Collateral Agent and the Lenders do not disclose Borrower’s identity or the identity of any person associated with Borrower unless otherwise expressly permitted by this Agreement.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12.10            Public Announcement.</w:t>
      </w:r>
      <w:r>
        <w:rPr>
          <w:rFonts w:ascii="Times New Roman;Times;Serif" w:hAnsi="Times New Roman;Times;Serif"/>
          <w:b w:val="false"/>
          <w:i w:val="false"/>
          <w:caps w:val="false"/>
          <w:smallCaps w:val="false"/>
          <w:sz w:val="20"/>
        </w:rPr>
        <w:t xml:space="preserve"> Notwithstanding anything else herein to the contrary, Borrower hereby agrees that Collateral Agent and each Lender may make a public announcement of the transactions contemplated by this Agreement, and may publicize the same on its company website, in marketing materials, newspapers and other publications, and otherwise, and in connection therewith may use Borrower’s name, tradenames, logos, and any information related to the transactions to the extent such information is not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12.11            Right of Set Off.</w:t>
      </w:r>
      <w:r>
        <w:rPr>
          <w:rFonts w:ascii="Times New Roman;Times;Serif" w:hAnsi="Times New Roman;Times;Serif"/>
          <w:b w:val="false"/>
          <w:i w:val="false"/>
          <w:caps w:val="false"/>
          <w:smallCaps w:val="false"/>
          <w:sz w:val="20"/>
        </w:rPr>
        <w:t xml:space="preserve"> Borrower hereby grants to Collateral Agent and to each Lender, a lien, security interest and right of set off as security 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12.12            Cooperation of Borrower.</w:t>
      </w:r>
      <w:r>
        <w:rPr>
          <w:rFonts w:ascii="Times New Roman;Times;Serif" w:hAnsi="Times New Roman;Times;Serif"/>
          <w:b w:val="false"/>
          <w:i w:val="false"/>
          <w:caps w:val="false"/>
          <w:smallCaps w:val="false"/>
          <w:sz w:val="20"/>
        </w:rPr>
        <w:t xml:space="preserve"> If necessary, Borrower agrees to (i) execute any documents (including new Secured Promissory Notes) reasonably required to effectuate and acknowledge each assignment of a Term Loan Commitment or Loan to an assignee in accordance with Section 12.1, (ii) make Borrower’s management available to meet with Collateral Agent and prospective participants and assignees of Term Loan Commitments or Credit Extensions (which meetings shall be conducted no more often than twice every twelve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12.13            Borrower Liability</w:t>
      </w:r>
      <w:r>
        <w:rPr>
          <w:rFonts w:ascii="Times New Roman;Times;Serif" w:hAnsi="Times New Roman;Times;Serif"/>
          <w:b w:val="false"/>
          <w:i w:val="false"/>
          <w:caps w:val="false"/>
          <w:smallCaps w:val="false"/>
          <w:sz w:val="20"/>
        </w:rPr>
        <w:t>. Either Borrower may, acting singly, request Credit Extensions hereunder. Each Borrower hereby appoints the other as 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and (b) any right to require Collateral Agent or any Lender to: (i) proceed against any Borrower or any other person; (ii) proceed against or exhaust any security; or (iii) pursue any other remedy. Collateral Agent and or any Lender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shall be null and void. If any payment is made to a Borrower in contravention of this Section, such Borrower shall hold such payment in trust for Collateral Agent and the Lenders and such payment shall be promptly delivered to Collateral Agent for application to the Obligations, whether matured or unmatured.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12.14            Electronic Execution of Documents</w:t>
      </w:r>
      <w:r>
        <w:rPr>
          <w:rFonts w:ascii="Times New Roman;Times;Serif" w:hAnsi="Times New Roman;Times;Serif"/>
          <w:b w:val="false"/>
          <w:i w:val="false"/>
          <w:caps w:val="false"/>
          <w:smallCaps w:val="false"/>
          <w:sz w:val="20"/>
        </w:rPr>
        <w: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            Definitions.</w:t>
      </w:r>
      <w:r>
        <w:rPr>
          <w:rFonts w:ascii="Times New Roman;Times;Serif" w:hAnsi="Times New Roman;Times;Serif"/>
          <w:b w:val="false"/>
          <w:i w:val="false"/>
          <w:caps w:val="false"/>
          <w:smallCaps w:val="false"/>
          <w:sz w:val="20"/>
        </w:rPr>
        <w:t xml:space="preserve"> As used in this Agreement,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1-Month CME Term SOFR</w:t>
      </w:r>
      <w:r>
        <w:rPr>
          <w:rFonts w:ascii="Times New Roman;Times;Serif" w:hAnsi="Times New Roman;Times;Serif"/>
          <w:b w:val="false"/>
          <w:i w:val="false"/>
          <w:caps w:val="false"/>
          <w:smallCaps w:val="false"/>
          <w:sz w:val="20"/>
        </w:rPr>
        <w:t>” is the 1-month CME Term SOFR reference rate as published by the CME Term SOFR Administrator on the CME Term SOFR Administrator’s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w:t>
      </w:r>
      <w:r>
        <w:rPr>
          <w:rFonts w:ascii="Times New Roman;Times;Serif" w:hAnsi="Times New Roman;Times;Serif"/>
          <w:b w:val="false"/>
          <w:i w:val="false"/>
          <w:caps w:val="false"/>
          <w:smallCaps w:val="false"/>
          <w:sz w:val="20"/>
        </w:rPr>
        <w:t>” is any “account” as defined in the Code with such additions to such term as may hereafter be made, and includes, without limitation, all accounts receivable and other sums owing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 Debtor</w:t>
      </w:r>
      <w:r>
        <w:rPr>
          <w:rFonts w:ascii="Times New Roman;Times;Serif" w:hAnsi="Times New Roman;Times;Serif"/>
          <w:b w:val="false"/>
          <w:i w:val="false"/>
          <w:caps w:val="false"/>
          <w:smallCaps w:val="false"/>
          <w:sz w:val="20"/>
        </w:rPr>
        <w:t>” is any “account debtor” as defined in the Code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defined in the preamble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Amortization Date</w:t>
      </w:r>
      <w:r>
        <w:rPr>
          <w:rFonts w:ascii="Times New Roman;Times;Serif" w:hAnsi="Times New Roman;Times;Serif"/>
          <w:b w:val="false"/>
          <w:i w:val="false"/>
          <w:caps w:val="false"/>
          <w:smallCaps w:val="false"/>
          <w:sz w:val="20"/>
        </w:rPr>
        <w:t>” is June 1,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Annual Projections</w:t>
      </w:r>
      <w:r>
        <w:rPr>
          <w:rFonts w:ascii="Times New Roman;Times;Serif" w:hAnsi="Times New Roman;Times;Serif"/>
          <w:b w:val="false"/>
          <w:i w:val="false"/>
          <w:caps w:val="false"/>
          <w:smallCaps w:val="false"/>
          <w:sz w:val="20"/>
        </w:rPr>
        <w:t>” is defined in Section 6.2(a).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Anti-Terrorism Laws</w:t>
      </w:r>
      <w:r>
        <w:rPr>
          <w:rFonts w:ascii="Times New Roman;Times;Serif" w:hAnsi="Times New Roman;Times;Serif"/>
          <w:b w:val="false"/>
          <w:i w:val="false"/>
          <w:caps w:val="false"/>
          <w:smallCaps w:val="false"/>
          <w:sz w:val="20"/>
        </w:rPr>
        <w:t>” are any laws relating to terrorism or money laundering, including Executive Order No. 13224 (effective September 24, 2001), the USA PATRIOT Act, the laws comprising or implementing the Bank Secrecy Act and the laws administered by OFAC.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Fund</w:t>
      </w:r>
      <w:r>
        <w:rPr>
          <w:rFonts w:ascii="Times New Roman;Times;Serif" w:hAnsi="Times New Roman;Times;Serif"/>
          <w:b w:val="false"/>
          <w:i w:val="false"/>
          <w:caps w:val="false"/>
          <w:smallCaps w:val="false"/>
          <w:sz w:val="20"/>
        </w:rPr>
        <w:t>” is any (a) Person, investment company, fund, securitization vehicle or conduit that is (or will be) engaged in making, purchasing, holding or otherwise investing in commercial loans and similar extensions of credit in the ordinary course of its business and that is administered or managed by (i) a Lender, (ii) an Affiliate of a Lender, or (iii) a Person (other than a natural person) or an Affiliate of a Person (other than a natural person) that administers or manages a Lender, or (b) any Person (other than a natural person) which temporarily warehouses loans, or provides financing or securitizations, in each case, for any Lender or any entity described in the preceding clause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Lender</w:t>
      </w:r>
      <w:r>
        <w:rPr>
          <w:rFonts w:ascii="Times New Roman;Times;Serif" w:hAnsi="Times New Roman;Times;Serif"/>
          <w:b w:val="false"/>
          <w:i w:val="false"/>
          <w:caps w:val="false"/>
          <w:smallCaps w:val="false"/>
          <w:sz w:val="20"/>
        </w:rPr>
        <w:t>” is defined in Section 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is any relevant government agency or legislature in the United States, the European Union or any of its member states or other relevant jurisdiction, including OFAC and the U.S. State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Basic Rate</w:t>
      </w:r>
      <w:r>
        <w:rPr>
          <w:rFonts w:ascii="Times New Roman;Times;Serif" w:hAnsi="Times New Roman;Times;Serif"/>
          <w:b w:val="false"/>
          <w:i w:val="false"/>
          <w:caps w:val="false"/>
          <w:smallCaps w:val="false"/>
          <w:sz w:val="20"/>
        </w:rPr>
        <w:t>” is with respect to each Term Loan, the per annum rate of interest (based on a year of three hundred sixty (360) days) equal to (a) the greater of (i) the 1-Month CME Term SOFR on the last Business Day of the month that immediately precedes the month in which the interest will accrue and (ii) five and thirty-four hundredths percent (5.34%), plus (b) five and eighty-five hundredths percent (5.85%). Notwithstanding the foregoing, (i) in no event shall the Basic Rate (x) for the Term A Loan be less than eleven and nineteen hundredths percent (11.19%) and (y) for each other Term Loan be less than the Basic Rate on the Business Day immediately prior to the Funding Date of such Term Loan, (ii) upon the occurrence of a Benchmark Transition Event, Collateral Agent may, in good faith and with reference to the margin above such interest rate in this definition, amend this Agreement in good faith to replace the Benchmark with a replacement interest rate and replacement margin above such interest rate that results in a substantially similar interest rate floor and total rate in effect immediately prior to the effectiveness of such replacement interest rate and replacement margin, and any such amendment shall become effective at 5:00 p.m. Eastern time on the third Business Day after Collateral Agent has notified Borrower and the Lenders of such amendment, (iii) the Basic Rate for the Term A Loan for the period from the Effective Date through and including December 31, 2023 shall be 11.19% and (iv)  the Basic Rate for each Term Loan shall not increase by more than two hundred basis points (2.00%) above the applicable Basic Rate as of the Funding Date of each such Term Loan. Any determination, decision or election that may be made by Collateral Agent pursuant hereto will be conclusive and binding absent manifest error and may be made in Collateral Agent’s sole discretion and without consent from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is, initially, the 1-Month CME Term SOFR; provided, that if a Benchmark Transition Event has occurred with respect to the 1-Month CME Term SOFR or the then-current Benchmark, then “Benchmark” means the applicable replacement rate that has replaced the immediately preceding benchmark rate pursuant to the defined term “Basic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announcing that such administrator has ceased or will cease to provide such Benchmark (or the published component used in the calculation thereof), permanently or indefinitely, provided that, at the time of such statement or publication, there is no successor administrator that will continue to provide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permanently or indefinitely; provided that, at the time of such statement or publication, there is no successor administrator that will continue to provide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Blocked Person</w:t>
      </w:r>
      <w:r>
        <w:rPr>
          <w:rFonts w:ascii="Times New Roman;Times;Serif" w:hAnsi="Times New Roman;Times;Serif"/>
          <w:b w:val="false"/>
          <w:i w:val="false"/>
          <w:caps w:val="false"/>
          <w:smallCaps w:val="false"/>
          <w:sz w:val="20"/>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 (f) named on the EU Consolidated Financial Sanctions List and any similar list, each as amended, supplemented or substituted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is defined in the preamble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Borrower’s Books</w:t>
      </w:r>
      <w:r>
        <w:rPr>
          <w:rFonts w:ascii="Times New Roman;Times;Serif" w:hAnsi="Times New Roman;Times;Serif"/>
          <w:b w:val="false"/>
          <w:i w:val="false"/>
          <w:caps w:val="false"/>
          <w:smallCaps w:val="false"/>
          <w:sz w:val="20"/>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Boxed Warning</w:t>
      </w:r>
      <w:r>
        <w:rPr>
          <w:rFonts w:ascii="Times New Roman;Times;Serif" w:hAnsi="Times New Roman;Times;Serif"/>
          <w:b w:val="false"/>
          <w:i w:val="false"/>
          <w:caps w:val="false"/>
          <w:smallCaps w:val="false"/>
          <w:sz w:val="20"/>
        </w:rPr>
        <w:t>” means a contraindication or serious warning required by the FDA to be presented in a box within the approved labeling of a drug product, as set forth in 21 C.F.R. Sections 201.57(a)(4) and 201.57(c)(1).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is any day that is not a Saturday, Sunday or a day on which Collateral Agent is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Collateral Agent and (d) money market funds at least 95% of which constitute Cash Equivalents of the kinds described in clauses (a) through (c) herein.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Times New Roman;Times;Serif" w:hAnsi="Times New Roman;Times;Serif"/>
          <w:b/>
          <w:i w:val="false"/>
          <w:caps w:val="false"/>
          <w:smallCaps w:val="false"/>
          <w:sz w:val="20"/>
        </w:rPr>
        <w:t>Auction Rate 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are defined in Section 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CME Term SOFR Administrator</w:t>
      </w:r>
      <w:r>
        <w:rPr>
          <w:rFonts w:ascii="Times New Roman;Times;Serif" w:hAnsi="Times New Roman;Times;Serif"/>
          <w:b w:val="false"/>
          <w:i w:val="false"/>
          <w:caps w:val="false"/>
          <w:smallCaps w:val="false"/>
          <w:sz w:val="20"/>
        </w:rPr>
        <w:t>” is CME Group Benchmark Administration Limited, as administrator of the forward-looking term SOFR,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CME Term SOFR Administrator’s Website</w:t>
      </w:r>
      <w:r>
        <w:rPr>
          <w:rFonts w:ascii="Times New Roman;Times;Serif" w:hAnsi="Times New Roman;Times;Serif"/>
          <w:b w:val="false"/>
          <w:i w:val="false"/>
          <w:caps w:val="false"/>
          <w:smallCaps w:val="false"/>
          <w:sz w:val="20"/>
        </w:rPr>
        <w:t>” is the website of the CME Group Benchmark Administrator at http://www.cmegroup.com,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xml:space="preserve">” is any and all properties, rights and assets of Borrower described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excluding all English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Account</w:t>
      </w:r>
      <w:r>
        <w:rPr>
          <w:rFonts w:ascii="Times New Roman;Times;Serif" w:hAnsi="Times New Roman;Times;Serif"/>
          <w:b w:val="false"/>
          <w:i w:val="false"/>
          <w:caps w:val="false"/>
          <w:smallCaps w:val="false"/>
          <w:sz w:val="20"/>
        </w:rPr>
        <w:t>” is any Deposit Account, Securities Account, or Commodity Account, or any other bank account maintained by any Loan Party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is Oxford, not in its individual capacity, but solely in its capacity as agent on behalf of and for the benefit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Percentage</w:t>
      </w:r>
      <w:r>
        <w:rPr>
          <w:rFonts w:ascii="Times New Roman;Times;Serif" w:hAnsi="Times New Roman;Times;Serif"/>
          <w:b w:val="false"/>
          <w:i w:val="false"/>
          <w:caps w:val="false"/>
          <w:smallCaps w:val="false"/>
          <w:sz w:val="20"/>
        </w:rPr>
        <w:t xml:space="preserve">” is set forth in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Commodity Account</w:t>
      </w:r>
      <w:r>
        <w:rPr>
          <w:rFonts w:ascii="Times New Roman;Times;Serif" w:hAnsi="Times New Roman;Times;Serif"/>
          <w:b w:val="false"/>
          <w:i w:val="false"/>
          <w:caps w:val="false"/>
          <w:smallCaps w:val="false"/>
          <w:sz w:val="20"/>
        </w:rPr>
        <w:t>” is any “commodity account” as defined in the Code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is defined in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xml:space="preserve">” is that certain certificate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 Agreement</w:t>
      </w:r>
      <w:r>
        <w:rPr>
          <w:rFonts w:ascii="Times New Roman;Times;Serif" w:hAnsi="Times New Roman;Times;Serif"/>
          <w:b w:val="false"/>
          <w:i w:val="false"/>
          <w:caps w:val="false"/>
          <w:smallCaps w:val="false"/>
          <w:sz w:val="20"/>
        </w:rPr>
        <w:t>” is any control agreement entered into among the depository institution at which any Loan Party maintains a Deposit Account or the securities intermediary or commodity intermediary at which such Loan Party maintains a Securities Account or a Commodity Account, such Loan Party and Collateral Agent pursuant to which Collateral Agent obtains control (within the meaning of the Code) for the benefit of the Lenders over such Deposit Account, Securities Account, or Commodity Account; provided that with respect to any such accounts maintained outside of the United States, subject to foreign security documents customary for accounts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are any and all copyright rights, copyright applications, copyright registrations and like protections in each work or authorship and derivative work thereof, whether published or unpublished and whether or not the same also constitutes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Certificate</w:t>
      </w:r>
      <w:r>
        <w:rPr>
          <w:rFonts w:ascii="Times New Roman;Times;Serif" w:hAnsi="Times New Roman;Times;Serif"/>
          <w:b w:val="false"/>
          <w:i w:val="false"/>
          <w:caps w:val="false"/>
          <w:smallCaps w:val="false"/>
          <w:sz w:val="20"/>
        </w:rPr>
        <w:t xml:space="preserve">” is that certain certificate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Extension</w:t>
      </w:r>
      <w:r>
        <w:rPr>
          <w:rFonts w:ascii="Times New Roman;Times;Serif" w:hAnsi="Times New Roman;Times;Serif"/>
          <w:b w:val="false"/>
          <w:i w:val="false"/>
          <w:caps w:val="false"/>
          <w:smallCaps w:val="false"/>
          <w:sz w:val="20"/>
        </w:rPr>
        <w:t>” is any Term Loan or any other extension of credit by Lenders for Borrower’s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is defined in Section 2.3(b).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 Account</w:t>
      </w:r>
      <w:r>
        <w:rPr>
          <w:rFonts w:ascii="Times New Roman;Times;Serif" w:hAnsi="Times New Roman;Times;Serif"/>
          <w:b w:val="false"/>
          <w:i w:val="false"/>
          <w:caps w:val="false"/>
          <w:smallCaps w:val="false"/>
          <w:sz w:val="20"/>
        </w:rPr>
        <w:t>” is any “deposit account” as defined in the Code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Deposit Account</w:t>
      </w:r>
      <w:r>
        <w:rPr>
          <w:rFonts w:ascii="Times New Roman;Times;Serif" w:hAnsi="Times New Roman;Times;Serif"/>
          <w:b w:val="false"/>
          <w:i w:val="false"/>
          <w:caps w:val="false"/>
          <w:smallCaps w:val="false"/>
          <w:sz w:val="20"/>
        </w:rPr>
        <w:t>” is Borrower’s deposit account, account number ending (last 4 digits) [***], maintained with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Disbursement Letter</w:t>
      </w:r>
      <w:r>
        <w:rPr>
          <w:rFonts w:ascii="Times New Roman;Times;Serif" w:hAnsi="Times New Roman;Times;Serif"/>
          <w:b w:val="false"/>
          <w:i w:val="false"/>
          <w:caps w:val="false"/>
          <w:smallCaps w:val="false"/>
          <w:sz w:val="20"/>
        </w:rPr>
        <w:t xml:space="preserve">” is that certain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Division</w:t>
      </w:r>
      <w:r>
        <w:rPr>
          <w:rFonts w:ascii="Times New Roman;Times;Serif" w:hAnsi="Times New Roman;Times;Serif"/>
          <w:b w:val="false"/>
          <w:i w:val="false"/>
          <w:caps w:val="false"/>
          <w:smallCaps w:val="false"/>
          <w:sz w:val="20"/>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 each mean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means a Subsidiary organized under the laws of the United States or any state or territory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is defined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Assignee</w:t>
      </w:r>
      <w:r>
        <w:rPr>
          <w:rFonts w:ascii="Times New Roman;Times;Serif" w:hAnsi="Times New Roman;Times;Serif"/>
          <w:b w:val="false"/>
          <w:i w:val="false"/>
          <w:caps w:val="false"/>
          <w:smallCaps w:val="false"/>
          <w:sz w:val="20"/>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English Collateral</w:t>
      </w:r>
      <w:r>
        <w:rPr>
          <w:rFonts w:ascii="Times New Roman;Times;Serif" w:hAnsi="Times New Roman;Times;Serif"/>
          <w:b w:val="false"/>
          <w:i w:val="false"/>
          <w:caps w:val="false"/>
          <w:smallCaps w:val="false"/>
          <w:sz w:val="20"/>
        </w:rPr>
        <w:t>” is any and all properties, rights and assets of the Parent, the subject of the English Security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English Security Document</w:t>
      </w:r>
      <w:r>
        <w:rPr>
          <w:rFonts w:ascii="Times New Roman;Times;Serif" w:hAnsi="Times New Roman;Times;Serif"/>
          <w:b w:val="false"/>
          <w:i w:val="false"/>
          <w:caps w:val="false"/>
          <w:smallCaps w:val="false"/>
          <w:sz w:val="20"/>
        </w:rPr>
        <w:t>” means the all-asset debenture (subject to any exclusions set forth therein) entered into by Parent and the Collateral Agent incorporating first ranking fixed and floating charges over all of the assets and undertaking of the Parent to secure Parent’s obligations under the Parent Guaranty, as the same may from time to time be amended, restated, modified or otherwise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Equipment</w:t>
      </w:r>
      <w:r>
        <w:rPr>
          <w:rFonts w:ascii="Times New Roman;Times;Serif" w:hAnsi="Times New Roman;Times;Serif"/>
          <w:b w:val="false"/>
          <w:i w:val="false"/>
          <w:caps w:val="false"/>
          <w:smallCaps w:val="false"/>
          <w:sz w:val="20"/>
        </w:rPr>
        <w:t>” is all “equipment” as defined in the Code with such additions to such term as may hereafter be made, and includes without limitation all machinery, fixtures, goods, vehicles (including motor vehicles and trailers), and any interest in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is the Employee Retirement Income Security Act of 1974, as amended, and its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is defined in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Indebtedness</w:t>
      </w:r>
      <w:r>
        <w:rPr>
          <w:rFonts w:ascii="Times New Roman;Times;Serif" w:hAnsi="Times New Roman;Times;Serif"/>
          <w:b w:val="false"/>
          <w:i w:val="false"/>
          <w:caps w:val="false"/>
          <w:smallCaps w:val="false"/>
          <w:sz w:val="20"/>
        </w:rPr>
        <w:t>” is the indebtedness of Borrower to OXFORD FINANCE LUXEMBOURG S.À R.L., a Luxembourg private limited liability company (société à responsabilité limitée) with registered office at 2 route d’Arlon, 8008 Strassen, Grand Duchy of Luxembourg and registered with the Luxembourg commercial register under number B243395, acting in respect of its Compartment 7, pursuant to that certain Loan and Security Agreement, dated as of October 14, 2022, entered into by and between OXFORD FINANCE LUXEMBOURG S.À R.L., Parent, Borrower, and lenders party thereto, as amended, restated, amended and restated, supplemented, or otherwise modified from time to time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xml:space="preserve"> means the United States Food and Drug Administration,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FDA Approval Milestone</w:t>
      </w:r>
      <w:r>
        <w:rPr>
          <w:rFonts w:ascii="Times New Roman;Times;Serif" w:hAnsi="Times New Roman;Times;Serif"/>
          <w:b w:val="false"/>
          <w:i w:val="false"/>
          <w:caps w:val="false"/>
          <w:smallCaps w:val="false"/>
          <w:sz w:val="20"/>
        </w:rPr>
        <w:t>” is the receipt by Borrower, prior to September 15, 2024, of the approval from FDA for Borrower’s New Drug Application for Ensifentrine (NDA # 217389) with an Indications and Usage section of the label stating that Ensifentrine is indicated for the maintenance treatment of patients with chronic obstructive pulmonary disease, with no Boxed Warning.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Payment</w:t>
      </w:r>
      <w:r>
        <w:rPr>
          <w:rFonts w:ascii="Times New Roman;Times;Serif" w:hAnsi="Times New Roman;Times;Serif"/>
          <w:b w:val="false"/>
          <w:i w:val="false"/>
          <w:caps w:val="false"/>
          <w:smallCaps w:val="false"/>
          <w:sz w:val="20"/>
        </w:rPr>
        <w:t>” is a payment (in addition to and not a substitution for the regular monthly payments of principal plus accrued interest) due on the earliest to occur of (a) the Maturity Date, (b) the acceleration of any funded Term Loan, or (c) the prepayment of a Term Loan pursuant to Section 2.2(c) or (d), equal to the original principal amount of such funded Term Loan multiplied by the Final Payment Percentage, payable to Lenders in accordance with their respective Pro Rata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Payment Percentage</w:t>
      </w:r>
      <w:r>
        <w:rPr>
          <w:rFonts w:ascii="Times New Roman;Times;Serif" w:hAnsi="Times New Roman;Times;Serif"/>
          <w:b w:val="false"/>
          <w:i w:val="false"/>
          <w:caps w:val="false"/>
          <w:smallCaps w:val="false"/>
          <w:sz w:val="20"/>
        </w:rPr>
        <w:t>” is (i) two and fifty hundredths percent (2.50%), if the Term Loans are fully repaid on or prior to the date that is the first anniversary of the Effective Date, (ii) three percent (3.00%), if the Term Loans are fully repaid after the date that is the first anniversary of the Effective Date and on or prior to the date that is the second anniversary of the Effective Date and (iii) three and fifty hundredths percent (3.50%), if the Term Loans are fully repaid after the date that is the second anniversary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Forecast Revenues” </w:t>
      </w:r>
      <w:r>
        <w:rPr>
          <w:rFonts w:ascii="Times New Roman;Times;Serif" w:hAnsi="Times New Roman;Times;Serif"/>
          <w:b w:val="false"/>
          <w:i w:val="false"/>
          <w:caps w:val="false"/>
          <w:smallCaps w:val="false"/>
          <w:sz w:val="20"/>
        </w:rPr>
        <w:t>means covenant-adjusted revenue projections attached hereto as Schedule 2; provided, however, that at its election, Borrower may update the projections once at the time the Borrower requests the Term B Loan but in no event later than June 30, 2024, provided that such updated projections will remain subject to Lenders’ review and approval at their sole, but reasonable, discretion and until such time as such updated projections have been approved by the Lenders in writing (which may be by email), they will not constitute Forecast Revenues for the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is a Subsidiary 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Fourth Draw Period</w:t>
      </w:r>
      <w:r>
        <w:rPr>
          <w:rFonts w:ascii="Times New Roman;Times;Serif" w:hAnsi="Times New Roman;Times;Serif"/>
          <w:b w:val="false"/>
          <w:i w:val="false"/>
          <w:caps w:val="false"/>
          <w:smallCaps w:val="false"/>
          <w:sz w:val="20"/>
        </w:rPr>
        <w:t>” is the period commencing on the later of (i) February 15, 2026 and (ii) the date of occurrence of the Fourth Draw Period Commencement Event and ending on the earlier of (i) May 15, 2026 and (ii) the occurrence of an Event of Default; provided, however, the Fourth Draw Period shall not commence if on the date of occurrence of the Fourth Draw Period Commencement Event,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Fourth Draw Period Commencement Event</w:t>
      </w:r>
      <w:r>
        <w:rPr>
          <w:rFonts w:ascii="Times New Roman;Times;Serif" w:hAnsi="Times New Roman;Times;Serif"/>
          <w:b w:val="false"/>
          <w:i w:val="false"/>
          <w:caps w:val="false"/>
          <w:smallCaps w:val="false"/>
          <w:sz w:val="20"/>
        </w:rPr>
        <w:t>” is the satisfaction of the following: (i) the achievement by the Loan Parties of consolidated Trailing Six Month Ensifentrine Revenues equal to at least [***] for the trailing 6-month period ending on the last date of the most recent month for which financial statements have been delivered by Borrower in accordance with Section 6.2(a)(i) immediately prior to the Funding Date of the Term D Loan, but in any case, such achievement shall be no later than March 31, 2026; and (ii) the Term C Loans have been fully drawn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Funding Date</w:t>
      </w:r>
      <w:r>
        <w:rPr>
          <w:rFonts w:ascii="Times New Roman;Times;Serif" w:hAnsi="Times New Roman;Times;Serif"/>
          <w:b w:val="false"/>
          <w:i w:val="false"/>
          <w:caps w:val="false"/>
          <w:smallCaps w:val="false"/>
          <w:sz w:val="20"/>
        </w:rPr>
        <w:t>” is any date on which a Credit Extension is made to or on account of Borrower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General Intangibles</w:t>
      </w:r>
      <w:r>
        <w:rPr>
          <w:rFonts w:ascii="Times New Roman;Times;Serif" w:hAnsi="Times New Roman;Times;Serif"/>
          <w:b w:val="false"/>
          <w:i w:val="false"/>
          <w:caps w:val="false"/>
          <w:smallCaps w:val="false"/>
          <w:sz w:val="20"/>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Approval</w:t>
      </w:r>
      <w:r>
        <w:rPr>
          <w:rFonts w:ascii="Times New Roman;Times;Serif" w:hAnsi="Times New Roman;Times;Serif"/>
          <w:b w:val="false"/>
          <w:i w:val="false"/>
          <w:caps w:val="false"/>
          <w:smallCaps w:val="false"/>
          <w:sz w:val="20"/>
        </w:rPr>
        <w:t>” is any consent, authorization, approval, order, license, franchise, permit, certificate, accreditation, registration, filing or notice, of, issued by, from or to, or other act by or in respect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is any Person providing a Guaranty in favor of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is any guarantee of all or any part of the Obligations, as the same may from time to time be amended, restated, modified or otherwise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is (a) indebtedness for borrowed money or the deferred price of property or services, such as reimbursement and other obligations for surety bonds and letters of credit, (b) obligations evidenced by notes, bonds, debentures or similar instruments, (c) capital lease obligations (provided, that all obligations that would be characterized as operating leases for purposes of GAAP prior to the issuance by the Financial Accounting Standards Board on February 25, 2016 of an Accounting Standards Update (the “ASU”)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the ASU (on a prospective or retroactive basis or otherwise) to be treated as capital lease obligations), and (d) Contingent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Indications and Usage</w:t>
      </w:r>
      <w:r>
        <w:rPr>
          <w:rFonts w:ascii="Times New Roman;Times;Serif" w:hAnsi="Times New Roman;Times;Serif"/>
          <w:b w:val="false"/>
          <w:i w:val="false"/>
          <w:caps w:val="false"/>
          <w:smallCaps w:val="false"/>
          <w:sz w:val="20"/>
        </w:rPr>
        <w:t>” means the section of the FDA-approved labeling for a drug product that states such drug is indicated for the treatment, prevention, mitigation, cure, or diagnosis of a recognized disease or condition, or of a manifestation of a recognized disease or condition, or for the relief of symptoms associated with a recognized disease or condition, as set forth in 21 C.F.R. Section 201.57(c)(2).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is defined in Section 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Act</w:t>
      </w:r>
      <w:r>
        <w:rPr>
          <w:rFonts w:ascii="Times New Roman;Times;Serif" w:hAnsi="Times New Roman;Times;Serif"/>
          <w:b w:val="false"/>
          <w:i w:val="false"/>
          <w:caps w:val="false"/>
          <w:smallCaps w:val="false"/>
          <w:sz w:val="20"/>
        </w:rPr>
        <w:t>” is the Insolvency Act of 1986, as amended,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is any proceeding by or against any Person under the United States Bankruptcy Code, the Insolvency Act, or any other bankruptcy or insolvency law, including assignments for the benefit of creditors, compositions, extensions generally with its creditors, or proceedings seeking reorganization, arrangement, or other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Insolvent</w:t>
      </w:r>
      <w:r>
        <w:rPr>
          <w:rFonts w:ascii="Times New Roman;Times;Serif" w:hAnsi="Times New Roman;Times;Serif"/>
          <w:b w:val="false"/>
          <w:i w:val="false"/>
          <w:caps w:val="false"/>
          <w:smallCaps w:val="false"/>
          <w:sz w:val="20"/>
        </w:rPr>
        <w:t>” means not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of a Person’s right, title and interest in and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its Copyrights, Trademarks and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and all trade secrets and trade secret rights, including, without limitation, any rights to unpatented inventions, know-how, operating manuals;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and all source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and all design rights which may be available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and all claims for damages by way of past, present and future infringement of any of the foregoing, with the right, but not the obligation, to sue for and collect such damages for said use or infringement of the Intellectual Property rights identified above;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amendments, renewals and extensions of any of the Copyrights, Trademarks or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references to “Intellectual Property” in this Agreement shall be construed as references to Intellectual Property of each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Inventory</w:t>
      </w:r>
      <w:r>
        <w:rPr>
          <w:rFonts w:ascii="Times New Roman;Times;Serif" w:hAnsi="Times New Roman;Times;Serif"/>
          <w:b w:val="false"/>
          <w:i w:val="false"/>
          <w:caps w:val="false"/>
          <w:smallCaps w:val="false"/>
          <w:sz w:val="20"/>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is any beneficial ownership interest in any Person (including stock, partnership interest or other securities), and any loan, advance or capital contribution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IP Agreement</w:t>
      </w:r>
      <w:r>
        <w:rPr>
          <w:rFonts w:ascii="Times New Roman;Times;Serif" w:hAnsi="Times New Roman;Times;Serif"/>
          <w:b w:val="false"/>
          <w:i w:val="false"/>
          <w:caps w:val="false"/>
          <w:smallCaps w:val="false"/>
          <w:sz w:val="20"/>
        </w:rPr>
        <w:t>” is that certain Intellectual Property Security Agreement entered into by and between Loan Parties and Collateral Agent dated as of the IP Lien Mandatory Time, as such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IP Lien Mandatory Time</w:t>
      </w:r>
      <w:r>
        <w:rPr>
          <w:rFonts w:ascii="Times New Roman;Times;Serif" w:hAnsi="Times New Roman;Times;Serif"/>
          <w:b w:val="false"/>
          <w:i w:val="false"/>
          <w:caps w:val="false"/>
          <w:smallCaps w:val="false"/>
          <w:sz w:val="20"/>
        </w:rPr>
        <w:t>” is the earlier of (i) the Funding Date of any Credit Extension that would cause the aggregate principal amount of Credit Extensions made pursuant to this Agreement to exceed Fifty Million Dollars ($50,000,000.00) or (ii) the date that is at least five (5) days prior to any Loan Party (or such shorter period as agreed by Collateral Agent in its sole discretion) enters into any Permitted Royalty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Key Person</w:t>
      </w:r>
      <w:r>
        <w:rPr>
          <w:rFonts w:ascii="Times New Roman;Times;Serif" w:hAnsi="Times New Roman;Times;Serif"/>
          <w:b w:val="false"/>
          <w:i w:val="false"/>
          <w:caps w:val="false"/>
          <w:smallCaps w:val="false"/>
          <w:sz w:val="20"/>
        </w:rPr>
        <w:t>” is each of Borrower’s (i) Chief Executive Officer, who is David Zaccardelli as of the Effective Date, (ii) Chief Financial Officer, who is Mark W. Hahn as of the Effective Date and (iii) Chief Medical Officer, who is Kathleen Rickard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Legal Reservations</w:t>
      </w:r>
      <w:r>
        <w:rPr>
          <w:rFonts w:ascii="Times New Roman;Times;Serif" w:hAnsi="Times New Roman;Times;Serif"/>
          <w:b w:val="false"/>
          <w:i w:val="false"/>
          <w:caps w:val="false"/>
          <w:smallCaps w:val="false"/>
          <w:sz w:val="20"/>
        </w:rPr>
        <w:t>” are: (i) the principle that the principle that equitable remedies may be granted or refused at the discretion of a court and the limitation of enforcement by laws relating to insolvency, reorganisation and other laws generally affecting the rights of creditors; (ii) the time barring of claims under the Limitation Acts, the possibility that an undertaking to assume liability for or indemnify a person against non-payment of UK stamp duty may be void and defences of set-off or counterclaim; and (ii) similar principles, rights and defences under the laws of the United States or the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is any one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 Intercreditor Agreement</w:t>
      </w:r>
      <w:r>
        <w:rPr>
          <w:rFonts w:ascii="Times New Roman;Times;Serif" w:hAnsi="Times New Roman;Times;Serif"/>
          <w:b w:val="false"/>
          <w:i w:val="false"/>
          <w:caps w:val="false"/>
          <w:smallCaps w:val="false"/>
          <w:sz w:val="20"/>
        </w:rPr>
        <w:t>” is that certain intercreditor agreement entered into by the Lenders and Collateral Agent on the Effective Date,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xml:space="preserve">” are the Persons identified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hereto and each assignee that becomes a party to this Agreement pursuant to Section 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 Expenses</w:t>
      </w:r>
      <w:r>
        <w:rPr>
          <w:rFonts w:ascii="Times New Roman;Times;Serif" w:hAnsi="Times New Roman;Times;Serif"/>
          <w:b w:val="false"/>
          <w:i w:val="false"/>
          <w:caps w:val="false"/>
          <w:smallCaps w:val="false"/>
          <w:sz w:val="20"/>
        </w:rPr>
        <w:t>” are all audit fees and expenses, costs, and expenses (including reasonable and documented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Agreement</w:t>
      </w:r>
      <w:r>
        <w:rPr>
          <w:rFonts w:ascii="Times New Roman;Times;Serif" w:hAnsi="Times New Roman;Times;Serif"/>
          <w:b w:val="false"/>
          <w:i w:val="false"/>
          <w:caps w:val="false"/>
          <w:smallCaps w:val="false"/>
          <w:sz w:val="20"/>
        </w:rPr>
        <w:t>” is that certain Prepayment Fee Letter dated as of the Effective Date by and among Collateral Agent, Borrower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is a claim, mortgage, deed of trust, levy, charge, pledge, security interest, or other encumbrance of any kind, whether voluntarily incurred or arising by operation of law or otherwise against any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Limitation Acts</w:t>
      </w:r>
      <w:r>
        <w:rPr>
          <w:rFonts w:ascii="Times New Roman;Times;Serif" w:hAnsi="Times New Roman;Times;Serif"/>
          <w:b w:val="false"/>
          <w:i w:val="false"/>
          <w:caps w:val="false"/>
          <w:smallCaps w:val="false"/>
          <w:sz w:val="20"/>
        </w:rPr>
        <w:t>” are the Limitation Act 1980 and the Foreign Limitation Periods Act 1984.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are, collectively, this Agreement, the Perfection Certificates, each Compliance Certificate, each Disbursement Letter, the English Security Document, the Parent Guaranty, from and at all times after the IP Lien Mandatory Time, the IP Agreement,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Party</w:t>
      </w:r>
      <w:r>
        <w:rPr>
          <w:rFonts w:ascii="Times New Roman;Times;Serif" w:hAnsi="Times New Roman;Times;Serif"/>
          <w:b w:val="false"/>
          <w:i w:val="false"/>
          <w:caps w:val="false"/>
          <w:smallCaps w:val="false"/>
          <w:sz w:val="20"/>
        </w:rPr>
        <w:t>” is each Borrower, co-Borrower and a Guarantor (including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is (a) a material impairment in the perfection or priority of Collateral Agent’s Lien in the Collateral (or English Collateral) or in the value of such Collateral (or English Collateral); (b) a material adverse change in the business, operations or condition (financial or otherwise) of Borrower, or of Borrower and its Subsidiaries taken as a whole; or (c) a material impairment of the prospect of repayment of any portion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Agreement</w:t>
      </w:r>
      <w:r>
        <w:rPr>
          <w:rFonts w:ascii="Times New Roman;Times;Serif" w:hAnsi="Times New Roman;Times;Serif"/>
          <w:b w:val="false"/>
          <w:i w:val="false"/>
          <w:caps w:val="false"/>
          <w:smallCaps w:val="false"/>
          <w:sz w:val="20"/>
        </w:rPr>
        <w:t>” means (a) the Material License and (b) any license, agreement or other contractual arrangement to which any Loan Party or any of its Subsidiaries is party, which is required to be filed as an exhibit to the Parent’s filings with the Securities and Exchange Commission pursuant to Item 601(b)(4) or Item 601(b)(10) of Regulation S-K promulgated by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Capitalization</w:t>
      </w:r>
      <w:r>
        <w:rPr>
          <w:rFonts w:ascii="Times New Roman;Times;Serif" w:hAnsi="Times New Roman;Times;Serif"/>
          <w:b w:val="false"/>
          <w:i w:val="false"/>
          <w:caps w:val="false"/>
          <w:smallCaps w:val="false"/>
          <w:sz w:val="20"/>
        </w:rPr>
        <w:t>” means, for any given date of determination, an amount equal to (a) the average of the daily volume weighted average price of Parent’s American Depositary Shares as reported for each of the five (5) trading days preceding such date of determination (it being understood that a “trading day” shall mean a day on which American Depositary Shares of Parent trade on the NASDAQ (or, if the primary listing of such American Depositary Shares is on another exchange, on such other exchange) in an ordinary trading session) multiplied by (b) the total number of American Depositary Shares of Parent that are issued and outstanding on the date of the determination and listed on the NASDAQ (or, if the primary listing of such American Depositary Shares is on another exchange, on such other exchange), subject to appropriate adjustment for any stock dividend, stock split, stock combination, reclassification or other similar transaction during the applicable calculation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Material License” </w:t>
      </w:r>
      <w:r>
        <w:rPr>
          <w:rFonts w:ascii="Times New Roman;Times;Serif" w:hAnsi="Times New Roman;Times;Serif"/>
          <w:b w:val="false"/>
          <w:i w:val="false"/>
          <w:caps w:val="false"/>
          <w:smallCaps w:val="false"/>
          <w:sz w:val="20"/>
        </w:rPr>
        <w:t xml:space="preserve">is that certain </w:t>
      </w:r>
      <w:r>
        <w:rPr>
          <w:rFonts w:ascii="Times New Roman;Times;Serif" w:hAnsi="Times New Roman;Times;Serif"/>
          <w:b w:val="false"/>
          <w:i w:val="false"/>
          <w:caps w:val="false"/>
          <w:smallCaps w:val="false"/>
          <w:color w:val="212529"/>
          <w:sz w:val="20"/>
          <w:shd w:fill="FFFFFF" w:val="clear"/>
        </w:rPr>
        <w:t> Intellectual Property Assignment and License Agreement, dated as of February 7, 2005, by and between Ligand UK Development Limited (as successor-in-interest to Vernalis Development Limited) and Parent (as successor-in-interest to Rhinopharma Ltd.), as amended prior to the Effective Date and as amended from time to time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Products</w:t>
      </w:r>
      <w:r>
        <w:rPr>
          <w:rFonts w:ascii="Times New Roman;Times;Serif" w:hAnsi="Times New Roman;Times;Serif"/>
          <w:b w:val="false"/>
          <w:i w:val="false"/>
          <w:caps w:val="false"/>
          <w:smallCaps w:val="false"/>
          <w:sz w:val="20"/>
        </w:rPr>
        <w:t>” means all products, software, service offerings, technical data or technology currently being designed, manufactured or sold or that are under preclinical or clinical investigation or development by any Loan Party or which Loan Party intends to sell, license, or distribute in the future including any products or service offerings under development, collectively, together with all products, software, service offerings, technical data or technology that have been sold, licensed or distributed, including, without limitation, Ensifentrine.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is, for each Term Loan, December 1,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Minimum Liquidity Amount</w:t>
      </w:r>
      <w:r>
        <w:rPr>
          <w:rFonts w:ascii="Times New Roman;Times;Serif" w:hAnsi="Times New Roman;Times;Serif"/>
          <w:b w:val="false"/>
          <w:i w:val="false"/>
          <w:caps w:val="false"/>
          <w:smallCaps w:val="false"/>
          <w:sz w:val="20"/>
        </w:rPr>
        <w:t>” is equal to: (i) Twenty Five Million Dollars ($25,000,000) prior to the funding of the Term B Loan, (ii) Forty Million Dollars ($40,000,000) after the funding of the Term B Loan but prior to the Fourth Draw Period Commencement Event occurring and (iii) Twenty Million Dollars ($20,000,000) upon the occurrence of clause (i) of the Fourth Draw Period Commencement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Drug Application</w:t>
      </w:r>
      <w:r>
        <w:rPr>
          <w:rFonts w:ascii="Times New Roman;Times;Serif" w:hAnsi="Times New Roman;Times;Serif"/>
          <w:b w:val="false"/>
          <w:i w:val="false"/>
          <w:caps w:val="false"/>
          <w:smallCaps w:val="false"/>
          <w:sz w:val="20"/>
        </w:rPr>
        <w:t>” means a new drug application, submitted to the FDA pursuant to 21 U.S.C. § 355 seeking authorization to market a drug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are all of Borrower’s obligations to pay when due any debts, principal, interest, Lenders’ Expenses, the Prepayment Fee, the Final Payment, and other amounts Borrower owes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Borrower assigned to the Lenders and/or Collateral Agent, and the performance of Borrower’s duties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is the U.S. Department of Treasury Office of Foreign Assets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 Lists</w:t>
      </w:r>
      <w:r>
        <w:rPr>
          <w:rFonts w:ascii="Times New Roman;Times;Serif" w:hAnsi="Times New Roman;Times;Serif"/>
          <w:b w:val="false"/>
          <w:i w:val="false"/>
          <w:caps w:val="false"/>
          <w:smallCaps w:val="false"/>
          <w:sz w:val="20"/>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Operating Documents</w:t>
      </w:r>
      <w:r>
        <w:rPr>
          <w:rFonts w:ascii="Times New Roman;Times;Serif" w:hAnsi="Times New Roman;Times;Serif"/>
          <w:b w:val="false"/>
          <w:i w:val="false"/>
          <w:caps w:val="false"/>
          <w:smallCaps w:val="false"/>
          <w:sz w:val="20"/>
        </w:rPr>
        <w:t>” are, for any Person, such Person’s formation documents or incorporation documents, as certified by the Secretary of State (or equivalent agency (where applicable)) of such Person’s jurisdiction of organization or incorporation on a date that is no earlier than thirty (30) days prior to the Effective Date, and, (a) if such Person is a corporation, its bylaws or articles of incorporation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Oxford</w:t>
      </w:r>
      <w:r>
        <w:rPr>
          <w:rFonts w:ascii="Times New Roman;Times;Serif" w:hAnsi="Times New Roman;Times;Serif"/>
          <w:b w:val="false"/>
          <w:i w:val="false"/>
          <w:caps w:val="false"/>
          <w:smallCaps w:val="false"/>
          <w:sz w:val="20"/>
        </w:rPr>
        <w:t>” is defined in the preamble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is VERONA PHARMA PLC, a public limited company incorporated and existing under the laws of England with company registration number 05375156.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Guaranty</w:t>
      </w:r>
      <w:r>
        <w:rPr>
          <w:rFonts w:ascii="Times New Roman;Times;Serif" w:hAnsi="Times New Roman;Times;Serif"/>
          <w:b w:val="false"/>
          <w:i w:val="false"/>
          <w:caps w:val="false"/>
          <w:smallCaps w:val="false"/>
          <w:sz w:val="20"/>
        </w:rPr>
        <w:t>” is the secured Guaranty, governed by the laws of England, entered into by Parent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means all patents, patent applications and like protections including without limitation improvements, divisions, continuations, renewals, reissues, extensions and continuations-in-part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is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calendar day of each calendar month, commencing on February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Perfection Certificates</w:t>
      </w:r>
      <w:r>
        <w:rPr>
          <w:rFonts w:ascii="Times New Roman;Times;Serif" w:hAnsi="Times New Roman;Times;Serif"/>
          <w:b w:val="false"/>
          <w:i w:val="false"/>
          <w:caps w:val="false"/>
          <w:smallCaps w:val="false"/>
          <w:sz w:val="20"/>
        </w:rPr>
        <w:t>” is defined in Section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means an acquisition pursuant to which any Loan Party acquires a Person or all or substantially all of the property and assets or business of another Person or assets constituting a business unit, line of business or division of such Person, to the extent that each of the following conditions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and after giving effect thereto, no Event of Default shall have occurred and be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transactions in connection therewith shall be consummated, in all material respects,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acquired Person or assets shall be in the same line of business as is conducted by the Loan Parties as of the Effective Date (or a line of business reasonably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acquisition shall not cause the focus or locations of the Loan Parties’ operations (when taken as a whole) to be located outside of the United States or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last paragraph of this defined term, such acquisition(s) may be conducted in the United States or United Kingdom (or in other jurisdictions so long as all assets and/or entities that are the subject of such acquisitions are Transferred to a Loan Party within 120 days of the consummation of such acquisition) so long as Collateral Agent, for the ratable benefit of the Lenders, receives a first priority perfected Lien (subject to Permitted Liens) on all entities and/or assets acquired in connection with such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case of the purchase or other acquisition of Shares, all of the Shares acquired or otherwise issued by such Person or any newly formed Subsidiary in connection with such acquisition shall be wholly owned by the applicable Loan Party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connection with such acquisition, neither Borrower nor any of its Subsidiaries (including for this purpose, the target of the acquisition) shall acquire or be subject to any Indebtedness or Liens that are not otherwise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cash consideration for Permitted Acquisitions shall not exceed (x) Twenty Million Dollars ($20,000,000) or (y) Forty Million Dollars ($40,000,000) if the FDA Approval Milestone has been met, in each case in the aggregate over the term of this Agreement; provided, however, if after the achievement of the FDA Approval Milestone, Ensifentrine becomes ineligible for sale in the United States, no cash consideration may be used for Permitted Acquisitions during such sale ineligibility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Borrower shall have delivered to the Collateral Agent and Lenders at least five (5) Business Days (or such shorter period as may be acceptable to Collateral Agent and Lenders) prior to such proposed acquisition (i) a copy of the purchase agreement related to the proposed acquisition (and any related documents reasonably requested by the Collateral Agent and Lenders), (ii) a general description of the acquired assets or acquired business line or unit or division, and the competitive position of such business line or unit or division within the industry, (iii) the sources and uses of funds to finance the proposed acquisition, and (iv) to the extent available, quarterly and annual audited financial statements of the Person whose Shares or assets are being acquired for the twelve (12) month period immediately prior to such proposed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Collateral Agent and the Lenders have received a certificate from a Responsible Officer together with Board approved projections certifying and setting forth in reasonable detail that Borrower has enough cash on hand to pay its projected expenses and all debt service when due for a period of twelve (12) months after the consummation of such transaction (after giving effect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such Permitted Acquisition shall be consensual and shall have been approved by the target’s board of directors;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aggregate consideration paid via equity interests of the Parent during the term of this Agreement shall not exceed One Hundred Million Dollars ($100,000,000.00).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in order for any acquisition of Shares or assets of another Person to constitute a Permitted Acquisition, Borrower must comply with all of the following: (a) subject to clause (e) of the defined term “Permitted Acquisitions”, within thirty (30) Business Days of the closing of such Permitted Acquisition, the applicable Borrower (or Subsidiary) making such Permitted Acquisition and the target, if applicable, shall have executed such documents and taken such actions as may be required under Section 6.12; (b) such other financial information, financial analysis, documentation or other information relating to such Permitted Acquisition as was reasonably requested by each Lender or Collateral Agent; (c) on or prior to the date of such Permitted Acquisition, the Collateral Agent and Lenders shall have received, in form and substance reasonably satisfactory to the Collateral Agent and Lenders, a certificate of the Responsible Officer of Borrower certifying compliance with the requirements contained in this definition of “Permitted Acquisition” and with the other terms of the Loan Documents (before and after giving effect to such Permitted Acquisition); and (d) Borrower shall provide to the Collateral Agent and Lenders as soon as available but in any event not later than five (5) Business Days after the execution thereof, a copy of the executed purchase agreement or similar agreement with respect to any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Bond Hedge Transaction</w:t>
      </w:r>
      <w:r>
        <w:rPr>
          <w:rFonts w:ascii="Times New Roman;Times;Serif" w:hAnsi="Times New Roman;Times;Serif"/>
          <w:b w:val="false"/>
          <w:i w:val="false"/>
          <w:caps w:val="false"/>
          <w:smallCaps w:val="false"/>
          <w:sz w:val="20"/>
        </w:rPr>
        <w:t>” means any call or capped call option (or substantively equivalent derivative transaction) relating to Parent’s ordinary shares, including for the avoidance of doubt, American Depositary Shares representing such ordinary shares (or other securities or property following a merger event or other change of the ordinary shares of Parent) purchased by Parent in connection with the issuance of any Permitted Convertible Debt, provided that the purchase price for any Permitted Bond Hedge Transaction, less the proceeds received by the Borrower from the sale of any related Permitted Warrant Transaction, does not exceed the net proceeds received by the Borrower from the sale of the Permitted Convertible Debt issued in connection with the Permitted Bond Hedge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val="false"/>
          <w:caps w:val="false"/>
          <w:smallCaps w:val="false"/>
          <w:sz w:val="20"/>
          <w:shd w:fill="FFFFFF" w:val="clear"/>
        </w:rPr>
        <w:t>Permitted Convertible Debt</w:t>
      </w:r>
      <w:r>
        <w:rPr>
          <w:rFonts w:ascii="Times New Roman;Times;Serif" w:hAnsi="Times New Roman;Times;Serif"/>
          <w:b w:val="false"/>
          <w:i w:val="false"/>
          <w:caps w:val="false"/>
          <w:smallCaps w:val="false"/>
          <w:sz w:val="20"/>
          <w:shd w:fill="FFFFFF" w:val="clear"/>
        </w:rPr>
        <w:t>” means Indebtedness that is either (i) convertible into a fixed number (subject to customary anti-dilution adjustments, “make-whole” increases and other customary changes thereto) of ordinary shares of Parent, including for the avoidance of doubt, American Depositary Shares representing such ordinary shares (and cash in lieu of fractional shares) (or other securities or property following a merger event or other change of the ordinary shares of Parent), cash or any combination thereof (with the amount of such cash or such combination determined by reference to the market price of such ordinary shares or such other securities) or (ii) sold as units with call options, warrants or rights to purchase (or substantially equivalent derivative transactions) that are exercisable for ordinary shares of the Parent, including for the avoidance of doubt, American Depositary Shares representing such ordinary shares (and cash in lieu of fractional shares) (or other securities or property following a merger event or other change of the ordinary shares of Parent), cash or any combination thereof (with the amount of such cash or such combination determined by reference to the market price of such ordinary shares or such other securities); provided that such Indebtedness shall (a) not require any scheduled amortization or otherwise required payment of principal prior to, or have a scheduled maturity date, earlier than, one hundred eighty (180) days after the Maturity Date (it being understood that neither (x) any offer to purchase such Indebtedness as a result of “change of control”, “fundamental change” or any comparable term under and as defined in any indenture governing any Permitted Convertible Debt, (y) any early conversion of such Indebtedness in accordance with the terms thereof, nor (z) any redemption of such Indebtedness upon satisfaction of a condition related to the share price of the Parent’s ordinary shares (including for the avoidance of doubt, American Depositary Shares representing such ordinary shares) in each case, shall violate the restriction of this clause (a)), (b) be unsecured or, if secured, then subordinated to the Obligations pursuant to terms satisfactory to the Collateral Agent in its sole discretion, (c) not be guaranteed by any Subsidiary of Parent that is not also a Loan Party, and (d) shall be Indebtedness of Parent and not any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val="false"/>
          <w:caps w:val="false"/>
          <w:smallCaps w:val="false"/>
          <w:sz w:val="20"/>
          <w:shd w:fill="FFFFFF" w:val="clear"/>
        </w:rPr>
        <w:t>Permitted Convertible Debt Payment Conditions</w:t>
      </w:r>
      <w:r>
        <w:rPr>
          <w:rFonts w:ascii="Times New Roman;Times;Serif" w:hAnsi="Times New Roman;Times;Serif"/>
          <w:b w:val="false"/>
          <w:i w:val="false"/>
          <w:caps w:val="false"/>
          <w:smallCaps w:val="false"/>
          <w:sz w:val="20"/>
          <w:shd w:fill="FFFFFF" w:val="clear"/>
        </w:rPr>
        <w:t>” means, with respect to any redemption or principal payment made in cash to be made in connection with Permitted Convertible Debt by any Loan Party, satisfaction of each of the following events: (a) no default or Event of Default shall exist or result therefrom, and (b) both immediately before and at all times after such redemption or principal payment in cash, the aggregate unrestricted cash (subject to Permitted Liens) maintained by Borrower in Collateral Accounts in the United States that are subject to Control Agreements in favor of Collateral Agent shall be no less than 150% of the outstanding principal amount of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Loan Parties’ Indebtedness to the Lenders and Collateral Agent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existing on the Effective Date and disclosed on the Perfection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unsecured Indebtedness to trade creditors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consisting of capitalized lease obligations and purchase money Indebtedness, in each case incurred by any Loan Party to finance the acquisition, repair, improvement or construction of fixed or capital assets of such person, provided that (i) the aggregate outstanding principal amount of all such Indebtedness does not exceed Seven Hundred Fifty Thousand Dollars ($750,000.00)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incurred as a result of endorsing negotiable instruments received in the ordinary course of the Loan Parties’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unsecured Indebtedness of the Loan Parties with respect to corporate credit cards, not to exceed Two Million Dollars ($2,000,000.00) in the aggregate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letters of credit in the ordinary course of business in an aggregate amount not to exceed One Million Dollars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intercompany Indebtedness among the Loan Parties and their Subsidiaries otherwise constituting (and without duplication with any clause of the definition of)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Indebtedness consisting of the financing of insurance premiums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incurred in the ordinary course of business in connection with workers’ compensation, unemployment insurance and other social security legislation or in respect of surety and appeal bonds, performance bonds and other similar obligations (exclusive of obligations for the payment of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other unsecured Indebtedness not exceeding One Million Dollars ($1,000,000.00) in the aggregate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Indebtedness pursuant to Permitted Royalty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Permitted Convertible Debt in an aggregate principal amount not exceeding Four Hundred Million Dollars ($400,000,000.00);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Indebtedness pursuant to revolving credit facility to be made by Lenders in their sole discretion (and the terms of which must be agreed upon by the Required Lenders), in an aggregate principal amount not exceeding Fifty Million Dollars ($50,000,000.00);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extensions, refinancings, modifications, amendments and restatements of any items of Permitted Indebtedness (a) through (o) above, provided that the principal amount thereof is not increased or the terms thereof are not modified to impose materially more burdensome terms upon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guarantees by a Loan Party of another Loan Party’s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Indebtedness of any Loan Party or any of their respective Subsidiaries arising from the honoring by a bank or other financial institution of a check, draft or similar instrument inadvertently drawn by any Loan Party or any of their respective Subsidiaries in the ordinary course of business against insufficient funds, so long as such Indebtedness is repaid within five (5) Business Days; provided, however, the aggregate amount of such Indebtedness outstanding at given time shall not exceed Fifty Thousand Dollars ($50,000.00);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obligations in respect of workers’ compensation claims, early retirement or termination obligations, deferred compensatory or employee or director equity plans, pension fund obligations or contributions or similar claims, obligations or contributions or social security or wage taxes; provided, however, the aggregate amount of such outstanding obligations at any given time shall not exceed Two Hundred Fifty Thousand Dollars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Intercompany Transfers</w:t>
      </w:r>
      <w:r>
        <w:rPr>
          <w:rFonts w:ascii="Times New Roman;Times;Serif" w:hAnsi="Times New Roman;Times;Serif"/>
          <w:b w:val="false"/>
          <w:i w:val="false"/>
          <w:caps w:val="false"/>
          <w:smallCaps w:val="false"/>
          <w:sz w:val="20"/>
        </w:rPr>
        <w:t>” is the Transfer of cash by Borrower or any Subsidiary to Parent, after July 1, 2025, subject to the achievement of the FDA Approval Milestone, in the aggregate amount of up to Forty Million Dollars ($40,000,000.00) during the term of this Agreement. For the purposes of this clarification, such amount shall be in excess of the amounts to be Transferred pursuant the Intercompany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disclosed on the Perfection Certificate(s) and existing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Investments consisting of cash and Cash Equivalents held in Borrower’s Collateral Accounts that are maintained in accordance with Section 6.6 of this Agreement, and (ii) any other Investments permitted by Borrower’s investment policy, as amended from time to time, provided that such investment policy (and any such amendment thereto) has been approved in writing by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consisting of the endorsement of negotiable instruments for deposit or collection or similar transactions in the ordinary course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consisting of Deposit Accounts in which Collateral Agent has a perfected security interest, except pursuant to the terms of Section 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in connection with Transfers permitted by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(i) among Loan Parties; (ii) by Loan Parties in Subsidiaries which are not Loan Parties, not to exceed Five Hundred Thousand Dollars ($500,000.00) in the aggregate per fiscal year; and (iii) of Subsidiaries in or to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consisting of (i) travel advances and employee relocation loans and other employee loans and advances in the ordinary course of business, and (ii) loans to employees, officers or directors relating to the purchase of equity securities of Loan Parties or their Subsidiaries pursuant to employee stock purchase plans or agreements approved by the applicable Loan Party’s Board of Directors, not to exceed Two Hundred Fifty Thousand Dollars ($250,000.00) in the aggregate for (i) and (ii) in any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the extent constituting Investments, but without duplication with any clause of the definition of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Investments received as non-cash consideration with transactions otherwise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non-cash Investments in joint ventures or strategic alliances in the ordinary course of the Loan Parties’ business consisting of the licensing of technology permitted under this Agreement, the development of technology or the providing of technical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Investments in connection with joint ventures or strategic alliances or collaboration of any Loan Party or a Subsidiary; provided that any cash invested in connection thereto shall not exceed One Hundred Thousand Dollars ($100,000.00) in the aggregate in any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Investments in connection with, and the performance of obligations under (including, for the avoidance of doubt, the entry into, payment of any premium with respect to and the settlement of), any Permitted Convertible Debt, any Permitted Bond Hedge Transaction or any Permitted Warrant Transaction, in each case in accordance with its terms and as otherwise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Permitted Acquisitions (including Investments of any Person in existence at the time such Person becomes a Subsidiary; provided that such Investment was not made in connection with or in anticipation of such Person becoming a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other Investments in an amount not to exceed Two Million Dollars ($2,000,000.00) in any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Licenses</w:t>
      </w:r>
      <w:r>
        <w:rPr>
          <w:rFonts w:ascii="Times New Roman;Times;Serif" w:hAnsi="Times New Roman;Times;Serif"/>
          <w:b w:val="false"/>
          <w:i w:val="false"/>
          <w:caps w:val="false"/>
          <w:smallCaps w:val="false"/>
          <w:sz w:val="20"/>
        </w:rPr>
        <w:t xml:space="preserve">” are (a) licenses of over-the-counter software that is commercially available to the public, and (b) non-exclusive and exclusive licenses for the use of the Intellectual Property of any Loan Party or any of its Subsidiaries entered into in the ordinary course of business or approved by the applicable Loan Party’s Board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the applicable Loan Party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(provided, however, Borrower’s failure to deliver such prior notice and summary of terms despite its commercially reasonable efforts shall not constitute an Event of Default if the applicable exclusive license otherwise complies with the terms hereof)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existing on the Effective Date which are disclosed on the Perfection Certificates or arising under this Agreement or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for taxes, fees, assessments or other government charges or levies, either (i) not due and payable or (ii) being contested in good faith and for which the applicable Loan Party maintains adequate reserves on such Loan Party’s Books, provided that no notice of any such Lien has been filed or recorded under the Internal Revenue Code of 1986, as amended, and the Treasury Regulations adopted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securing Indebtedness permitted under clause (e) of the definition of “</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improvements and the proceeds thereof) acquired, leased or built, or the improvements or repairs, financed by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of carriers, warehousemen, suppliers, or other Persons that are possessory in nature arising in the ordinary course of business so long as such Liens attach only to Inventory, securing liabilities in the aggregate amount not to exceed One Million Dollars ($1,000,000.00), and which are not delinquent or remain payable without penalty or which are being contested in good faith and by appropriate proceedings which proceedings have the effect of preventing the forfeiture or sale of the property subject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to secure payment of workers’ compensation, employment insurance, old-age pensions, social security and other like obligations incurred in the ordinary course of business (other than Liens imposed by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Liens incurred in the extension, renewal or refinancing of the Indebtedness secured by Liens described in (a) through (c), </w:t>
      </w:r>
      <w:r>
        <w:rPr>
          <w:rFonts w:ascii="Times New Roman;Times;Serif" w:hAnsi="Times New Roman;Times;Serif"/>
          <w:b w:val="false"/>
          <w:i w:val="false"/>
          <w:caps w:val="false"/>
          <w:smallCaps w:val="false"/>
          <w:sz w:val="20"/>
          <w:u w:val="single"/>
        </w:rPr>
        <w:t>but</w:t>
      </w:r>
      <w:r>
        <w:rPr>
          <w:rFonts w:ascii="Times New Roman;Times;Serif" w:hAnsi="Times New Roman;Times;Serif"/>
          <w:b w:val="false"/>
          <w:i w:val="false"/>
          <w:caps w:val="false"/>
          <w:smallCaps w:val="false"/>
          <w:sz w:val="20"/>
        </w:rPr>
        <w:t xml:space="preserve"> any extension, renewal or replacement Lien must be limited to the property encumbered by the existing Lien and the principal amount of the indebtedness may not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leases or subleases of real property granted in the ordinary course of business of any Loan Party or any Subsidiary thereof (or, if referring to another Person, in the ordinary course of such Person’s business), and leases, subleases, non-exclusive licenses or sublicenses of personal property (other than Intellectual Property) granted in the ordinary course of business of any Loan Party or any Subsidiary thereof (or, if referring to another Person, in the ordinary course of such Person’s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banker’s liens, rights of setoff and Liens in favor of financial institutions incurred in the ordinary course of business arising in connection with the Loan Parties’ deposit accounts or securities accounts held at such institutions solely to secure payment of fees and similar costs and expenses and provided such accounts are maintained in compliance with Section 6.6(b) hereof, (ii) Liens that are contractual or common law rights of set-off relating to pooled deposit or sweep accounts of any Loan Party of any Subsidiary thereof to permit satisfaction of overdraft or similar obligations incurred in the ordinary course of business of the Loan Parties and their Subsidiaries, (iii) other Liens securing cash management obligations (that do not constitute Indebtedness) in the ordinary course of business and (iv)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arising from judgments, orders, decrees or attachments in circumstances not constituting an Event of Default under Section 8.4 or 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deposits to secure the performance of bids, trade contracts (other than for borrowed money), leases, statutory obligations, surety and appeal bonds, performance bonds and other obligations of a like nature; in each case, incurred in the ordinary course of business and not representing obligations for borrowed money, in an amount not exceeding Five Hundred Thousand Dollars ($500,000.00) in the aggregate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on cash securing obligations permitted under clause (h) of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consisting of Permitted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in favor of a seller solely on any cash earnest money deposits made by a Loan Party or any of its Subsidiaries in connection with any letter of intent or purchase agreement with respect to any Permitted Acquisition; provided, however, the aggregate amount of such cash earnest money deposits at any given time may not exceed Two Hundred Fifty Thousand Dollars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on insurance policies and proceeds thereof securing the financing of the premiums with respect thereto securing Indebtedness permitted under clause (j) of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 Liens in favor of customs and revenue authorities arising as a matter of law to secure the payment of customs duties in connection with the importation of goods in the ordinary course of business and (ii) Liens on specific items of inventory or other goods and proceeds thereof of any Person securing such Person’s obligations in respect of bankers’ acceptances or letters of credit permitted under Section 7.4 issued or created for the account of such Person to facilitate the purchase, shipment or storage of such inventory or other goods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(i) Liens solely on Intellectual Property of Parent or Borrower giving rise to the Permitted Royalty Financing; provided, however, prior to the granting of such Liens, the provisions of Section 6.15(c) of this Agreement shall have been fully complied with; provided, further that, unless the Permitted Royalty Lien Condition with respect to such Liens is satisfied, all such Liens shall be subject to a subordination agreement satisfactory to the Lenders in their sole discretion; provided, still further, that such Liens may be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Lien of Collateral Agent (for the ratable benefit of the Lenders) if with respect to each such Lien the Permitted Royalty Lien Condition is satisfied and (ii) Liens on Royalty Interest Collateral granted to a third party that is providing financing for the applicable Permitted Royalty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Royalty Financing</w:t>
      </w:r>
      <w:r>
        <w:rPr>
          <w:rFonts w:ascii="Times New Roman;Times;Serif" w:hAnsi="Times New Roman;Times;Serif"/>
          <w:b w:val="false"/>
          <w:i w:val="false"/>
          <w:caps w:val="false"/>
          <w:smallCaps w:val="false"/>
          <w:sz w:val="20"/>
        </w:rPr>
        <w:t>” is a royalty interest agreement (including without limitation a royalty sale or a synthetic royalty financing) between a Loan Party and a third party for Ensifentrine pursuant to which such Loan Party would be entitled to payments of unrestricted cash, in an aggregate amount of not less than [***] in exchange for a promise to pay future royalties equal to and no greater than [***]% of the revenue (net of discounts and rebates and other customary deductions) received by such Loan Party from the sale of Ensifentrine; provided, however, at any given time, only one Loan Party shall be subject to only one such royalty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Royalty Lien Condition</w:t>
      </w:r>
      <w:r>
        <w:rPr>
          <w:rFonts w:ascii="Times New Roman;Times;Serif" w:hAnsi="Times New Roman;Times;Serif"/>
          <w:b w:val="false"/>
          <w:i w:val="false"/>
          <w:caps w:val="false"/>
          <w:smallCaps w:val="false"/>
          <w:sz w:val="20"/>
        </w:rPr>
        <w:t xml:space="preserve">” means the third party that is providing financing for the Permitted Royalty Financing, and being granted a Lien with respect to the Intellectual Property giving rise to the Permitted Royalty Financing, (i) is reasonably acceptable to the Required Lenders and (ii) shall have entered into an intercreditor agreement with Collateral Agent with respect to such Permitted Royalty Financing that is mutually agreeable to such third party and the Required Lenders, providing that such royalty financing provider shall have a silent first lien (which is otherwise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Lien of Collateral Agent (for the ratable benefit of the Lenders)) on the Intellectual Property giving rise to the Permitted Royalty Financing and unless otherwise agreed to in writing by the Required Lenders, shall be subject to the same restrictions on enforcement and other conditions as a silent first lien (i.e., the holder of such lien will forfeit, among other conditions as may be required by Lenders, any enforcement or voting rights). For the avoidance of doubt, such consent to the silent first lien may require modifications to the Loan and Security Agreement, as may be required by the Required Lenders in their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Warrant Transaction</w:t>
      </w:r>
      <w:r>
        <w:rPr>
          <w:rFonts w:ascii="Times New Roman;Times;Serif" w:hAnsi="Times New Roman;Times;Serif"/>
          <w:b w:val="false"/>
          <w:i w:val="false"/>
          <w:caps w:val="false"/>
          <w:smallCaps w:val="false"/>
          <w:sz w:val="20"/>
        </w:rPr>
        <w:t>” means any call option, warrant or right to purchase (or substantively equivalent derivative transaction) relating to Parent’s ordinary shares, including for the avoidance of doubt, American Depositary Shares representing such ordinary shares (or other securities or property following a merger event or other change of the ordinary shares of Parent) and/or cash (in an amount determined by reference to the price of such ordinary shares) sold by Parent substantially concurrently with any purchase by Parent of a related Permitted Bond Hedge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is any individual, sole proprietorship, partnership, private limited company, limited liability company, joint venture, company, trust, unincorporated organization, association, corporation, institution, public benefit corporation, firm, joint stock company, estate, entity or government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Post-Closing Letter</w:t>
      </w:r>
      <w:r>
        <w:rPr>
          <w:rFonts w:ascii="Times New Roman;Times;Serif" w:hAnsi="Times New Roman;Times;Serif"/>
          <w:b w:val="false"/>
          <w:i w:val="false"/>
          <w:caps w:val="false"/>
          <w:smallCaps w:val="false"/>
          <w:sz w:val="20"/>
        </w:rPr>
        <w:t>” is that certain Post-Closing Letter dated as of the Effective Date by and between Collateral Agent and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Prepayment Fee</w:t>
      </w:r>
      <w:r>
        <w:rPr>
          <w:rFonts w:ascii="Times New Roman;Times;Serif" w:hAnsi="Times New Roman;Times;Serif"/>
          <w:b w:val="false"/>
          <w:i w:val="false"/>
          <w:caps w:val="false"/>
          <w:smallCaps w:val="false"/>
          <w:sz w:val="20"/>
        </w:rPr>
        <w:t>” is, with respect to any Term Loan subject to prepayment, whether by mandatory or voluntary prepayment, acceleration or otherwise, prior to the Maturity Date, an additional fee payable to the Lenders, in each case subject to the Letter Agreement and in amount equal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a prepayment made on or after the Effective Date through and including the second anniversary of the Effective Date, two percent (2.00%) of the principal amount of such Term Loan prepaid;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a prepayment made after the date which is after the second anniversary of the Effective Date through and including the third anniversary of the Effective Date, one and fifty hundredths percent (1.50%) of the principal amount of the Term Loans prepaid;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a prepayment made after the date which is after the third anniversary of the Effective Date, one percent (1.00%) of the principal amount of the Term Loans prepaid.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Organization</w:t>
      </w:r>
      <w:r>
        <w:rPr>
          <w:rFonts w:ascii="Times New Roman;Times;Serif" w:hAnsi="Times New Roman;Times;Serif"/>
          <w:b w:val="false"/>
          <w:i w:val="false"/>
          <w:caps w:val="false"/>
          <w:smallCaps w:val="false"/>
          <w:sz w:val="20"/>
        </w:rPr>
        <w:t>” is any “registered organization” as defined in the Code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Compartment</w:t>
      </w:r>
      <w:r>
        <w:rPr>
          <w:rFonts w:ascii="Times New Roman;Times;Serif" w:hAnsi="Times New Roman;Times;Serif"/>
          <w:b w:val="false"/>
          <w:i w:val="false"/>
          <w:caps w:val="false"/>
          <w:smallCaps w:val="false"/>
          <w:sz w:val="20"/>
        </w:rPr>
        <w:t>” is defined in Section 12.15.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means (i) for so long as none of the Persons that are Lenders on the Effective Date (each an “</w:t>
      </w:r>
      <w:r>
        <w:rPr>
          <w:rFonts w:ascii="Times New Roman;Times;Serif" w:hAnsi="Times New Roman;Times;Serif"/>
          <w:b/>
          <w:i w:val="false"/>
          <w:caps w:val="false"/>
          <w:smallCaps w:val="false"/>
          <w:sz w:val="20"/>
        </w:rPr>
        <w:t>Original Lender</w:t>
      </w:r>
      <w:r>
        <w:rPr>
          <w:rFonts w:ascii="Times New Roman;Times;Serif" w:hAnsi="Times New Roman;Times;Serif"/>
          <w:b w:val="false"/>
          <w:i w:val="false"/>
          <w:caps w:val="false"/>
          <w:smallCaps w:val="false"/>
          <w:sz w:val="20"/>
        </w:rPr>
        <w:t>”) have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50.1%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Requirement of Law</w:t>
      </w:r>
      <w:r>
        <w:rPr>
          <w:rFonts w:ascii="Times New Roman;Times;Serif" w:hAnsi="Times New Roman;Times;Serif"/>
          <w:b w:val="false"/>
          <w:i w:val="false"/>
          <w:caps w:val="false"/>
          <w:smallCaps w:val="false"/>
          <w:sz w:val="20"/>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is any of the President, Chief Executive Officer, Vice President, Finance, Chief Financial Officer, or director of Borrower acting 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Royalty Interest Collateral</w:t>
      </w:r>
      <w:r>
        <w:rPr>
          <w:rFonts w:ascii="Times New Roman;Times;Serif" w:hAnsi="Times New Roman;Times;Serif"/>
          <w:b w:val="false"/>
          <w:i w:val="false"/>
          <w:caps w:val="false"/>
          <w:smallCaps w:val="false"/>
          <w:sz w:val="20"/>
        </w:rPr>
        <w:t>” means all of any Loan Party’s rights, title and interest in and to the royalty payments payable by such Loan Party to the applicable royalty interest finance investor directly pursuant to a Permitted Royalty Financing (subject to the limitations set forth in the definition of “Permitted Royalty Financing”), including the accounts, payment intangibles, instruments, chattel paper, check, money and investment property (each, as defined in Article 9 of the UCC) solely to the extent any of the foregoing evidence or constitute any such royalty payment, and all proceeds thereof, including cash proceeds and noncash proceeds (each, as defined in Article 9 of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a country subject or target to a sanctions program identified on the list maintained by OFAC, adopted by the EU, the UN, the CSSF or any other authority, or identified under any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Draw Period</w:t>
      </w:r>
      <w:r>
        <w:rPr>
          <w:rFonts w:ascii="Times New Roman;Times;Serif" w:hAnsi="Times New Roman;Times;Serif"/>
          <w:b w:val="false"/>
          <w:i w:val="false"/>
          <w:caps w:val="false"/>
          <w:smallCaps w:val="false"/>
          <w:sz w:val="20"/>
        </w:rPr>
        <w:t>” is the period commencing on the date on which Borrower achieves the FDA Approval Milestone and ending on the earliest of (i) the date that is thirty (30) days immediately following the achievement of the FDA Approval Milestone, (ii) September 15, 2024 and (iii) the occurrence of an Event of Default; provided, however, the Second Draw Period shall not commence if on the date on which Borrower achieves the FDA Approval Milestone,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Promissory Note</w:t>
      </w:r>
      <w:r>
        <w:rPr>
          <w:rFonts w:ascii="Times New Roman;Times;Serif" w:hAnsi="Times New Roman;Times;Serif"/>
          <w:b w:val="false"/>
          <w:i w:val="false"/>
          <w:caps w:val="false"/>
          <w:smallCaps w:val="false"/>
          <w:sz w:val="20"/>
        </w:rPr>
        <w:t>” is defined in Section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Promissory Note Record</w:t>
      </w:r>
      <w:r>
        <w:rPr>
          <w:rFonts w:ascii="Times New Roman;Times;Serif" w:hAnsi="Times New Roman;Times;Serif"/>
          <w:b w:val="false"/>
          <w:i w:val="false"/>
          <w:caps w:val="false"/>
          <w:smallCaps w:val="false"/>
          <w:sz w:val="20"/>
        </w:rPr>
        <w:t>” is a record maintained by each Lender with respect to the outstanding Obligations owed by Borrower to Lender and credits made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Account</w:t>
      </w:r>
      <w:r>
        <w:rPr>
          <w:rFonts w:ascii="Times New Roman;Times;Serif" w:hAnsi="Times New Roman;Times;Serif"/>
          <w:b w:val="false"/>
          <w:i w:val="false"/>
          <w:caps w:val="false"/>
          <w:smallCaps w:val="false"/>
          <w:sz w:val="20"/>
        </w:rPr>
        <w:t>” is any “securities account” as defined in the Code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is one hundred percent (100%) of the issued and outstanding capital stock, membership units or other securities owned or held of record by Borrower or Borrower’s Subsidiary, in any Subsidiary; provided that, in the event Borrower, demonstrates to Collateral Agent’s reasonable satisfaction, that a pledge of more than sixty five percent (65%) of the Shares of such Subsidiary which is a Foreign Subsidiary, creates a present and existing adverse tax consequence to Borrower under the U.S. Internal Revenue Code, “Shares” shall mean sixty-five percent (65%) of the issued and outstanding capital stock, membership units or other securities owned or held of record by Borrower or its Subsidiary in such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Debt</w:t>
      </w:r>
      <w:r>
        <w:rPr>
          <w:rFonts w:ascii="Times New Roman;Times;Serif" w:hAnsi="Times New Roman;Times;Serif"/>
          <w:b w:val="false"/>
          <w:i w:val="false"/>
          <w:caps w:val="false"/>
          <w:smallCaps w:val="false"/>
          <w:sz w:val="20"/>
        </w:rPr>
        <w:t>” is indebtedness incurred by any Loan Party or any of its Subsidiaries subordinated to all Indebtedness of such Loan Parties to the Lenders (pursuant to a subordination, intercreditor, or other similar agreement in form and substance satisfactory to Collateral Agent and the Lenders entered into between Collateral Agent, such Loan Party, and the other creditor), on terms acceptable to Collateral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is defined in Section 2.2(a)(v)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A Loan</w:t>
      </w:r>
      <w:r>
        <w:rPr>
          <w:rFonts w:ascii="Times New Roman;Times;Serif" w:hAnsi="Times New Roman;Times;Serif"/>
          <w:b w:val="false"/>
          <w:i w:val="false"/>
          <w:caps w:val="false"/>
          <w:smallCaps w:val="false"/>
          <w:sz w:val="20"/>
        </w:rPr>
        <w:t>” is defined in Section 2.2(a)(i)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B Loan</w:t>
      </w:r>
      <w:r>
        <w:rPr>
          <w:rFonts w:ascii="Times New Roman;Times;Serif" w:hAnsi="Times New Roman;Times;Serif"/>
          <w:b w:val="false"/>
          <w:i w:val="false"/>
          <w:caps w:val="false"/>
          <w:smallCaps w:val="false"/>
          <w:sz w:val="20"/>
        </w:rPr>
        <w:t>” is defined in Section 2.2(a)(ii)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C Loan</w:t>
      </w:r>
      <w:r>
        <w:rPr>
          <w:rFonts w:ascii="Times New Roman;Times;Serif" w:hAnsi="Times New Roman;Times;Serif"/>
          <w:b w:val="false"/>
          <w:i w:val="false"/>
          <w:caps w:val="false"/>
          <w:smallCaps w:val="false"/>
          <w:sz w:val="20"/>
        </w:rPr>
        <w:t>” is defined in Section 2.2(a)(iii)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D Loan</w:t>
      </w:r>
      <w:r>
        <w:rPr>
          <w:rFonts w:ascii="Times New Roman;Times;Serif" w:hAnsi="Times New Roman;Times;Serif"/>
          <w:b w:val="false"/>
          <w:i w:val="false"/>
          <w:caps w:val="false"/>
          <w:smallCaps w:val="false"/>
          <w:sz w:val="20"/>
        </w:rPr>
        <w:t>” is defined in Section 2.2(a)(iv)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E Loan</w:t>
      </w:r>
      <w:r>
        <w:rPr>
          <w:rFonts w:ascii="Times New Roman;Times;Serif" w:hAnsi="Times New Roman;Times;Serif"/>
          <w:b w:val="false"/>
          <w:i w:val="false"/>
          <w:caps w:val="false"/>
          <w:smallCaps w:val="false"/>
          <w:sz w:val="20"/>
        </w:rPr>
        <w:t>” is defined in Section 2.2(a)(v)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Commitment</w:t>
      </w:r>
      <w:r>
        <w:rPr>
          <w:rFonts w:ascii="Times New Roman;Times;Serif" w:hAnsi="Times New Roman;Times;Serif"/>
          <w:b w:val="false"/>
          <w:i w:val="false"/>
          <w:caps w:val="false"/>
          <w:smallCaps w:val="false"/>
          <w:sz w:val="20"/>
        </w:rPr>
        <w:t xml:space="preserve">” is, for any Lender, the obligation of such Lender to make a Term Loan, up to the principal amount shown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 Loan Commitments</w:t>
      </w:r>
      <w:r>
        <w:rPr>
          <w:rFonts w:ascii="Times New Roman;Times;Serif" w:hAnsi="Times New Roman;Times;Serif"/>
          <w:b w:val="false"/>
          <w:i w:val="false"/>
          <w:caps w:val="false"/>
          <w:smallCaps w:val="false"/>
          <w:sz w:val="20"/>
        </w:rPr>
        <w:t>” means the aggregate amount of such commitments of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Draw Period</w:t>
      </w:r>
      <w:r>
        <w:rPr>
          <w:rFonts w:ascii="Times New Roman;Times;Serif" w:hAnsi="Times New Roman;Times;Serif"/>
          <w:b w:val="false"/>
          <w:i w:val="false"/>
          <w:caps w:val="false"/>
          <w:smallCaps w:val="false"/>
          <w:sz w:val="20"/>
        </w:rPr>
        <w:t>” is the period commencing on the later of (i) September 15, 2025 and (ii) the date of occurrence of the Third Draw Period Commencement Event and ending on the earlier of (i) December 15, 2025 and (ii) the occurrence of an Event of Default; provided, however, the Third Draw Period shall not commence if on the date of occurrence of the Third Draw Period Commencement Event,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Draw Period Commencement Event</w:t>
      </w:r>
      <w:r>
        <w:rPr>
          <w:rFonts w:ascii="Times New Roman;Times;Serif" w:hAnsi="Times New Roman;Times;Serif"/>
          <w:b w:val="false"/>
          <w:i w:val="false"/>
          <w:caps w:val="false"/>
          <w:smallCaps w:val="false"/>
          <w:sz w:val="20"/>
        </w:rPr>
        <w:t>” is the satisfaction of the following: (i) the achievement by the Loan Parties of consolidated Trailing Six Month Ensifentrine Revenues equal to at least [***] for the trailing 6-month period ending on the last date of the most recent fiscal month for which financial statements have been delivered by Borrower in accordance with Section 6.2(a)(i) immediately prior to the Funding Date of the Term C Loan, but in any case, such achievement shall be no later than September 30, 2025; and (ii) the Term B Loans have been fully drawn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Trademarks</w:t>
      </w:r>
      <w:r>
        <w:rPr>
          <w:rFonts w:ascii="Times New Roman;Times;Serif" w:hAnsi="Times New Roman;Times;Serif"/>
          <w:b w:val="false"/>
          <w:i w:val="false"/>
          <w:caps w:val="false"/>
          <w:smallCaps w:val="false"/>
          <w:sz w:val="20"/>
        </w:rPr>
        <w:t>” means any trademark and servicemark rights, whether registered or not, applications to register and registrations of the same and like protections, and the entire goodwill of the business of Borrower connected with and symbolized by such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Trailing Six-Month Ensifentrine Revenues</w:t>
      </w:r>
      <w:r>
        <w:rPr>
          <w:rFonts w:ascii="Times New Roman;Times;Serif" w:hAnsi="Times New Roman;Times;Serif"/>
          <w:b w:val="false"/>
          <w:i w:val="false"/>
          <w:caps w:val="false"/>
          <w:smallCaps w:val="false"/>
          <w:sz w:val="20"/>
        </w:rPr>
        <w:t>” means aggregate revenues (net of any rebates and discounts) that are recorded by the Loan Parties on a consolidated basis from the sales of Ensifentrine, as determined in accordance with GAAP, for the six-month period ended on the date of the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is defined in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any Person that is a “United States person” as defined in Section 7701(a)(30) of the Tax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Balance of Page Intentionally Left Blank</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executed as of the Effective Date.</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935"/>
        <w:gridCol w:w="2954"/>
        <w:gridCol w:w="75"/>
      </w:tblGrid>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b/>
                <w:sz w:val="20"/>
              </w:rPr>
            </w:pPr>
            <w:r>
              <w:rPr>
                <w:b/>
                <w:sz w:val="20"/>
              </w:rPr>
              <w:t>BORROWER: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64" w:type="dxa"/>
            <w:gridSpan w:val="3"/>
            <w:tcBorders/>
            <w:vAlign w:val="center"/>
          </w:tcPr>
          <w:p>
            <w:pPr>
              <w:pStyle w:val="TableContents"/>
              <w:bidi w:val="0"/>
              <w:spacing w:before="0" w:after="283"/>
              <w:jc w:val="left"/>
              <w:rPr>
                <w:sz w:val="20"/>
              </w:rPr>
            </w:pPr>
            <w:r>
              <w:rPr>
                <w:sz w:val="20"/>
              </w:rPr>
              <w:t>VERONA PHARMA, INC.</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By</w:t>
            </w:r>
          </w:p>
        </w:tc>
        <w:tc>
          <w:tcPr>
            <w:tcW w:w="295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Mark Hahn</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Name:</w:t>
            </w:r>
          </w:p>
        </w:tc>
        <w:tc>
          <w:tcPr>
            <w:tcW w:w="2954" w:type="dxa"/>
            <w:tcBorders/>
            <w:vAlign w:val="center"/>
          </w:tcPr>
          <w:p>
            <w:pPr>
              <w:pStyle w:val="TableContents"/>
              <w:bidi w:val="0"/>
              <w:spacing w:before="0" w:after="283"/>
              <w:jc w:val="left"/>
              <w:rPr>
                <w:sz w:val="20"/>
              </w:rPr>
            </w:pPr>
            <w:r>
              <w:rPr>
                <w:sz w:val="20"/>
              </w:rPr>
              <w:t>Mark Hahn</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Title:</w:t>
            </w:r>
          </w:p>
        </w:tc>
        <w:tc>
          <w:tcPr>
            <w:tcW w:w="2954" w:type="dxa"/>
            <w:tcBorders/>
            <w:vAlign w:val="center"/>
          </w:tcPr>
          <w:p>
            <w:pPr>
              <w:pStyle w:val="TableContents"/>
              <w:bidi w:val="0"/>
              <w:spacing w:before="0" w:after="283"/>
              <w:jc w:val="left"/>
              <w:rPr>
                <w:sz w:val="20"/>
              </w:rPr>
            </w:pPr>
            <w:r>
              <w:rPr>
                <w:sz w:val="20"/>
              </w:rPr>
              <w:t>Treasurer and Secretary</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b/>
                <w:sz w:val="20"/>
              </w:rPr>
            </w:pPr>
            <w:r>
              <w:rPr>
                <w:b/>
                <w:sz w:val="20"/>
              </w:rPr>
              <w:t>LENDER AND COLLATERAL AGENT: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sz w:val="20"/>
              </w:rPr>
            </w:pPr>
            <w:r>
              <w:rPr>
                <w:sz w:val="20"/>
              </w:rPr>
              <w:t>OXFORD FINANCE LLC</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By:</w:t>
            </w:r>
          </w:p>
        </w:tc>
        <w:tc>
          <w:tcPr>
            <w:tcW w:w="295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Colette H. Featherly</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Name:</w:t>
            </w:r>
          </w:p>
        </w:tc>
        <w:tc>
          <w:tcPr>
            <w:tcW w:w="2954" w:type="dxa"/>
            <w:tcBorders/>
            <w:vAlign w:val="center"/>
          </w:tcPr>
          <w:p>
            <w:pPr>
              <w:pStyle w:val="TableContents"/>
              <w:bidi w:val="0"/>
              <w:spacing w:before="0" w:after="283"/>
              <w:jc w:val="left"/>
              <w:rPr>
                <w:sz w:val="20"/>
              </w:rPr>
            </w:pPr>
            <w:r>
              <w:rPr>
                <w:sz w:val="20"/>
              </w:rPr>
              <w:t>Colette H. Featherly</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Title: </w:t>
            </w:r>
          </w:p>
        </w:tc>
        <w:tc>
          <w:tcPr>
            <w:tcW w:w="2954" w:type="dxa"/>
            <w:tcBorders/>
            <w:vAlign w:val="center"/>
          </w:tcPr>
          <w:p>
            <w:pPr>
              <w:pStyle w:val="TableContents"/>
              <w:bidi w:val="0"/>
              <w:spacing w:before="0" w:after="283"/>
              <w:jc w:val="left"/>
              <w:rPr>
                <w:sz w:val="20"/>
              </w:rPr>
            </w:pPr>
            <w:r>
              <w:rPr>
                <w:sz w:val="20"/>
              </w:rPr>
              <w:t>Senior Vice President</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b/>
                <w:sz w:val="20"/>
              </w:rPr>
            </w:pPr>
            <w:r>
              <w:rPr>
                <w:b/>
                <w:sz w:val="20"/>
              </w:rPr>
              <w:t>LENDER: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sz w:val="20"/>
              </w:rPr>
            </w:pPr>
            <w:r>
              <w:rPr>
                <w:sz w:val="20"/>
              </w:rPr>
              <w:t>OXFORD FINANCE CREDIT FUND II,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sz w:val="20"/>
              </w:rPr>
            </w:pPr>
            <w:r>
              <w:rPr>
                <w:sz w:val="20"/>
              </w:rPr>
              <w:t>By: Oxford Finance Advisors, LLC, its manager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By:</w:t>
            </w:r>
          </w:p>
        </w:tc>
        <w:tc>
          <w:tcPr>
            <w:tcW w:w="295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Colette H. Featherly</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Name:</w:t>
            </w:r>
          </w:p>
        </w:tc>
        <w:tc>
          <w:tcPr>
            <w:tcW w:w="2954" w:type="dxa"/>
            <w:tcBorders/>
            <w:vAlign w:val="center"/>
          </w:tcPr>
          <w:p>
            <w:pPr>
              <w:pStyle w:val="TableContents"/>
              <w:bidi w:val="0"/>
              <w:spacing w:before="0" w:after="283"/>
              <w:jc w:val="left"/>
              <w:rPr>
                <w:sz w:val="20"/>
              </w:rPr>
            </w:pPr>
            <w:r>
              <w:rPr>
                <w:sz w:val="20"/>
              </w:rPr>
              <w:t>Colette H. Featherly</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Title: </w:t>
            </w:r>
          </w:p>
        </w:tc>
        <w:tc>
          <w:tcPr>
            <w:tcW w:w="2954" w:type="dxa"/>
            <w:tcBorders/>
            <w:vAlign w:val="center"/>
          </w:tcPr>
          <w:p>
            <w:pPr>
              <w:pStyle w:val="TableContents"/>
              <w:bidi w:val="0"/>
              <w:spacing w:before="0" w:after="283"/>
              <w:jc w:val="left"/>
              <w:rPr>
                <w:sz w:val="20"/>
              </w:rPr>
            </w:pPr>
            <w:r>
              <w:rPr>
                <w:sz w:val="20"/>
              </w:rPr>
              <w:t>Senior Vice President</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b/>
                <w:sz w:val="20"/>
              </w:rPr>
            </w:pPr>
            <w:r>
              <w:rPr>
                <w:b/>
                <w:sz w:val="20"/>
              </w:rPr>
              <w:t>LENDER: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sz w:val="20"/>
              </w:rPr>
            </w:pPr>
            <w:r>
              <w:rPr>
                <w:sz w:val="20"/>
              </w:rPr>
              <w:t>OXFORD FINANCE CREDIT FUND III,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sz w:val="20"/>
              </w:rPr>
            </w:pPr>
            <w:r>
              <w:rPr>
                <w:sz w:val="20"/>
              </w:rPr>
              <w:t>By: Oxford Finance Advisors, LLC, its manager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By:</w:t>
            </w:r>
          </w:p>
        </w:tc>
        <w:tc>
          <w:tcPr>
            <w:tcW w:w="295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Colette H. Featherly</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Name: </w:t>
            </w:r>
          </w:p>
        </w:tc>
        <w:tc>
          <w:tcPr>
            <w:tcW w:w="2954" w:type="dxa"/>
            <w:tcBorders/>
            <w:vAlign w:val="center"/>
          </w:tcPr>
          <w:p>
            <w:pPr>
              <w:pStyle w:val="TableContents"/>
              <w:bidi w:val="0"/>
              <w:spacing w:before="0" w:after="283"/>
              <w:jc w:val="left"/>
              <w:rPr>
                <w:sz w:val="20"/>
              </w:rPr>
            </w:pPr>
            <w:r>
              <w:rPr>
                <w:sz w:val="20"/>
              </w:rPr>
              <w:t>Colette H. Featherly</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Title: </w:t>
            </w:r>
          </w:p>
        </w:tc>
        <w:tc>
          <w:tcPr>
            <w:tcW w:w="2954" w:type="dxa"/>
            <w:tcBorders/>
            <w:vAlign w:val="center"/>
          </w:tcPr>
          <w:p>
            <w:pPr>
              <w:pStyle w:val="TableContents"/>
              <w:bidi w:val="0"/>
              <w:spacing w:before="0" w:after="283"/>
              <w:jc w:val="left"/>
              <w:rPr>
                <w:sz w:val="20"/>
              </w:rPr>
            </w:pPr>
            <w:r>
              <w:rPr>
                <w:sz w:val="20"/>
              </w:rPr>
              <w:t>Senior Vice President</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b/>
                <w:sz w:val="20"/>
              </w:rPr>
            </w:pPr>
            <w:r>
              <w:rPr>
                <w:b/>
                <w:sz w:val="20"/>
              </w:rPr>
              <w:t>LENDER: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sz w:val="20"/>
              </w:rPr>
            </w:pPr>
            <w:r>
              <w:rPr>
                <w:sz w:val="20"/>
              </w:rPr>
              <w:t>HERCULES CAPITAL, INC</w:t>
            </w:r>
            <w:r>
              <w:rPr>
                <w:b/>
                <w:sz w:val="20"/>
              </w:rPr>
              <w:t>.</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By:</w:t>
            </w:r>
          </w:p>
        </w:tc>
        <w:tc>
          <w:tcPr>
            <w:tcW w:w="295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Kiersten Bothelho</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Name:</w:t>
            </w:r>
          </w:p>
        </w:tc>
        <w:tc>
          <w:tcPr>
            <w:tcW w:w="2954" w:type="dxa"/>
            <w:tcBorders/>
            <w:vAlign w:val="center"/>
          </w:tcPr>
          <w:p>
            <w:pPr>
              <w:pStyle w:val="TableContents"/>
              <w:bidi w:val="0"/>
              <w:spacing w:before="0" w:after="283"/>
              <w:jc w:val="left"/>
              <w:rPr>
                <w:sz w:val="20"/>
              </w:rPr>
            </w:pPr>
            <w:r>
              <w:rPr>
                <w:sz w:val="20"/>
              </w:rPr>
              <w:t>Kiersten Bothelho</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20"/>
              </w:rPr>
            </w:pPr>
            <w:r>
              <w:rPr>
                <w:sz w:val="20"/>
              </w:rPr>
              <w:t>Title:</w:t>
            </w:r>
          </w:p>
        </w:tc>
        <w:tc>
          <w:tcPr>
            <w:tcW w:w="2954" w:type="dxa"/>
            <w:tcBorders/>
            <w:vAlign w:val="center"/>
          </w:tcPr>
          <w:p>
            <w:pPr>
              <w:pStyle w:val="TableContents"/>
              <w:bidi w:val="0"/>
              <w:spacing w:before="0" w:after="283"/>
              <w:jc w:val="left"/>
              <w:rPr>
                <w:sz w:val="20"/>
              </w:rPr>
            </w:pPr>
            <w:r>
              <w:rPr>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r>
        <w:rPr>
          <w:rFonts w:ascii="Times New Roman;Times;Serif" w:hAnsi="Times New Roman;Times;Serif"/>
          <w:b/>
          <w:i/>
          <w:caps w:val="false"/>
          <w:smallCaps w:val="false"/>
          <w:sz w:val="20"/>
          <w:shd w:fill="FFFFFF" w:val="clear"/>
        </w:rPr>
        <w:t>Signature Page to Loan and Security Agreement</w:t>
      </w:r>
      <w:r>
        <w:rPr>
          <w:rFonts w:ascii="Times New Roman;Times;Serif" w:hAnsi="Times New Roman;Times;Serif"/>
          <w:b/>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44" w:type="dxa"/>
        <w:jc w:val="left"/>
        <w:tblInd w:w="0" w:type="dxa"/>
        <w:tblLayout w:type="fixed"/>
        <w:tblCellMar>
          <w:top w:w="0" w:type="dxa"/>
          <w:left w:w="0" w:type="dxa"/>
          <w:bottom w:w="0" w:type="dxa"/>
          <w:right w:w="0" w:type="dxa"/>
        </w:tblCellMar>
      </w:tblPr>
      <w:tblGrid>
        <w:gridCol w:w="1453"/>
        <w:gridCol w:w="4731"/>
        <w:gridCol w:w="60"/>
      </w:tblGrid>
      <w:tr>
        <w:trPr/>
        <w:tc>
          <w:tcPr>
            <w:tcW w:w="6184" w:type="dxa"/>
            <w:gridSpan w:val="2"/>
            <w:tcBorders/>
            <w:vAlign w:val="center"/>
          </w:tcPr>
          <w:p>
            <w:pPr>
              <w:pStyle w:val="TableContents"/>
              <w:bidi w:val="0"/>
              <w:spacing w:before="0" w:after="283"/>
              <w:jc w:val="left"/>
              <w:rPr>
                <w:b/>
                <w:sz w:val="20"/>
              </w:rPr>
            </w:pPr>
            <w:r>
              <w:rPr>
                <w:b/>
                <w:sz w:val="20"/>
              </w:rPr>
              <w:t>LENDER:</w:t>
            </w:r>
          </w:p>
        </w:tc>
        <w:tc>
          <w:tcPr>
            <w:tcW w:w="60" w:type="dxa"/>
            <w:tcBorders/>
            <w:vAlign w:val="center"/>
          </w:tcPr>
          <w:p>
            <w:pPr>
              <w:pStyle w:val="TableContents"/>
              <w:bidi w:val="0"/>
              <w:spacing w:before="0" w:after="283"/>
              <w:ind w:left="0" w:right="0" w:hanging="0"/>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sz w:val="20"/>
              </w:rPr>
            </w:pPr>
            <w:r>
              <w:rPr>
                <w:sz w:val="20"/>
              </w:rPr>
              <w:t>HERCULES PRIVATE CREDIT FUND 1 L.P.</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sz w:val="20"/>
              </w:rPr>
            </w:pPr>
            <w:r>
              <w:rPr>
                <w:sz w:val="20"/>
              </w:rPr>
              <w:t>By: Hercules Adviser LLC, its Investment Adviser</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53" w:type="dxa"/>
            <w:tcBorders/>
            <w:vAlign w:val="center"/>
          </w:tcPr>
          <w:p>
            <w:pPr>
              <w:pStyle w:val="TableContents"/>
              <w:bidi w:val="0"/>
              <w:spacing w:before="0" w:after="283"/>
              <w:jc w:val="left"/>
              <w:rPr>
                <w:sz w:val="20"/>
              </w:rPr>
            </w:pPr>
            <w:r>
              <w:rPr>
                <w:sz w:val="20"/>
              </w:rPr>
              <w:t>By:</w:t>
            </w:r>
          </w:p>
        </w:tc>
        <w:tc>
          <w:tcPr>
            <w:tcW w:w="473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Kiersten Bothelho</w:t>
            </w:r>
          </w:p>
        </w:tc>
        <w:tc>
          <w:tcPr>
            <w:tcW w:w="60" w:type="dxa"/>
            <w:tcBorders/>
          </w:tcPr>
          <w:p>
            <w:pPr>
              <w:pStyle w:val="TableContents"/>
              <w:bidi w:val="0"/>
              <w:spacing w:before="0" w:after="283"/>
              <w:jc w:val="left"/>
              <w:rPr>
                <w:sz w:val="4"/>
                <w:szCs w:val="4"/>
              </w:rPr>
            </w:pPr>
            <w:r>
              <w:rPr>
                <w:sz w:val="4"/>
                <w:szCs w:val="4"/>
              </w:rPr>
            </w:r>
          </w:p>
        </w:tc>
      </w:tr>
      <w:tr>
        <w:trPr/>
        <w:tc>
          <w:tcPr>
            <w:tcW w:w="1453" w:type="dxa"/>
            <w:tcBorders/>
            <w:vAlign w:val="center"/>
          </w:tcPr>
          <w:p>
            <w:pPr>
              <w:pStyle w:val="TableContents"/>
              <w:bidi w:val="0"/>
              <w:spacing w:before="0" w:after="283"/>
              <w:jc w:val="left"/>
              <w:rPr>
                <w:sz w:val="20"/>
              </w:rPr>
            </w:pPr>
            <w:r>
              <w:rPr>
                <w:sz w:val="20"/>
              </w:rPr>
              <w:t>Name:</w:t>
            </w:r>
          </w:p>
        </w:tc>
        <w:tc>
          <w:tcPr>
            <w:tcW w:w="4731" w:type="dxa"/>
            <w:tcBorders/>
            <w:vAlign w:val="center"/>
          </w:tcPr>
          <w:p>
            <w:pPr>
              <w:pStyle w:val="TableContents"/>
              <w:bidi w:val="0"/>
              <w:spacing w:before="0" w:after="283"/>
              <w:jc w:val="left"/>
              <w:rPr>
                <w:sz w:val="20"/>
              </w:rPr>
            </w:pPr>
            <w:r>
              <w:rPr>
                <w:sz w:val="20"/>
              </w:rPr>
              <w:t>Kiersten Bothelho</w:t>
            </w:r>
          </w:p>
        </w:tc>
        <w:tc>
          <w:tcPr>
            <w:tcW w:w="60" w:type="dxa"/>
            <w:tcBorders/>
            <w:vAlign w:val="center"/>
          </w:tcPr>
          <w:p>
            <w:pPr>
              <w:pStyle w:val="TableContents"/>
              <w:bidi w:val="0"/>
              <w:spacing w:before="0" w:after="283"/>
              <w:jc w:val="left"/>
              <w:rPr/>
            </w:pPr>
            <w:r>
              <w:rPr/>
              <w:t> </w:t>
            </w:r>
          </w:p>
        </w:tc>
      </w:tr>
      <w:tr>
        <w:trPr/>
        <w:tc>
          <w:tcPr>
            <w:tcW w:w="1453" w:type="dxa"/>
            <w:tcBorders/>
            <w:vAlign w:val="center"/>
          </w:tcPr>
          <w:p>
            <w:pPr>
              <w:pStyle w:val="TableContents"/>
              <w:bidi w:val="0"/>
              <w:spacing w:before="0" w:after="283"/>
              <w:jc w:val="left"/>
              <w:rPr>
                <w:sz w:val="20"/>
              </w:rPr>
            </w:pPr>
            <w:r>
              <w:rPr>
                <w:sz w:val="20"/>
              </w:rPr>
              <w:t>Title:</w:t>
            </w:r>
          </w:p>
        </w:tc>
        <w:tc>
          <w:tcPr>
            <w:tcW w:w="4731" w:type="dxa"/>
            <w:tcBorders/>
            <w:vAlign w:val="center"/>
          </w:tcPr>
          <w:p>
            <w:pPr>
              <w:pStyle w:val="TableContents"/>
              <w:bidi w:val="0"/>
              <w:spacing w:before="0" w:after="283"/>
              <w:jc w:val="left"/>
              <w:rPr>
                <w:sz w:val="20"/>
              </w:rPr>
            </w:pPr>
            <w:r>
              <w:rPr>
                <w:sz w:val="20"/>
              </w:rPr>
              <w:t>Authorized Signatory</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b/>
                <w:sz w:val="20"/>
              </w:rPr>
            </w:pPr>
            <w:r>
              <w:rPr>
                <w:b/>
                <w:sz w:val="20"/>
              </w:rPr>
              <w:t>LENDER:</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sz w:val="20"/>
              </w:rPr>
            </w:pPr>
            <w:r>
              <w:rPr>
                <w:sz w:val="20"/>
              </w:rPr>
              <w:t>HERCULES PRIVATE GLOBAL VENTURE GROWTH FUND I L.P.</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sz w:val="20"/>
              </w:rPr>
            </w:pPr>
            <w:r>
              <w:rPr>
                <w:sz w:val="20"/>
              </w:rPr>
              <w:t>By: Hercules Adviser LLC, its Investment Adviser</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53" w:type="dxa"/>
            <w:tcBorders/>
            <w:vAlign w:val="center"/>
          </w:tcPr>
          <w:p>
            <w:pPr>
              <w:pStyle w:val="TableContents"/>
              <w:bidi w:val="0"/>
              <w:spacing w:before="0" w:after="283"/>
              <w:jc w:val="left"/>
              <w:rPr>
                <w:sz w:val="20"/>
              </w:rPr>
            </w:pPr>
            <w:r>
              <w:rPr>
                <w:sz w:val="20"/>
              </w:rPr>
              <w:t>By:</w:t>
            </w:r>
          </w:p>
        </w:tc>
        <w:tc>
          <w:tcPr>
            <w:tcW w:w="473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Kiersten Bothelho</w:t>
            </w:r>
          </w:p>
        </w:tc>
        <w:tc>
          <w:tcPr>
            <w:tcW w:w="60" w:type="dxa"/>
            <w:tcBorders/>
          </w:tcPr>
          <w:p>
            <w:pPr>
              <w:pStyle w:val="TableContents"/>
              <w:bidi w:val="0"/>
              <w:spacing w:before="0" w:after="283"/>
              <w:jc w:val="left"/>
              <w:rPr>
                <w:sz w:val="4"/>
                <w:szCs w:val="4"/>
              </w:rPr>
            </w:pPr>
            <w:r>
              <w:rPr>
                <w:sz w:val="4"/>
                <w:szCs w:val="4"/>
              </w:rPr>
            </w:r>
          </w:p>
        </w:tc>
      </w:tr>
      <w:tr>
        <w:trPr/>
        <w:tc>
          <w:tcPr>
            <w:tcW w:w="1453" w:type="dxa"/>
            <w:tcBorders/>
            <w:vAlign w:val="center"/>
          </w:tcPr>
          <w:p>
            <w:pPr>
              <w:pStyle w:val="TableContents"/>
              <w:bidi w:val="0"/>
              <w:spacing w:before="0" w:after="283"/>
              <w:jc w:val="left"/>
              <w:rPr>
                <w:sz w:val="20"/>
              </w:rPr>
            </w:pPr>
            <w:r>
              <w:rPr>
                <w:sz w:val="20"/>
              </w:rPr>
              <w:t>Name:</w:t>
            </w:r>
          </w:p>
        </w:tc>
        <w:tc>
          <w:tcPr>
            <w:tcW w:w="4731" w:type="dxa"/>
            <w:tcBorders/>
            <w:vAlign w:val="center"/>
          </w:tcPr>
          <w:p>
            <w:pPr>
              <w:pStyle w:val="TableContents"/>
              <w:bidi w:val="0"/>
              <w:spacing w:before="0" w:after="283"/>
              <w:jc w:val="left"/>
              <w:rPr>
                <w:sz w:val="20"/>
              </w:rPr>
            </w:pPr>
            <w:r>
              <w:rPr>
                <w:sz w:val="20"/>
              </w:rPr>
              <w:t>Kiersten Bothelho</w:t>
            </w:r>
          </w:p>
        </w:tc>
        <w:tc>
          <w:tcPr>
            <w:tcW w:w="60" w:type="dxa"/>
            <w:tcBorders/>
            <w:vAlign w:val="center"/>
          </w:tcPr>
          <w:p>
            <w:pPr>
              <w:pStyle w:val="TableContents"/>
              <w:bidi w:val="0"/>
              <w:spacing w:before="0" w:after="283"/>
              <w:jc w:val="left"/>
              <w:rPr/>
            </w:pPr>
            <w:r>
              <w:rPr/>
              <w:t> </w:t>
            </w:r>
          </w:p>
        </w:tc>
      </w:tr>
      <w:tr>
        <w:trPr/>
        <w:tc>
          <w:tcPr>
            <w:tcW w:w="1453" w:type="dxa"/>
            <w:tcBorders/>
            <w:vAlign w:val="center"/>
          </w:tcPr>
          <w:p>
            <w:pPr>
              <w:pStyle w:val="TableContents"/>
              <w:bidi w:val="0"/>
              <w:spacing w:before="0" w:after="283"/>
              <w:jc w:val="left"/>
              <w:rPr>
                <w:sz w:val="20"/>
              </w:rPr>
            </w:pPr>
            <w:r>
              <w:rPr>
                <w:sz w:val="20"/>
              </w:rPr>
              <w:t>Title: </w:t>
            </w:r>
          </w:p>
        </w:tc>
        <w:tc>
          <w:tcPr>
            <w:tcW w:w="4731" w:type="dxa"/>
            <w:tcBorders/>
            <w:vAlign w:val="center"/>
          </w:tcPr>
          <w:p>
            <w:pPr>
              <w:pStyle w:val="TableContents"/>
              <w:bidi w:val="0"/>
              <w:spacing w:before="0" w:after="283"/>
              <w:jc w:val="left"/>
              <w:rPr>
                <w:sz w:val="20"/>
              </w:rPr>
            </w:pPr>
            <w:r>
              <w:rPr>
                <w:sz w:val="20"/>
              </w:rPr>
              <w:t>Authorized Signatory</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b/>
                <w:sz w:val="20"/>
              </w:rPr>
            </w:pPr>
            <w:r>
              <w:rPr>
                <w:b/>
                <w:sz w:val="20"/>
              </w:rPr>
              <w:t>LENDER:</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sz w:val="20"/>
              </w:rPr>
            </w:pPr>
            <w:r>
              <w:rPr>
                <w:sz w:val="20"/>
              </w:rPr>
              <w:t>HERCULES VENTURE GROWTH CREDIT OPPORTUNITIES FUND 1 L.P.</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sz w:val="20"/>
              </w:rPr>
            </w:pPr>
            <w:r>
              <w:rPr>
                <w:sz w:val="20"/>
              </w:rPr>
              <w:t>By: Hercules Adviser LLC, its Investment Adviser</w:t>
            </w:r>
          </w:p>
        </w:tc>
        <w:tc>
          <w:tcPr>
            <w:tcW w:w="60" w:type="dxa"/>
            <w:tcBorders/>
            <w:vAlign w:val="center"/>
          </w:tcPr>
          <w:p>
            <w:pPr>
              <w:pStyle w:val="TableContents"/>
              <w:bidi w:val="0"/>
              <w:spacing w:before="0" w:after="283"/>
              <w:jc w:val="left"/>
              <w:rPr/>
            </w:pPr>
            <w:r>
              <w:rPr/>
              <w:t> </w:t>
            </w:r>
          </w:p>
        </w:tc>
      </w:tr>
      <w:tr>
        <w:trPr/>
        <w:tc>
          <w:tcPr>
            <w:tcW w:w="6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53" w:type="dxa"/>
            <w:tcBorders/>
            <w:vAlign w:val="center"/>
          </w:tcPr>
          <w:p>
            <w:pPr>
              <w:pStyle w:val="TableContents"/>
              <w:bidi w:val="0"/>
              <w:spacing w:before="0" w:after="283"/>
              <w:jc w:val="left"/>
              <w:rPr>
                <w:sz w:val="20"/>
              </w:rPr>
            </w:pPr>
            <w:r>
              <w:rPr>
                <w:sz w:val="20"/>
              </w:rPr>
              <w:t>By:</w:t>
            </w:r>
          </w:p>
        </w:tc>
        <w:tc>
          <w:tcPr>
            <w:tcW w:w="473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Kiersten Bothelho</w:t>
            </w:r>
          </w:p>
        </w:tc>
        <w:tc>
          <w:tcPr>
            <w:tcW w:w="60" w:type="dxa"/>
            <w:tcBorders/>
            <w:vAlign w:val="center"/>
          </w:tcPr>
          <w:p>
            <w:pPr>
              <w:pStyle w:val="TableContents"/>
              <w:bidi w:val="0"/>
              <w:spacing w:before="0" w:after="283"/>
              <w:jc w:val="left"/>
              <w:rPr/>
            </w:pPr>
            <w:r>
              <w:rPr/>
              <w:t> </w:t>
            </w:r>
          </w:p>
        </w:tc>
      </w:tr>
      <w:tr>
        <w:trPr/>
        <w:tc>
          <w:tcPr>
            <w:tcW w:w="1453" w:type="dxa"/>
            <w:tcBorders/>
            <w:vAlign w:val="center"/>
          </w:tcPr>
          <w:p>
            <w:pPr>
              <w:pStyle w:val="TableContents"/>
              <w:bidi w:val="0"/>
              <w:spacing w:before="0" w:after="283"/>
              <w:jc w:val="left"/>
              <w:rPr>
                <w:sz w:val="20"/>
              </w:rPr>
            </w:pPr>
            <w:r>
              <w:rPr>
                <w:sz w:val="20"/>
              </w:rPr>
              <w:t>Name:</w:t>
            </w:r>
          </w:p>
        </w:tc>
        <w:tc>
          <w:tcPr>
            <w:tcW w:w="4731" w:type="dxa"/>
            <w:tcBorders/>
            <w:vAlign w:val="center"/>
          </w:tcPr>
          <w:p>
            <w:pPr>
              <w:pStyle w:val="TableContents"/>
              <w:bidi w:val="0"/>
              <w:spacing w:before="0" w:after="283"/>
              <w:jc w:val="left"/>
              <w:rPr>
                <w:sz w:val="20"/>
              </w:rPr>
            </w:pPr>
            <w:r>
              <w:rPr>
                <w:sz w:val="20"/>
              </w:rPr>
              <w:t>Kiersten Bothelho</w:t>
            </w:r>
          </w:p>
        </w:tc>
        <w:tc>
          <w:tcPr>
            <w:tcW w:w="60" w:type="dxa"/>
            <w:tcBorders/>
            <w:vAlign w:val="center"/>
          </w:tcPr>
          <w:p>
            <w:pPr>
              <w:pStyle w:val="TableContents"/>
              <w:bidi w:val="0"/>
              <w:spacing w:before="0" w:after="283"/>
              <w:jc w:val="left"/>
              <w:rPr/>
            </w:pPr>
            <w:r>
              <w:rPr/>
              <w:t> </w:t>
            </w:r>
          </w:p>
        </w:tc>
      </w:tr>
      <w:tr>
        <w:trPr/>
        <w:tc>
          <w:tcPr>
            <w:tcW w:w="1453" w:type="dxa"/>
            <w:tcBorders/>
            <w:vAlign w:val="center"/>
          </w:tcPr>
          <w:p>
            <w:pPr>
              <w:pStyle w:val="TableContents"/>
              <w:bidi w:val="0"/>
              <w:spacing w:before="0" w:after="283"/>
              <w:jc w:val="left"/>
              <w:rPr>
                <w:sz w:val="20"/>
              </w:rPr>
            </w:pPr>
            <w:r>
              <w:rPr>
                <w:sz w:val="20"/>
              </w:rPr>
              <w:t>Title: </w:t>
            </w:r>
          </w:p>
        </w:tc>
        <w:tc>
          <w:tcPr>
            <w:tcW w:w="4731" w:type="dxa"/>
            <w:tcBorders/>
            <w:vAlign w:val="center"/>
          </w:tcPr>
          <w:p>
            <w:pPr>
              <w:pStyle w:val="TableContents"/>
              <w:bidi w:val="0"/>
              <w:spacing w:before="0" w:after="283"/>
              <w:jc w:val="left"/>
              <w:rPr>
                <w:sz w:val="20"/>
              </w:rPr>
            </w:pPr>
            <w:r>
              <w:rPr>
                <w:sz w:val="20"/>
              </w:rPr>
              <w:t>Authorized Signatory</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Lenders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Forecast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333838d1_ex99-1.htm"/>
      <w:bookmarkStart w:id="26" w:name="kstm2333838d1_ex991"/>
      <w:bookmarkEnd w:id="25"/>
      <w:bookmarkEnd w:id="26"/>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868680" cy="4343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68680" cy="43434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Verona Pharma enters into Debt Facility of up to $400 Million with Oxford Finance and Hercules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Strengthens financial flexibility to support the Company’s continued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LONDON and RALEIGH, N.C., January 2, 2024</w:t>
      </w:r>
      <w:r>
        <w:rPr>
          <w:rFonts w:ascii="Times New Roman;Times;Serif" w:hAnsi="Times New Roman;Times;Serif"/>
          <w:b w:val="false"/>
          <w:i w:val="false"/>
          <w:caps w:val="false"/>
          <w:smallCaps w:val="false"/>
          <w:sz w:val="20"/>
        </w:rPr>
        <w:t xml:space="preserve"> – Verona Pharma plc (Nasdaq: VRNA) (“Verona Pharma”), announces it and its wholly-owned subsidiary, Verona Pharma, Inc. (the “Company”), have entered into a debt financing facility (“debt facility”) providing the Company with access to up to $400 million from funds managed by Oxford Finance LLC (“Oxford”) and Hercules Capital, Inc. (NYSE: HTGC) (“Hercules”) (collectively, the “Lenders”). The debt facility provides non-dilutive capital and further financial flexibility to support Verona Pharma’s continued growth, including the planned commercial launch of ensifentrine, Verona Pharma’s first-in-class product candidate, which is under review by the US Food and Drug Administration for the maintenance treatment of chronic obstructive pulmonary disease (“COPD”). The debt facility replaces the existing facility of up to $150 million with an affiliate of Oxford.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debt facility, the Company drew $50 million at closing, and may draw, subject to certain conditions precedent, an additional $100 million upon approval of ensifentrine, $150 million in two separate tranches upon achievement of certain net sales milestones and, subject to the approval of the Lenders, $100 million to support strategic initiatives. Verona Pharma will pay only interest on the outstanding loans under the debt facility for the first 53 months with the outstanding principal of the loans under the debt facility amortized over the subsequent 7 months. The $20 million drawn and fees and associated costs due to Oxford on the discharge of the existing debt facility will be paid to Oxford on closing of the debt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color w:val="232323"/>
          <w:shd w:fill="FFFFFF" w:val="clear"/>
        </w:rPr>
        <w:t>“</w:t>
      </w:r>
      <w:r>
        <w:rPr>
          <w:rFonts w:ascii="Times New Roman;Times;Serif" w:hAnsi="Times New Roman;Times;Serif"/>
          <w:b w:val="false"/>
          <w:i w:val="false"/>
          <w:caps w:val="false"/>
          <w:smallCaps w:val="false"/>
          <w:color w:val="232323"/>
          <w:sz w:val="20"/>
          <w:shd w:fill="FFFFFF" w:val="clear"/>
        </w:rPr>
        <w:t xml:space="preserve">We are pleased to have secured access to this expanded and flexible facility with Oxford, who has trusted us with debt finance over the past year, and having Hercules join as an additional financing partner. This new facility, </w:t>
      </w:r>
      <w:r>
        <w:rPr>
          <w:rFonts w:ascii="Times New Roman;Times;Serif" w:hAnsi="Times New Roman;Times;Serif"/>
          <w:b w:val="false"/>
          <w:i w:val="false"/>
          <w:caps w:val="false"/>
          <w:smallCaps w:val="false"/>
          <w:sz w:val="20"/>
        </w:rPr>
        <w:t xml:space="preserve">along with our existing cash, which was $257.4 million at September 30, 2023, provides us with additional </w:t>
      </w:r>
      <w:r>
        <w:rPr>
          <w:rFonts w:ascii="Times New Roman;Times;Serif" w:hAnsi="Times New Roman;Times;Serif"/>
          <w:b w:val="false"/>
          <w:i w:val="false"/>
          <w:caps w:val="false"/>
          <w:smallCaps w:val="false"/>
          <w:color w:val="232323"/>
          <w:sz w:val="20"/>
          <w:shd w:fill="FFFFFF" w:val="clear"/>
        </w:rPr>
        <w:t xml:space="preserve">financial flexibility to support Verona Pharma’s continued growth, including the planned </w:t>
      </w:r>
      <w:r>
        <w:rPr>
          <w:rFonts w:ascii="Times New Roman;Times;Serif" w:hAnsi="Times New Roman;Times;Serif"/>
          <w:b w:val="false"/>
          <w:i w:val="false"/>
          <w:caps w:val="false"/>
          <w:smallCaps w:val="false"/>
          <w:sz w:val="20"/>
        </w:rPr>
        <w:t>launch of ensifentrine in the US, if approved,” said David Zaccardelli, Pharm. D., President and Chief Executive Officer. “We look forward to the Prescription Drug User Fee Act (“PDUFA”) target action date of June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thrilled to announce our expanded financial support for our existing client, Verona Pharma,” said Adam K. Soller, Managing Director at Oxford. “As we anticipate their first potential approval of the company’s lead product candidate, ensifentrine, for the maintenance treatment of patients with COPD, our increased loan facility underscores our commitment to advancing ground-breaking solutions for respiratory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excited to collaborate with Verona Pharma as they take the next step in their important mission of bringing a novel treatment to COPD patients worldwide,” said Michael McMahon, Director of Healthcare and Life Sciences with Hercules. “Verona Pharma has many of the underpinnings Hercules looks for when partnering with companies: the combination of an experienced team, a novel, efficacious treatment and, most importantly, the potential to address a large, underserved patient population,” added Kristen Kosofsky, Senior Managing Director of Healthcare and Life Sciences with Hercules.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please contact: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5" w:type="dxa"/>
        <w:shd w:fill="FFFFFF" w:val="clear"/>
        <w:tblLayout w:type="fixed"/>
        <w:tblCellMar>
          <w:top w:w="75" w:type="dxa"/>
          <w:left w:w="150" w:type="dxa"/>
          <w:bottom w:w="75" w:type="dxa"/>
          <w:right w:w="150" w:type="dxa"/>
        </w:tblCellMar>
      </w:tblPr>
      <w:tblGrid>
        <w:gridCol w:w="6120"/>
        <w:gridCol w:w="4085"/>
      </w:tblGrid>
      <w:tr>
        <w:trPr/>
        <w:tc>
          <w:tcPr>
            <w:tcW w:w="6120"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Verona Pharma plc</w:t>
            </w:r>
          </w:p>
        </w:tc>
        <w:tc>
          <w:tcPr>
            <w:tcW w:w="4085"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Tel: +1-833-417-0262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 Tel: +44 (0)203 283 4200</w:t>
            </w:r>
          </w:p>
        </w:tc>
      </w:tr>
      <w:tr>
        <w:trPr/>
        <w:tc>
          <w:tcPr>
            <w:tcW w:w="6120"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Victoria Stewart, Senior Director of Investor Relations and Communications</w:t>
            </w:r>
          </w:p>
        </w:tc>
        <w:tc>
          <w:tcPr>
            <w:tcW w:w="4085"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IR@veronapharma.com</w:t>
            </w:r>
          </w:p>
        </w:tc>
      </w:tr>
      <w:tr>
        <w:trPr/>
        <w:tc>
          <w:tcPr>
            <w:tcW w:w="6120"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Argot Partners</w:t>
            </w:r>
            <w:r>
              <w:rPr>
                <w:rFonts w:ascii="Times New Roman;Times;Serif" w:hAnsi="Times New Roman;Times;Serif"/>
              </w:rPr>
              <w:br/>
              <w:t>US Investor Enquiries</w:t>
            </w:r>
          </w:p>
        </w:tc>
        <w:tc>
          <w:tcPr>
            <w:tcW w:w="4085"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Tel: +1-212-600-1902</w:t>
              <w:br/>
            </w:r>
            <w:r>
              <w:rPr>
                <w:rFonts w:ascii="Times New Roman;Times;Serif" w:hAnsi="Times New Roman;Times;Serif"/>
                <w:u w:val="single"/>
              </w:rPr>
              <w:t>verona@argotpartners.com</w:t>
            </w:r>
          </w:p>
        </w:tc>
      </w:tr>
      <w:tr>
        <w:trPr/>
        <w:tc>
          <w:tcPr>
            <w:tcW w:w="6120"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Ten Bridge Communications</w:t>
            </w:r>
            <w:r>
              <w:rPr>
                <w:rFonts w:ascii="Times New Roman;Times;Serif" w:hAnsi="Times New Roman;Times;Serif"/>
              </w:rPr>
              <w:br/>
              <w:t>International / US Media Enquiries</w:t>
            </w:r>
          </w:p>
        </w:tc>
        <w:tc>
          <w:tcPr>
            <w:tcW w:w="4085"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Tel: +1-312-523-5016</w:t>
              <w:br/>
            </w:r>
            <w:r>
              <w:rPr>
                <w:rFonts w:ascii="Times New Roman;Times;Serif" w:hAnsi="Times New Roman;Times;Serif"/>
                <w:color w:val="000000"/>
                <w:u w:val="single"/>
              </w:rPr>
              <w:t>tbcverona@tenbridgecommunications.com</w:t>
            </w:r>
          </w:p>
        </w:tc>
      </w:tr>
      <w:tr>
        <w:trPr/>
        <w:tc>
          <w:tcPr>
            <w:tcW w:w="6120"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Leslie Humbel</w:t>
            </w:r>
          </w:p>
        </w:tc>
        <w:tc>
          <w:tcPr>
            <w:tcW w:w="4085"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Verona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Verona Pharma is a clinical-stage biopharmaceutical company focused on developing and commercializing innovative therapies for the treatment of chronic respiratory diseases with significant unmet medical needs. If successfully developed and approved, Verona Pharma’s product candidate, ensifentrine, has the potential to become the first non-steroidal therapy for the treatment of respiratory diseases that combines bronchodilator and anti-inflammatory activities in one molecule. The Company has evaluated nebulized ensifentrine in its Phase 3 clinical program ENHANCE (“Ensifentrine as a Novel inHAled Nebulized COPD thErapy”) for COPD maintenance treatment. Ensifentrine met the primary endpoint in both ENHANCE-1 and ENHANCE-2 trials demonstrating statistically significant and clinically meaningful improvements in lung function. In addition, ensifentrine substantially reduced the rate and risk of COPD exacerbations in pooled analysis from ENHANCE-1 and ENHANCE-2. In the third quarter of 2023, the US Food and Drug Administration accepted for review the Company’s NDA for ensifentrine for the maintenance treatment of patients with COPD and assigned a PDUFA target action date of June 26, 2024. Two additional formulations of ensifentrine have been evaluated in Phase 2 trials for the treatment of COPD: dry powder inhaler (“DPI”) and pressurized metered-dose inhaler (“pMDI”). Ensifentrine has potential applications in cystic fibrosis, non-cystic fibrosis bronchiectasis, asthma and other respiratory diseases. For more information, please visit </w:t>
      </w:r>
      <w:r>
        <w:rPr>
          <w:rFonts w:ascii="Times New Roman;Times;Serif" w:hAnsi="Times New Roman;Times;Serif"/>
          <w:b w:val="false"/>
          <w:i w:val="false"/>
          <w:caps w:val="false"/>
          <w:smallCaps w:val="false"/>
          <w:color w:val="000000"/>
          <w:sz w:val="20"/>
          <w:u w:val="single"/>
        </w:rPr>
        <w:t>www.veronapharma.com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Oxford Finance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Finance LLC is a specialty finance firm providing senior secured loans to public and private life sciences and healthcare services companies worldwide. For over 20 years, Oxford has delivered flexible financing solutions to over 700 companies, allowing borrowers to maximize their equity by leveraging their assets. Since 2002, Oxford has originated more than $11 billion in loans. Oxford is headquartered in Alexandria, Virginia, with additional offices serving the greater San Diego, San Francisco, Boston and New York City metropolitan areas. For more information, visit </w:t>
      </w:r>
      <w:r>
        <w:rPr>
          <w:rFonts w:ascii="Times New Roman;Times;Serif" w:hAnsi="Times New Roman;Times;Serif"/>
          <w:b w:val="false"/>
          <w:i w:val="false"/>
          <w:caps w:val="false"/>
          <w:smallCaps w:val="false"/>
          <w:sz w:val="20"/>
          <w:u w:val="single"/>
        </w:rPr>
        <w:t>https://oxfordfinance.com.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Hercules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Capital, Inc. (NYSE: HTGC) is the leading and largest specialty finance company focused on providing senior secured venture growth loans to high-growth, innovative venture capital-backed companies in a broad variety of technology, life sciences and sustainable and renewable technology industries. Since inception (December 2003), Hercules has committed more than $18 billion to over 640 companies and is the lender of choice for entrepreneurs and venture capital firms seeking growth capital financing. Companies interested in learning more about financing opportunities should contact info@htgc.com, or call 650.289.3060.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All statements contained in this press release that do not relate to matters of historical fact should be considered forward-looking statements, including, but not limited to, statements regarding the debt facility providing non-dilutive capital and further financial flexibility to support Verona Pharma’s continued growth, including the planned commercial launch of ensifentrine, statements regarding the future availability of future draws under the debt facility, the potential for ensifentrine to be the first therapy for the treatment of respiratory diseases to combine bronchodilator and non-steroidal anti-inflammatory benefits in one compound, and the potential of ensifentrine in the treatment of cystic fibrosis, non-cystic fibrosis bronchiectasis, asthma and other respiratory diseases, as well as the potential of the DPI and pMDI formulations of ensifentrine.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geo-political actions and unexpected events, including health epidemics or pandemics like the COVID-19 pandemic, and conflicts such as the Russia-Ukraine conflict, which has and may continue to adversely impact our business. These and other important factors under the caption “Risk Factors” in our Annual Report on Form 10-K for the year ended December 31, 2022, as updated in our Quarterly Reports on Form 10-Q for the quarters ended March 31, 2023, June 30, 2023 and September 30, 2023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40385</Words>
  <Characters>217923</Characters>
  <CharactersWithSpaces>261183</CharactersWithSpaces>
  <Paragraphs>1623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