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Verona Pharma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United Kingdom</w:t>
            </w: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001-39067</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16"/>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7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17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London SE1 2RE</w:t>
            </w:r>
          </w:p>
        </w:tc>
        <w:tc>
          <w:tcPr>
            <w:tcW w:w="17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760" w:type="dxa"/>
            <w:vAlign w:val="bottom"/>
          </w:tcPr>
          <w:p>
            <w:pPr>
              <w:spacing w:after="0"/>
              <w:rPr>
                <w:sz w:val="18"/>
                <w:szCs w:val="18"/>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76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+44 203 283 4200</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N/A</w:t>
            </w:r>
          </w:p>
        </w:tc>
        <w:tc>
          <w:tcPr>
            <w:tcW w:w="176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18"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32" w:lineRule="exact"/>
        <w:rPr>
          <w:sz w:val="24"/>
          <w:szCs w:val="24"/>
          <w:color w:val="auto"/>
        </w:rPr>
      </w:pPr>
    </w:p>
    <w:p>
      <w:pPr>
        <w:ind w:left="460"/>
        <w:spacing w:after="0" w:line="207" w:lineRule="exact"/>
        <w:tabs>
          <w:tab w:leader="none" w:pos="8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nominal value £0.05 per share*</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VRNA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6" w:lineRule="exact"/>
        <w:rPr>
          <w:sz w:val="24"/>
          <w:szCs w:val="24"/>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The ordinary shares are represented by American Depositary Shares (each representing 8 ordinary shares), which are exempt from the operation of Section 12(a) of the Securities Exchange Act of 1934, as amended, pursuant to Rule 12a-8 thereunder.</w:t>
      </w:r>
    </w:p>
    <w:p>
      <w:pPr>
        <w:spacing w:after="0" w:line="160"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24" w:right="339" w:bottom="90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On February 25, 2021, Verona Pharma plc announced its financial results for the quarter and year ended December 31, 2020. The full text of the press release issued in connection with the announcement is furnished as Exhibit 99.1 to this Current Report on Form 8-K.</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shall be deemed to be furnished, and not filed: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1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140"/>
        <w:spacing w:after="0"/>
        <w:tabs>
          <w:tab w:leader="none" w:pos="1000" w:val="left"/>
        </w:tabs>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3">
        <w:r>
          <w:rPr>
            <w:rFonts w:ascii="Times New Roman" w:cs="Times New Roman" w:eastAsia="Times New Roman" w:hAnsi="Times New Roman"/>
            <w:sz w:val="18"/>
            <w:szCs w:val="18"/>
            <w:u w:val="single" w:color="auto"/>
            <w:color w:val="0000EE"/>
          </w:rPr>
          <w:t>Press Release issued on February 25, 2021</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VERONA PHARMA PLC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2021</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David Zaccardelli, Pharm. D.</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David Zaccardelli, Pharm. D.</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Reports Fourth Quarter and Full Year 2020 Financial Results and Provides Corporate Update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Positive Phase 2 results with pMDI ensifentrine in COPD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Enrollment ongoing in ENHANCE Phase 3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Up to $30 million debt finance facility increases financial flexibility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today at 9:00 a.m. EST / 2:00 p.m. GMT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RALEIGH, N.C., February 25, 2021 </w:t>
      </w:r>
      <w:r>
        <w:rPr>
          <w:rFonts w:ascii="Times New Roman" w:cs="Times New Roman" w:eastAsia="Times New Roman" w:hAnsi="Times New Roman"/>
          <w:sz w:val="18"/>
          <w:szCs w:val="18"/>
          <w:color w:val="auto"/>
        </w:rPr>
        <w:t>– Verona Pharma plc (Nasdaq: VRNA) (“Verona Pharma” or the “Company”), a clinical-stage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focused on respiratory diseases, announces its financial results for the fourth quarter and full year ended December 31, 2020, and provides a corporate update.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“2020 was a transformative year for Verona Pharma,” said David Zaccardelli, Pharm. D., President and Chief Executive Officer. "We started the year with positive data from a Phase 2b trial where nebulized ensifentrine demonstrated clinically meaningful improvements in lung function and quality of life measures when added-on to single bronchodilator therapy. In May, we received End-of-Phase 2 guidance from the U.S. Food and Drug Administration on the design of our Phase 3 ENHANCE (“Ensifentrine as a Novel inHAled Nebulized COPD thErapy”) clinical development program and, in September, we began enrollment. This progress was made possible by strong support from the investment community through our $200 million private placement completed in July.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“2021 is already off to a great start with the recently announced positive Phase 2 clinical results with the pMDI formulation of ensifentrine in moderate to severe COPD patients. We anticipate top-line data from the pilot COVID-19 study of ensifentrine in the second quarter of 2021. In addition, patient enrollment in the ENHANCE program is ongoing and we expect to complete enrollment in both studies in the second half of 2021. Based on our recruitment projections, top-line data from ENHANCE-2 is expected in the first half of 2022 and from ENHANCE-1 in the second half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Fourth Quarter and Recent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Clinical</w:t>
      </w:r>
    </w:p>
    <w:p>
      <w:pPr>
        <w:spacing w:after="0" w:line="229" w:lineRule="exact"/>
        <w:rPr>
          <w:sz w:val="20"/>
          <w:szCs w:val="20"/>
          <w:color w:val="auto"/>
        </w:rPr>
      </w:pPr>
    </w:p>
    <w:p>
      <w:pPr>
        <w:ind w:left="620" w:hanging="302"/>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2021, Verona Pharma announced positive Phase 2 efficacy and safety data with pMDI ensifentrine in patients with moderate to severe COPD. The primary and secondary lung function endpoints were achieved and the data support twice-daily dosing.</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the Company completed enrollment of 45 patients in its pilot clinical study evaluating the efficacy and safety of pMDI ensifentrine in U.S. patients hospitalized with COVID-19. Top-line results are expected in the second quarter of 2021.</w:t>
      </w:r>
    </w:p>
    <w:p>
      <w:pPr>
        <w:spacing w:after="0" w:line="161" w:lineRule="exact"/>
        <w:rPr>
          <w:rFonts w:ascii="Times New Roman" w:cs="Times New Roman" w:eastAsia="Times New Roman" w:hAnsi="Times New Roman"/>
          <w:sz w:val="18"/>
          <w:szCs w:val="18"/>
          <w:color w:val="auto"/>
        </w:rPr>
      </w:pPr>
    </w:p>
    <w:p>
      <w:pPr>
        <w:ind w:left="620" w:hanging="302"/>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the Company presented favorable symptom and quality of life data from a Phase 2b clinical trial with nebulized ensifentrine in COPD at CHEST Annual Meeting 2020. The posters highlighted ensifentrine’s potential to provide rapid benefits to symptomatic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w:t>
      </w:r>
    </w:p>
    <w:p>
      <w:pPr>
        <w:spacing w:after="0" w:line="229" w:lineRule="exact"/>
        <w:rPr>
          <w:sz w:val="20"/>
          <w:szCs w:val="20"/>
          <w:color w:val="auto"/>
        </w:rPr>
      </w:pPr>
    </w:p>
    <w:p>
      <w:pPr>
        <w:ind w:left="620" w:hanging="302"/>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the Company entered into a debt financing facility for up to $30 million with Silicon Valley Bank. The non-dilutive capital provides further financial flexibility to support pre-commercialization activities for ensifentrine.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2020, Verona Pharma delisted from the AIM Market of the London Stock Exchange in an effort to enhance liquidity of trading by combining all transactions on the Nasdaq Global Market (“Nasdaq”) and to reduce costs through removing duplicative listing and compliance fees. The Company’s American Depositary Shares remain publicly traded on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Key Milestones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near-term milestones include:</w:t>
      </w:r>
    </w:p>
    <w:p>
      <w:pPr>
        <w:spacing w:after="0" w:line="225" w:lineRule="exact"/>
        <w:rPr>
          <w:sz w:val="20"/>
          <w:szCs w:val="20"/>
          <w:color w:val="auto"/>
        </w:rPr>
      </w:pPr>
    </w:p>
    <w:p>
      <w:pPr>
        <w:ind w:left="620" w:right="20" w:hanging="302"/>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top-line data from a pilot clinical study evaluating the pMDI formulation of ensifentrine in U.S. patients hospitalized with COVID-19 in the second quarter of 2021.</w:t>
      </w:r>
    </w:p>
    <w:p>
      <w:pPr>
        <w:spacing w:after="0" w:line="161"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recruitment projections, the Company expects to complete enrollment in both Phase 3 trials, ENHANCE-1 and ENHANCE-2, with the nebulized formulation of ensifentrine for the maintenance treatment of COPD in the second half of 2021.</w:t>
      </w:r>
    </w:p>
    <w:p>
      <w:pPr>
        <w:spacing w:after="0" w:line="161" w:lineRule="exact"/>
        <w:rPr>
          <w:rFonts w:ascii="Times New Roman" w:cs="Times New Roman" w:eastAsia="Times New Roman" w:hAnsi="Times New Roman"/>
          <w:sz w:val="18"/>
          <w:szCs w:val="18"/>
          <w:color w:val="auto"/>
        </w:rPr>
      </w:pPr>
    </w:p>
    <w:p>
      <w:pPr>
        <w:ind w:left="620" w:right="20" w:hanging="302"/>
        <w:spacing w:after="0" w:line="282"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term, based on forecasted recruitment, the Company expects to announce top-line data from ENHANCE-2 in the first half of 2022 and ENHANCE-1 in the second half of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2020 Financial Results</w:t>
      </w:r>
    </w:p>
    <w:p>
      <w:pPr>
        <w:spacing w:after="0" w:line="225" w:lineRule="exact"/>
        <w:rPr>
          <w:sz w:val="20"/>
          <w:szCs w:val="20"/>
          <w:color w:val="auto"/>
        </w:rPr>
      </w:pPr>
    </w:p>
    <w:p>
      <w:pPr>
        <w:jc w:val="both"/>
        <w:ind w:left="620" w:hanging="302"/>
        <w:spacing w:after="0" w:line="26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short term investments at December 31, 2020, were $188.0 million (December 31, 2019: $40.8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We believe our cash and cash equivalents at December 31, 2020, together with funding expected to become available under the $30.0 million debt financing facility secured in November and from cash receipts from U.K. tax credits, will enable us to fund our planned operating expenses and capital expenditure requirements into 2023.</w:t>
      </w:r>
    </w:p>
    <w:p>
      <w:pPr>
        <w:spacing w:after="0" w:line="176"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(“R&amp;D”) expenses were $16.4 million for the fourth quarter ended December 31, 2020 (Q4 2019:</w:t>
      </w:r>
    </w:p>
    <w:p>
      <w:pPr>
        <w:spacing w:after="0" w:line="31" w:lineRule="exact"/>
        <w:rPr>
          <w:rFonts w:ascii="Times New Roman" w:cs="Times New Roman" w:eastAsia="Times New Roman" w:hAnsi="Times New Roman"/>
          <w:sz w:val="18"/>
          <w:szCs w:val="18"/>
          <w:color w:val="auto"/>
        </w:rPr>
      </w:pPr>
    </w:p>
    <w:p>
      <w:pPr>
        <w:ind w:left="6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million) and $44.5 million for the year ended December 31, 2020 (full year 2019: $42.4 million). The increase of $2.1 million was primarily attributable to an increase in share-based compensation charges and salary and related costs as we expanded the clinical development team.</w:t>
      </w:r>
    </w:p>
    <w:p>
      <w:pPr>
        <w:spacing w:after="0" w:line="177"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G&amp;A Expenses: </w:t>
      </w:r>
      <w:r>
        <w:rPr>
          <w:rFonts w:ascii="Times New Roman" w:cs="Times New Roman" w:eastAsia="Times New Roman" w:hAnsi="Times New Roman"/>
          <w:sz w:val="18"/>
          <w:szCs w:val="18"/>
          <w:color w:val="auto"/>
        </w:rPr>
        <w:t>General and administrative expenses (“G&amp;A”) were $11.3 million for the fourth quarter ended December 31, 2020 (Q4 2019:</w:t>
      </w:r>
    </w:p>
    <w:p>
      <w:pPr>
        <w:spacing w:after="0" w:line="31" w:lineRule="exact"/>
        <w:rPr>
          <w:rFonts w:ascii="Times New Roman" w:cs="Times New Roman" w:eastAsia="Times New Roman" w:hAnsi="Times New Roman"/>
          <w:sz w:val="18"/>
          <w:szCs w:val="18"/>
          <w:color w:val="auto"/>
        </w:rPr>
      </w:pPr>
    </w:p>
    <w:p>
      <w:pPr>
        <w:jc w:val="both"/>
        <w:ind w:left="6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G&amp;A expenses $2.3 million) and $29.8 million for the year ended December 31, 2020 (full year 2019: G&amp;A expenses $10.0 million), an increase of $19.8 million. This increase was primarily due to share-based compensation charges, severance costs, salaries, higher Director and Officers insurance premiums and costs related to the private placement.</w:t>
      </w:r>
    </w:p>
    <w:p>
      <w:pPr>
        <w:spacing w:after="0" w:line="181" w:lineRule="exact"/>
        <w:rPr>
          <w:rFonts w:ascii="Times New Roman" w:cs="Times New Roman" w:eastAsia="Times New Roman" w:hAnsi="Times New Roman"/>
          <w:sz w:val="18"/>
          <w:szCs w:val="18"/>
          <w:color w:val="auto"/>
        </w:rPr>
      </w:pPr>
    </w:p>
    <w:p>
      <w:pPr>
        <w:ind w:left="620" w:hanging="30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$24.8 million for the fourth quarter ended December 31, 2020 (Q4 2019: net loss $9.5 million) and $65.1 million for the</w:t>
      </w:r>
    </w:p>
    <w:p>
      <w:pPr>
        <w:spacing w:after="0" w:line="31"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ended December 31, 2020 (full year 2019: net loss $40.6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2323"/>
        </w:rPr>
        <w:t>Conference Call and Webcast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Verona Pharma will host an investment community conference call at 9:00 a.m. EST/2:00 p.m. GMT on Thursday, February 25, 2021 to discuss the fourth quarter and full year 2020 financial results and the corporate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Analysts and investors may participate by dialing one of the following numbers and reference conference number: 7681320:</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+1-888-317-6003 for callers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+1-412-317-6061 for international callers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live webcast will be available on the Events and Presentations link on the Investors page of the Company's website, www.veronapharma.com, and an audio replay will be available there for 30 days. An electronic copy of the fourth quarter and full year 2020 results release will also be made available today on the Company’s website. This press release does not constitute an offer to sell or the solicitation of an offer to buy any of the Company’s securities, and shall not constitute an offer, solicitation or sale in any jurisdiction in which such offer, solicitation or sale would be unlawful prior to registration or qualification under the securities laws of that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5980" w:type="dxa"/>
            <w:vAlign w:val="bottom"/>
            <w:tcBorders>
              <w:top w:val="single" w:sz="8" w:color="C0C0C0"/>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Verona Pharma plc</w:t>
            </w:r>
          </w:p>
        </w:tc>
        <w:tc>
          <w:tcPr>
            <w:tcW w:w="120" w:type="dxa"/>
            <w:vAlign w:val="bottom"/>
            <w:tcBorders>
              <w:top w:val="single" w:sz="8" w:color="C0C0C0"/>
            </w:tcBorders>
          </w:tcPr>
          <w:p>
            <w:pPr>
              <w:spacing w:after="0"/>
              <w:rPr>
                <w:sz w:val="24"/>
                <w:szCs w:val="24"/>
                <w:color w:val="auto"/>
              </w:rPr>
            </w:pPr>
          </w:p>
        </w:tc>
        <w:tc>
          <w:tcPr>
            <w:tcW w:w="5140" w:type="dxa"/>
            <w:vAlign w:val="bottom"/>
            <w:tcBorders>
              <w:top w:val="single" w:sz="8" w:color="C0C0C0"/>
              <w:right w:val="single" w:sz="8" w:color="C0C0C0"/>
            </w:tcBorders>
            <w:gridSpan w:val="4"/>
          </w:tcPr>
          <w:p>
            <w:pPr>
              <w:ind w:left="20"/>
              <w:spacing w:after="0"/>
              <w:rPr>
                <w:sz w:val="20"/>
                <w:szCs w:val="20"/>
                <w:color w:val="auto"/>
              </w:rPr>
            </w:pPr>
            <w:r>
              <w:rPr>
                <w:rFonts w:ascii="Times New Roman" w:cs="Times New Roman" w:eastAsia="Times New Roman" w:hAnsi="Times New Roman"/>
                <w:sz w:val="18"/>
                <w:szCs w:val="18"/>
                <w:color w:val="auto"/>
              </w:rPr>
              <w:t>US Tel: +1-833-417-0262</w:t>
            </w:r>
          </w:p>
        </w:tc>
      </w:tr>
      <w:tr>
        <w:trPr>
          <w:trHeight w:val="234"/>
        </w:trPr>
        <w:tc>
          <w:tcPr>
            <w:tcW w:w="5980" w:type="dxa"/>
            <w:vAlign w:val="bottom"/>
            <w:tcBorders>
              <w:left w:val="single" w:sz="8" w:color="C0C0C0"/>
              <w:right w:val="single" w:sz="8" w:color="C0C0C0"/>
            </w:tcBorders>
          </w:tcPr>
          <w:p>
            <w:pPr>
              <w:spacing w:after="0"/>
              <w:rPr>
                <w:sz w:val="20"/>
                <w:szCs w:val="20"/>
                <w:color w:val="auto"/>
              </w:rPr>
            </w:pPr>
          </w:p>
        </w:tc>
        <w:tc>
          <w:tcPr>
            <w:tcW w:w="120" w:type="dxa"/>
            <w:vAlign w:val="bottom"/>
          </w:tcPr>
          <w:p>
            <w:pPr>
              <w:spacing w:after="0"/>
              <w:rPr>
                <w:sz w:val="20"/>
                <w:szCs w:val="20"/>
                <w:color w:val="auto"/>
              </w:rPr>
            </w:pPr>
          </w:p>
        </w:tc>
        <w:tc>
          <w:tcPr>
            <w:tcW w:w="5140" w:type="dxa"/>
            <w:vAlign w:val="bottom"/>
            <w:tcBorders>
              <w:right w:val="single" w:sz="8" w:color="C0C0C0"/>
            </w:tcBorders>
            <w:gridSpan w:val="4"/>
          </w:tcPr>
          <w:p>
            <w:pPr>
              <w:ind w:left="20"/>
              <w:spacing w:after="0"/>
              <w:rPr>
                <w:sz w:val="20"/>
                <w:szCs w:val="20"/>
                <w:color w:val="auto"/>
              </w:rPr>
            </w:pPr>
            <w:r>
              <w:rPr>
                <w:rFonts w:ascii="Times New Roman" w:cs="Times New Roman" w:eastAsia="Times New Roman" w:hAnsi="Times New Roman"/>
                <w:sz w:val="18"/>
                <w:szCs w:val="18"/>
                <w:color w:val="auto"/>
              </w:rPr>
              <w:t>UK Tel: +44 (0)203 283 4200</w:t>
            </w:r>
          </w:p>
        </w:tc>
      </w:tr>
      <w:tr>
        <w:trPr>
          <w:trHeight w:val="68"/>
        </w:trPr>
        <w:tc>
          <w:tcPr>
            <w:tcW w:w="5980" w:type="dxa"/>
            <w:vAlign w:val="bottom"/>
            <w:tcBorders>
              <w:left w:val="single" w:sz="8" w:color="C0C0C0"/>
              <w:bottom w:val="single" w:sz="8" w:color="C0C0C0"/>
              <w:right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1840" w:type="dxa"/>
            <w:vAlign w:val="bottom"/>
            <w:tcBorders>
              <w:bottom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220" w:type="dxa"/>
            <w:vAlign w:val="bottom"/>
            <w:tcBorders>
              <w:bottom w:val="single" w:sz="8" w:color="C0C0C0"/>
            </w:tcBorders>
          </w:tcPr>
          <w:p>
            <w:pPr>
              <w:spacing w:after="0"/>
              <w:rPr>
                <w:sz w:val="5"/>
                <w:szCs w:val="5"/>
                <w:color w:val="auto"/>
              </w:rPr>
            </w:pPr>
          </w:p>
        </w:tc>
        <w:tc>
          <w:tcPr>
            <w:tcW w:w="2960" w:type="dxa"/>
            <w:vAlign w:val="bottom"/>
            <w:tcBorders>
              <w:bottom w:val="single" w:sz="8" w:color="C0C0C0"/>
              <w:right w:val="single" w:sz="8" w:color="C0C0C0"/>
            </w:tcBorders>
          </w:tcPr>
          <w:p>
            <w:pPr>
              <w:spacing w:after="0"/>
              <w:rPr>
                <w:sz w:val="5"/>
                <w:szCs w:val="5"/>
                <w:color w:val="auto"/>
              </w:rPr>
            </w:pPr>
          </w:p>
        </w:tc>
      </w:tr>
      <w:tr>
        <w:trPr>
          <w:trHeight w:val="237"/>
        </w:trPr>
        <w:tc>
          <w:tcPr>
            <w:tcW w:w="5980" w:type="dxa"/>
            <w:vAlign w:val="bottom"/>
            <w:tcBorders>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color w:val="auto"/>
              </w:rPr>
              <w:t>Victoria Stewart, Director of Communications</w:t>
            </w:r>
          </w:p>
        </w:tc>
        <w:tc>
          <w:tcPr>
            <w:tcW w:w="120" w:type="dxa"/>
            <w:vAlign w:val="bottom"/>
          </w:tcPr>
          <w:p>
            <w:pPr>
              <w:spacing w:after="0"/>
              <w:rPr>
                <w:sz w:val="20"/>
                <w:szCs w:val="20"/>
                <w:color w:val="auto"/>
              </w:rPr>
            </w:pPr>
          </w:p>
        </w:tc>
        <w:tc>
          <w:tcPr>
            <w:tcW w:w="5140" w:type="dxa"/>
            <w:vAlign w:val="bottom"/>
            <w:tcBorders>
              <w:right w:val="single" w:sz="8" w:color="C0C0C0"/>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info@veronapharma.com</w:t>
            </w:r>
          </w:p>
        </w:tc>
      </w:tr>
      <w:tr>
        <w:trPr>
          <w:trHeight w:val="353"/>
        </w:trPr>
        <w:tc>
          <w:tcPr>
            <w:tcW w:w="5980" w:type="dxa"/>
            <w:vAlign w:val="bottom"/>
            <w:tcBorders>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Argot Partners</w:t>
            </w:r>
          </w:p>
        </w:tc>
        <w:tc>
          <w:tcPr>
            <w:tcW w:w="120" w:type="dxa"/>
            <w:vAlign w:val="bottom"/>
          </w:tcPr>
          <w:p>
            <w:pPr>
              <w:spacing w:after="0"/>
              <w:rPr>
                <w:sz w:val="24"/>
                <w:szCs w:val="24"/>
                <w:color w:val="auto"/>
              </w:rPr>
            </w:pPr>
          </w:p>
        </w:tc>
        <w:tc>
          <w:tcPr>
            <w:tcW w:w="1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Tel: +1-212-600-1902</w:t>
            </w:r>
          </w:p>
        </w:tc>
        <w:tc>
          <w:tcPr>
            <w:tcW w:w="3300" w:type="dxa"/>
            <w:vAlign w:val="bottom"/>
            <w:tcBorders>
              <w:right w:val="single" w:sz="8" w:color="C0C0C0"/>
            </w:tcBorders>
            <w:gridSpan w:val="3"/>
          </w:tcPr>
          <w:p>
            <w:pPr>
              <w:spacing w:after="0"/>
              <w:rPr>
                <w:sz w:val="24"/>
                <w:szCs w:val="24"/>
                <w:color w:val="auto"/>
              </w:rPr>
            </w:pPr>
          </w:p>
        </w:tc>
      </w:tr>
      <w:tr>
        <w:trPr>
          <w:trHeight w:val="194"/>
        </w:trPr>
        <w:tc>
          <w:tcPr>
            <w:tcW w:w="5980" w:type="dxa"/>
            <w:vAlign w:val="bottom"/>
            <w:tcBorders>
              <w:left w:val="single" w:sz="8" w:color="C0C0C0"/>
              <w:right w:val="single" w:sz="8" w:color="C0C0C0"/>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(US Investor Enquiries)</w:t>
            </w:r>
          </w:p>
        </w:tc>
        <w:tc>
          <w:tcPr>
            <w:tcW w:w="120" w:type="dxa"/>
            <w:vAlign w:val="bottom"/>
          </w:tcPr>
          <w:p>
            <w:pPr>
              <w:spacing w:after="0"/>
              <w:rPr>
                <w:sz w:val="16"/>
                <w:szCs w:val="16"/>
                <w:color w:val="auto"/>
              </w:rPr>
            </w:pPr>
          </w:p>
        </w:tc>
        <w:tc>
          <w:tcPr>
            <w:tcW w:w="5140" w:type="dxa"/>
            <w:vAlign w:val="bottom"/>
            <w:tcBorders>
              <w:right w:val="single" w:sz="8" w:color="C0C0C0"/>
            </w:tcBorders>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verona@argotpartners.com</w:t>
            </w:r>
          </w:p>
        </w:tc>
      </w:tr>
      <w:tr>
        <w:trPr>
          <w:trHeight w:val="88"/>
        </w:trPr>
        <w:tc>
          <w:tcPr>
            <w:tcW w:w="5980" w:type="dxa"/>
            <w:vAlign w:val="bottom"/>
            <w:tcBorders>
              <w:left w:val="single" w:sz="8" w:color="C0C0C0"/>
              <w:bottom w:val="single" w:sz="8" w:color="C0C0C0"/>
              <w:right w:val="single" w:sz="8" w:color="C0C0C0"/>
            </w:tcBorders>
          </w:tcPr>
          <w:p>
            <w:pPr>
              <w:spacing w:after="0"/>
              <w:rPr>
                <w:sz w:val="7"/>
                <w:szCs w:val="7"/>
                <w:color w:val="auto"/>
              </w:rPr>
            </w:pPr>
          </w:p>
        </w:tc>
        <w:tc>
          <w:tcPr>
            <w:tcW w:w="120" w:type="dxa"/>
            <w:vAlign w:val="bottom"/>
            <w:tcBorders>
              <w:bottom w:val="single" w:sz="8" w:color="C0C0C0"/>
            </w:tcBorders>
          </w:tcPr>
          <w:p>
            <w:pPr>
              <w:spacing w:after="0"/>
              <w:rPr>
                <w:sz w:val="7"/>
                <w:szCs w:val="7"/>
                <w:color w:val="auto"/>
              </w:rPr>
            </w:pPr>
          </w:p>
        </w:tc>
        <w:tc>
          <w:tcPr>
            <w:tcW w:w="1840" w:type="dxa"/>
            <w:vAlign w:val="bottom"/>
            <w:tcBorders>
              <w:top w:val="single" w:sz="8" w:color="auto"/>
              <w:bottom w:val="single" w:sz="8" w:color="C0C0C0"/>
            </w:tcBorders>
          </w:tcPr>
          <w:p>
            <w:pPr>
              <w:spacing w:after="0"/>
              <w:rPr>
                <w:sz w:val="7"/>
                <w:szCs w:val="7"/>
                <w:color w:val="auto"/>
              </w:rPr>
            </w:pPr>
          </w:p>
        </w:tc>
        <w:tc>
          <w:tcPr>
            <w:tcW w:w="120" w:type="dxa"/>
            <w:vAlign w:val="bottom"/>
            <w:tcBorders>
              <w:top w:val="single" w:sz="8" w:color="auto"/>
              <w:bottom w:val="single" w:sz="8" w:color="C0C0C0"/>
            </w:tcBorders>
          </w:tcPr>
          <w:p>
            <w:pPr>
              <w:spacing w:after="0"/>
              <w:rPr>
                <w:sz w:val="7"/>
                <w:szCs w:val="7"/>
                <w:color w:val="auto"/>
              </w:rPr>
            </w:pPr>
          </w:p>
        </w:tc>
        <w:tc>
          <w:tcPr>
            <w:tcW w:w="220" w:type="dxa"/>
            <w:vAlign w:val="bottom"/>
            <w:tcBorders>
              <w:bottom w:val="single" w:sz="8" w:color="C0C0C0"/>
            </w:tcBorders>
          </w:tcPr>
          <w:p>
            <w:pPr>
              <w:spacing w:after="0"/>
              <w:rPr>
                <w:sz w:val="7"/>
                <w:szCs w:val="7"/>
                <w:color w:val="auto"/>
              </w:rPr>
            </w:pPr>
          </w:p>
        </w:tc>
        <w:tc>
          <w:tcPr>
            <w:tcW w:w="2960" w:type="dxa"/>
            <w:vAlign w:val="bottom"/>
            <w:tcBorders>
              <w:bottom w:val="single" w:sz="8" w:color="C0C0C0"/>
              <w:right w:val="single" w:sz="8" w:color="C0C0C0"/>
            </w:tcBorders>
          </w:tcPr>
          <w:p>
            <w:pPr>
              <w:spacing w:after="0"/>
              <w:rPr>
                <w:sz w:val="7"/>
                <w:szCs w:val="7"/>
                <w:color w:val="auto"/>
              </w:rPr>
            </w:pPr>
          </w:p>
        </w:tc>
      </w:tr>
      <w:tr>
        <w:trPr>
          <w:trHeight w:val="277"/>
        </w:trPr>
        <w:tc>
          <w:tcPr>
            <w:tcW w:w="5980" w:type="dxa"/>
            <w:vAlign w:val="bottom"/>
            <w:tcBorders>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color w:val="auto"/>
              </w:rPr>
              <w:t>Kimberly Minarovich / Michael Barron</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Borders>
              <w:right w:val="single" w:sz="8" w:color="C0C0C0"/>
            </w:tcBorders>
          </w:tcPr>
          <w:p>
            <w:pPr>
              <w:spacing w:after="0"/>
              <w:rPr>
                <w:sz w:val="24"/>
                <w:szCs w:val="24"/>
                <w:color w:val="auto"/>
              </w:rPr>
            </w:pPr>
          </w:p>
        </w:tc>
      </w:tr>
      <w:tr>
        <w:trPr>
          <w:trHeight w:val="68"/>
        </w:trPr>
        <w:tc>
          <w:tcPr>
            <w:tcW w:w="5980" w:type="dxa"/>
            <w:vAlign w:val="bottom"/>
            <w:tcBorders>
              <w:left w:val="single" w:sz="8" w:color="C0C0C0"/>
              <w:bottom w:val="single" w:sz="8" w:color="C0C0C0"/>
              <w:right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1840" w:type="dxa"/>
            <w:vAlign w:val="bottom"/>
            <w:tcBorders>
              <w:bottom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220" w:type="dxa"/>
            <w:vAlign w:val="bottom"/>
            <w:tcBorders>
              <w:bottom w:val="single" w:sz="8" w:color="C0C0C0"/>
            </w:tcBorders>
          </w:tcPr>
          <w:p>
            <w:pPr>
              <w:spacing w:after="0"/>
              <w:rPr>
                <w:sz w:val="5"/>
                <w:szCs w:val="5"/>
                <w:color w:val="auto"/>
              </w:rPr>
            </w:pPr>
          </w:p>
        </w:tc>
        <w:tc>
          <w:tcPr>
            <w:tcW w:w="2960" w:type="dxa"/>
            <w:vAlign w:val="bottom"/>
            <w:tcBorders>
              <w:bottom w:val="single" w:sz="8" w:color="C0C0C0"/>
              <w:right w:val="single" w:sz="8" w:color="C0C0C0"/>
            </w:tcBorders>
          </w:tcPr>
          <w:p>
            <w:pPr>
              <w:spacing w:after="0"/>
              <w:rPr>
                <w:sz w:val="5"/>
                <w:szCs w:val="5"/>
                <w:color w:val="auto"/>
              </w:rPr>
            </w:pPr>
          </w:p>
        </w:tc>
      </w:tr>
      <w:tr>
        <w:trPr>
          <w:trHeight w:val="259"/>
        </w:trPr>
        <w:tc>
          <w:tcPr>
            <w:tcW w:w="5980" w:type="dxa"/>
            <w:vAlign w:val="bottom"/>
            <w:tcBorders>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Optimum Strategic Communications</w:t>
            </w:r>
          </w:p>
        </w:tc>
        <w:tc>
          <w:tcPr>
            <w:tcW w:w="120" w:type="dxa"/>
            <w:vAlign w:val="bottom"/>
          </w:tcPr>
          <w:p>
            <w:pPr>
              <w:spacing w:after="0"/>
              <w:rPr>
                <w:sz w:val="22"/>
                <w:szCs w:val="22"/>
                <w:color w:val="auto"/>
              </w:rPr>
            </w:pPr>
          </w:p>
        </w:tc>
        <w:tc>
          <w:tcPr>
            <w:tcW w:w="5140" w:type="dxa"/>
            <w:vAlign w:val="bottom"/>
            <w:tcBorders>
              <w:right w:val="single" w:sz="8" w:color="C0C0C0"/>
            </w:tcBorders>
            <w:gridSpan w:val="4"/>
          </w:tcPr>
          <w:p>
            <w:pPr>
              <w:ind w:left="20"/>
              <w:spacing w:after="0"/>
              <w:rPr>
                <w:sz w:val="20"/>
                <w:szCs w:val="20"/>
                <w:color w:val="auto"/>
              </w:rPr>
            </w:pPr>
            <w:r>
              <w:rPr>
                <w:rFonts w:ascii="Times New Roman" w:cs="Times New Roman" w:eastAsia="Times New Roman" w:hAnsi="Times New Roman"/>
                <w:sz w:val="18"/>
                <w:szCs w:val="18"/>
                <w:color w:val="auto"/>
              </w:rPr>
              <w:t>Tel: +44 (0)203 950 9144</w:t>
            </w:r>
          </w:p>
        </w:tc>
      </w:tr>
      <w:tr>
        <w:trPr>
          <w:trHeight w:val="194"/>
        </w:trPr>
        <w:tc>
          <w:tcPr>
            <w:tcW w:w="5980" w:type="dxa"/>
            <w:vAlign w:val="bottom"/>
            <w:tcBorders>
              <w:left w:val="single" w:sz="8" w:color="C0C0C0"/>
              <w:right w:val="single" w:sz="8" w:color="C0C0C0"/>
            </w:tcBorders>
          </w:tcPr>
          <w:p>
            <w:pPr>
              <w:ind w:left="160"/>
              <w:spacing w:after="0" w:line="194" w:lineRule="exact"/>
              <w:rPr>
                <w:sz w:val="20"/>
                <w:szCs w:val="20"/>
                <w:color w:val="auto"/>
              </w:rPr>
            </w:pPr>
            <w:r>
              <w:rPr>
                <w:rFonts w:ascii="Times New Roman" w:cs="Times New Roman" w:eastAsia="Times New Roman" w:hAnsi="Times New Roman"/>
                <w:sz w:val="18"/>
                <w:szCs w:val="18"/>
                <w:color w:val="auto"/>
              </w:rPr>
              <w:t>(International Media and European Investor Enquiries)</w:t>
            </w:r>
          </w:p>
        </w:tc>
        <w:tc>
          <w:tcPr>
            <w:tcW w:w="120" w:type="dxa"/>
            <w:vAlign w:val="bottom"/>
          </w:tcPr>
          <w:p>
            <w:pPr>
              <w:spacing w:after="0"/>
              <w:rPr>
                <w:sz w:val="16"/>
                <w:szCs w:val="16"/>
                <w:color w:val="auto"/>
              </w:rPr>
            </w:pPr>
          </w:p>
        </w:tc>
        <w:tc>
          <w:tcPr>
            <w:tcW w:w="5140" w:type="dxa"/>
            <w:vAlign w:val="bottom"/>
            <w:tcBorders>
              <w:right w:val="single" w:sz="8" w:color="C0C0C0"/>
            </w:tcBorders>
            <w:gridSpan w:val="4"/>
          </w:tcPr>
          <w:p>
            <w:pPr>
              <w:ind w:left="20"/>
              <w:spacing w:after="0" w:line="194" w:lineRule="exact"/>
              <w:rPr>
                <w:sz w:val="20"/>
                <w:szCs w:val="20"/>
                <w:color w:val="auto"/>
              </w:rPr>
            </w:pPr>
            <w:r>
              <w:rPr>
                <w:rFonts w:ascii="Times New Roman" w:cs="Times New Roman" w:eastAsia="Times New Roman" w:hAnsi="Times New Roman"/>
                <w:sz w:val="18"/>
                <w:szCs w:val="18"/>
                <w:color w:val="auto"/>
              </w:rPr>
              <w:t>verona@optimumcomms.com</w:t>
            </w:r>
          </w:p>
        </w:tc>
      </w:tr>
      <w:tr>
        <w:trPr>
          <w:trHeight w:val="88"/>
        </w:trPr>
        <w:tc>
          <w:tcPr>
            <w:tcW w:w="5980" w:type="dxa"/>
            <w:vAlign w:val="bottom"/>
            <w:tcBorders>
              <w:left w:val="single" w:sz="8" w:color="C0C0C0"/>
              <w:bottom w:val="single" w:sz="8" w:color="C0C0C0"/>
              <w:right w:val="single" w:sz="8" w:color="C0C0C0"/>
            </w:tcBorders>
          </w:tcPr>
          <w:p>
            <w:pPr>
              <w:spacing w:after="0"/>
              <w:rPr>
                <w:sz w:val="7"/>
                <w:szCs w:val="7"/>
                <w:color w:val="auto"/>
              </w:rPr>
            </w:pPr>
          </w:p>
        </w:tc>
        <w:tc>
          <w:tcPr>
            <w:tcW w:w="120" w:type="dxa"/>
            <w:vAlign w:val="bottom"/>
            <w:tcBorders>
              <w:bottom w:val="single" w:sz="8" w:color="C0C0C0"/>
            </w:tcBorders>
          </w:tcPr>
          <w:p>
            <w:pPr>
              <w:spacing w:after="0"/>
              <w:rPr>
                <w:sz w:val="7"/>
                <w:szCs w:val="7"/>
                <w:color w:val="auto"/>
              </w:rPr>
            </w:pPr>
          </w:p>
        </w:tc>
        <w:tc>
          <w:tcPr>
            <w:tcW w:w="1840" w:type="dxa"/>
            <w:vAlign w:val="bottom"/>
            <w:tcBorders>
              <w:top w:val="single" w:sz="8" w:color="auto"/>
              <w:bottom w:val="single" w:sz="8" w:color="C0C0C0"/>
            </w:tcBorders>
          </w:tcPr>
          <w:p>
            <w:pPr>
              <w:spacing w:after="0"/>
              <w:rPr>
                <w:sz w:val="7"/>
                <w:szCs w:val="7"/>
                <w:color w:val="auto"/>
              </w:rPr>
            </w:pPr>
          </w:p>
        </w:tc>
        <w:tc>
          <w:tcPr>
            <w:tcW w:w="120" w:type="dxa"/>
            <w:vAlign w:val="bottom"/>
            <w:tcBorders>
              <w:top w:val="single" w:sz="8" w:color="auto"/>
              <w:bottom w:val="single" w:sz="8" w:color="C0C0C0"/>
            </w:tcBorders>
          </w:tcPr>
          <w:p>
            <w:pPr>
              <w:spacing w:after="0"/>
              <w:rPr>
                <w:sz w:val="7"/>
                <w:szCs w:val="7"/>
                <w:color w:val="auto"/>
              </w:rPr>
            </w:pPr>
          </w:p>
        </w:tc>
        <w:tc>
          <w:tcPr>
            <w:tcW w:w="220" w:type="dxa"/>
            <w:vAlign w:val="bottom"/>
            <w:tcBorders>
              <w:top w:val="single" w:sz="8" w:color="auto"/>
              <w:bottom w:val="single" w:sz="8" w:color="C0C0C0"/>
            </w:tcBorders>
          </w:tcPr>
          <w:p>
            <w:pPr>
              <w:spacing w:after="0"/>
              <w:rPr>
                <w:sz w:val="7"/>
                <w:szCs w:val="7"/>
                <w:color w:val="auto"/>
              </w:rPr>
            </w:pPr>
          </w:p>
        </w:tc>
        <w:tc>
          <w:tcPr>
            <w:tcW w:w="2960" w:type="dxa"/>
            <w:vAlign w:val="bottom"/>
            <w:tcBorders>
              <w:bottom w:val="single" w:sz="8" w:color="C0C0C0"/>
              <w:right w:val="single" w:sz="8" w:color="C0C0C0"/>
            </w:tcBorders>
          </w:tcPr>
          <w:p>
            <w:pPr>
              <w:spacing w:after="0"/>
              <w:rPr>
                <w:sz w:val="7"/>
                <w:szCs w:val="7"/>
                <w:color w:val="auto"/>
              </w:rPr>
            </w:pPr>
          </w:p>
        </w:tc>
      </w:tr>
      <w:tr>
        <w:trPr>
          <w:trHeight w:val="277"/>
        </w:trPr>
        <w:tc>
          <w:tcPr>
            <w:tcW w:w="5980" w:type="dxa"/>
            <w:vAlign w:val="bottom"/>
            <w:tcBorders>
              <w:left w:val="single" w:sz="8" w:color="C0C0C0"/>
              <w:right w:val="single" w:sz="8" w:color="C0C0C0"/>
            </w:tcBorders>
          </w:tcPr>
          <w:p>
            <w:pPr>
              <w:ind w:left="160"/>
              <w:spacing w:after="0"/>
              <w:rPr>
                <w:sz w:val="20"/>
                <w:szCs w:val="20"/>
                <w:color w:val="auto"/>
              </w:rPr>
            </w:pPr>
            <w:r>
              <w:rPr>
                <w:rFonts w:ascii="Times New Roman" w:cs="Times New Roman" w:eastAsia="Times New Roman" w:hAnsi="Times New Roman"/>
                <w:sz w:val="18"/>
                <w:szCs w:val="18"/>
                <w:color w:val="auto"/>
              </w:rPr>
              <w:t>Mary Clark / Eva Haas / Shabnam Bashir</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Borders>
              <w:right w:val="single" w:sz="8" w:color="C0C0C0"/>
            </w:tcBorders>
          </w:tcPr>
          <w:p>
            <w:pPr>
              <w:spacing w:after="0"/>
              <w:rPr>
                <w:sz w:val="24"/>
                <w:szCs w:val="24"/>
                <w:color w:val="auto"/>
              </w:rPr>
            </w:pPr>
          </w:p>
        </w:tc>
      </w:tr>
      <w:tr>
        <w:trPr>
          <w:trHeight w:val="68"/>
        </w:trPr>
        <w:tc>
          <w:tcPr>
            <w:tcW w:w="5980" w:type="dxa"/>
            <w:vAlign w:val="bottom"/>
            <w:tcBorders>
              <w:left w:val="single" w:sz="8" w:color="C0C0C0"/>
              <w:bottom w:val="single" w:sz="8" w:color="C0C0C0"/>
              <w:right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1840" w:type="dxa"/>
            <w:vAlign w:val="bottom"/>
            <w:tcBorders>
              <w:bottom w:val="single" w:sz="8" w:color="C0C0C0"/>
            </w:tcBorders>
          </w:tcPr>
          <w:p>
            <w:pPr>
              <w:spacing w:after="0"/>
              <w:rPr>
                <w:sz w:val="5"/>
                <w:szCs w:val="5"/>
                <w:color w:val="auto"/>
              </w:rPr>
            </w:pPr>
          </w:p>
        </w:tc>
        <w:tc>
          <w:tcPr>
            <w:tcW w:w="120" w:type="dxa"/>
            <w:vAlign w:val="bottom"/>
            <w:tcBorders>
              <w:bottom w:val="single" w:sz="8" w:color="C0C0C0"/>
            </w:tcBorders>
          </w:tcPr>
          <w:p>
            <w:pPr>
              <w:spacing w:after="0"/>
              <w:rPr>
                <w:sz w:val="5"/>
                <w:szCs w:val="5"/>
                <w:color w:val="auto"/>
              </w:rPr>
            </w:pPr>
          </w:p>
        </w:tc>
        <w:tc>
          <w:tcPr>
            <w:tcW w:w="220" w:type="dxa"/>
            <w:vAlign w:val="bottom"/>
            <w:tcBorders>
              <w:bottom w:val="single" w:sz="8" w:color="C0C0C0"/>
            </w:tcBorders>
          </w:tcPr>
          <w:p>
            <w:pPr>
              <w:spacing w:after="0"/>
              <w:rPr>
                <w:sz w:val="5"/>
                <w:szCs w:val="5"/>
                <w:color w:val="auto"/>
              </w:rPr>
            </w:pPr>
          </w:p>
        </w:tc>
        <w:tc>
          <w:tcPr>
            <w:tcW w:w="2960" w:type="dxa"/>
            <w:vAlign w:val="bottom"/>
            <w:tcBorders>
              <w:bottom w:val="single" w:sz="8" w:color="C0C0C0"/>
              <w:right w:val="single" w:sz="8" w:color="C0C0C0"/>
            </w:tcBorders>
          </w:tcPr>
          <w:p>
            <w:pPr>
              <w:spacing w:after="0"/>
              <w:rPr>
                <w:sz w:val="5"/>
                <w:szCs w:val="5"/>
                <w:color w:val="auto"/>
              </w:rPr>
            </w:pPr>
          </w:p>
        </w:tc>
      </w:tr>
      <w:tr>
        <w:trPr>
          <w:trHeight w:val="42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About Verona Pharma</w:t>
            </w: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 compound. The Company is evaluating nebulized ensifentrine in its Phase 3 clinical program ENHANCE (“Ensifentrine as a Novel inHAled Nebulized COPD thErapy”) for COPD maintenance treatment. Two additional formulations of ensifentrine are currently in Phase 2 development for the treatment of COPD: dry powder inhaler (“DPI”) and pressurized metered-dose inhaler (“pMDI”). Ensifentrine is being evaluated in a pilot clinical study in patients hospitalized with COVID-19 and has potential applications in cystic fibrosis, asthma and other respiratory diseases. For more information, please visit </w:t>
      </w:r>
      <w:r>
        <w:rPr>
          <w:rFonts w:ascii="Times New Roman" w:cs="Times New Roman" w:eastAsia="Times New Roman" w:hAnsi="Times New Roman"/>
          <w:sz w:val="18"/>
          <w:szCs w:val="18"/>
          <w:u w:val="single" w:color="auto"/>
          <w:color w:val="auto"/>
        </w:rPr>
        <w:t>www.veronapharma.com</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help protect the health and safety of the patients, caregivers and healthcare professionals involved in its ongoing clinical trials of ensifentrine, as well as its employees and independent contractors, the Company continues to follow guidance from the FDA and other health regulatory authorities regarding the conduct of clinical trials during the COVID-19 pandemic to ensure the safety of study participants, minimize risks to study integrity, and maintain compliance with good clinical practice (GCP). The Company continues to review this guidance and the effect of the COVID-19 pandemic on its operations and clinical trials and will provide an update if it becomes aware of any meaningful disruption caused by the pandemic to its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Verona Pharma is closely monitoring activities at the Company’s contract manufacturers associated with clinical supply for the ongoing clinical trials, and is satisfied that appropriate plans and procedures are in place to ensure uninterrupted future supply of ensifentrine to the clinical trial sites, subject to potential limitations on their operations and on the supply chain due to the COVID-19 pandemic. The Company is continuing to monitor this situation and will provide an update if it becomes aware of any meaningful disruption caused by the pandemic to the clinical supply of ensifentrine for its clinical trials.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Verona Pharma has also implemented measures to help keep the Company’s employees, families, and local communities healthy and safe. All employees are working remotely and all business travel has been restricted.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operational review, outlook and financial review contain forward-looking statements. All statements contained in this press release with respect to our operational review, outlook and financial review that do not relate to matters of historical fact should be considered forward-looking statements, including, but not limited to, statements regarding the development of ensifentrine and the progress and timing of clinical trials and data, the goals and design of clinical trials, the potential for ensifentrine to be a first-in-class phosphodiesterase 3 and 4 inhibitor and to be the first therapy for the treatment of respiratory diseases to combine bronchodilator and anti-inflammatory effects in one compound, the potential of ensifentrine in the treatment of COPD, COVID-19, cystic fibrosis, asthma and other respiratory diseases, as well as the potential of the DPI and pMDI formulations of ensifentrine, the impact of the COVID-19 pandemic on our business and operations and the Company’s future financial results, the funding we expect to become available under the Term Loan and from cash receipts from U.K. tax credits, and the sufficiency of cash and cash equivalents.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 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changes in our tax rates, unavailability of certain tax credits or reliefs or exposure to additional tax liabilities or assessments could affect our profitability, and audits by tax authorities could result in additional tax payments for prior periods; and our vulnerability to natural disasters, global economic factors and other unexpected events, including health epidemics or pandemics like the novel coronavirus (COVID-19), which has and may continue to adversely impact our business. These and other important factors under the caption “Risk Factors” in our Annual Report on Form 10-K for the year ended December 31,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980" w:type="dxa"/>
            <w:vAlign w:val="bottom"/>
            <w:gridSpan w:val="4"/>
          </w:tcPr>
          <w:p>
            <w:pPr>
              <w:jc w:val="right"/>
              <w:ind w:right="481"/>
              <w:spacing w:after="0"/>
              <w:rPr>
                <w:sz w:val="20"/>
                <w:szCs w:val="20"/>
                <w:color w:val="auto"/>
              </w:rPr>
            </w:pPr>
            <w:r>
              <w:rPr>
                <w:rFonts w:ascii="Times New Roman" w:cs="Times New Roman" w:eastAsia="Times New Roman" w:hAnsi="Times New Roman"/>
                <w:sz w:val="18"/>
                <w:szCs w:val="18"/>
                <w:b w:val="1"/>
                <w:bCs w:val="1"/>
                <w:color w:val="232323"/>
              </w:rPr>
              <w:t>Verona Pharma, plc</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980" w:type="dxa"/>
            <w:vAlign w:val="bottom"/>
          </w:tcPr>
          <w:p>
            <w:pPr>
              <w:spacing w:after="0"/>
              <w:rPr>
                <w:sz w:val="24"/>
                <w:szCs w:val="24"/>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232323"/>
              </w:rPr>
              <w:t>Consolidated Financial Summary</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6"/>
          </w:tcPr>
          <w:p>
            <w:pPr>
              <w:jc w:val="right"/>
              <w:ind w:right="241"/>
              <w:spacing w:after="0"/>
              <w:rPr>
                <w:sz w:val="20"/>
                <w:szCs w:val="20"/>
                <w:color w:val="auto"/>
              </w:rPr>
            </w:pPr>
            <w:r>
              <w:rPr>
                <w:rFonts w:ascii="Times New Roman" w:cs="Times New Roman" w:eastAsia="Times New Roman" w:hAnsi="Times New Roman"/>
                <w:sz w:val="18"/>
                <w:szCs w:val="18"/>
                <w:color w:val="auto"/>
                <w:w w:val="99"/>
              </w:rPr>
              <w:t>Three months ended December 31,</w:t>
            </w:r>
          </w:p>
        </w:tc>
        <w:tc>
          <w:tcPr>
            <w:tcW w:w="200" w:type="dxa"/>
            <w:vAlign w:val="bottom"/>
          </w:tcPr>
          <w:p>
            <w:pPr>
              <w:spacing w:after="0"/>
              <w:rPr>
                <w:sz w:val="24"/>
                <w:szCs w:val="24"/>
                <w:color w:val="auto"/>
              </w:rPr>
            </w:pPr>
          </w:p>
        </w:tc>
        <w:tc>
          <w:tcPr>
            <w:tcW w:w="258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9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16,356</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7,217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44,505</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42,417</w:t>
            </w: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11,347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2,273</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29,772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9,986</w:t>
            </w:r>
          </w:p>
        </w:tc>
      </w:tr>
      <w:tr>
        <w:trPr>
          <w:trHeight w:val="20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tcBorders>
              <w:bottom w:val="single" w:sz="8" w:color="CCEEFF"/>
            </w:tcBorders>
          </w:tcPr>
          <w:p>
            <w:pPr>
              <w:spacing w:after="0"/>
              <w:rPr>
                <w:sz w:val="18"/>
                <w:szCs w:val="18"/>
                <w:color w:val="auto"/>
              </w:rPr>
            </w:pPr>
          </w:p>
        </w:tc>
      </w:tr>
      <w:tr>
        <w:trPr>
          <w:trHeight w:val="20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R&amp;D tax credit</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8,267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9,283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964</w:t>
            </w: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movement on warrants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18"/>
                <w:szCs w:val="18"/>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 (loss)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872</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9"/>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15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100" w:type="dxa"/>
            <w:vAlign w:val="bottom"/>
            <w:tcBorders>
              <w:bottom w:val="single" w:sz="8" w:color="CCEEFF"/>
            </w:tcBorders>
          </w:tcPr>
          <w:p>
            <w:pPr>
              <w:spacing w:after="0"/>
              <w:rPr>
                <w:sz w:val="18"/>
                <w:szCs w:val="18"/>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(40,489)</w:t>
            </w:r>
          </w:p>
        </w:tc>
        <w:tc>
          <w:tcPr>
            <w:tcW w:w="100" w:type="dxa"/>
            <w:vAlign w:val="bottom"/>
            <w:shd w:val="clear" w:color="auto" w:fill="CCEEFF"/>
          </w:tcPr>
          <w:p>
            <w:pPr>
              <w:spacing w:after="0"/>
              <w:rPr>
                <w:sz w:val="18"/>
                <w:szCs w:val="18"/>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462,798,050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105,326,638</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262,932,653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105,326,638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9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6"/>
        </w:trPr>
        <w:tc>
          <w:tcPr>
            <w:tcW w:w="39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 term investments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204,206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56,234</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184,854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42,741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675"/>
        </w:trPr>
        <w:tc>
          <w:tcPr>
            <w:tcW w:w="39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2021-02-25T08:01:43Z</dcterms:created>
  <dcterms:modified xsi:type="dcterms:W3CDTF">2021-02-25T08:01:43Z</dcterms:modified>
</cp:coreProperties>
</file>