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March 26, 2021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 Transmission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United States Securities and Exchange Commission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4720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David Gessert</w:t>
      </w:r>
    </w:p>
    <w:p>
      <w:pPr>
        <w:sectPr>
          <w:pgSz w:w="11900" w:h="16838" w:orient="portrait"/>
          <w:cols w:equalWidth="0" w:num="1">
            <w:col w:w="11240"/>
          </w:cols>
          <w:pgMar w:left="320" w:top="476" w:right="339" w:bottom="1440" w:gutter="0" w:footer="0" w:header="0"/>
        </w:sect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Registration Statement on Form S-3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March 19, 2021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No. 333-254530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20" w:space="360"/>
            <w:col w:w="9960"/>
          </w:cols>
          <w:pgMar w:left="320" w:top="476" w:right="33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 accordance with Rule 461 of Regulation C of the General Rules and Regulations under the Securities Act of 1933, as amended, we hereby request the acceleration of the effective date of the above-referenced Registration Statement so that it will become effective on March 29, 2021, at 4:00 p.m., Eastern Time, or as soon thereafter as practicable, or at such later time as Verona Pharma plc (the “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6"/>
          <w:szCs w:val="16"/>
          <w:color w:val="auto"/>
        </w:rPr>
        <w:t>”) or its counsel may request via telephone call to the staff. Please contact Peter Handrinos of Latham &amp; Watkins LLP, counsel to the Company, at (617) 948-6060, or in his absence, Jennifer Yoon at (617) 880-4540, to provide notice of effectiveness, or if you have any other questions or concerns regarding this matter.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248920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476" w:right="339" w:bottom="1440" w:gutter="0" w:footer="0" w:header="0"/>
          <w:type w:val="continuous"/>
        </w:sectPr>
      </w:pPr>
    </w:p>
    <w:bookmarkStart w:id="1" w:name="page2"/>
    <w:bookmarkEnd w:id="1"/>
    <w:p>
      <w:pPr>
        <w:ind w:left="56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6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563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Claire Poll</w:t>
            </w:r>
          </w:p>
        </w:tc>
      </w:tr>
      <w:tr>
        <w:trPr>
          <w:trHeight w:val="19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Claire Poll</w:t>
            </w:r>
          </w:p>
        </w:tc>
      </w:tr>
      <w:tr>
        <w:trPr>
          <w:trHeight w:val="23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General Counsel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612" w:hanging="612"/>
        <w:spacing w:after="0"/>
        <w:tabs>
          <w:tab w:leader="none" w:pos="612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Peter N. Handrinos, Esq.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288925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32"/>
      </w:cols>
      <w:pgMar w:left="328" w:top="34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2021-08-15T20:42:57Z</dcterms:created>
  <dcterms:modified xsi:type="dcterms:W3CDTF">2021-08-15T20:42:57Z</dcterms:modified>
</cp:coreProperties>
</file>