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May 2020</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5" w:lineRule="exact"/>
        <w:rPr>
          <w:sz w:val="24"/>
          <w:szCs w:val="24"/>
          <w:color w:val="auto"/>
        </w:rPr>
      </w:pPr>
    </w:p>
    <w:p>
      <w:pPr>
        <w:ind w:left="4540" w:right="919" w:hanging="453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1" w:name="page2"/>
    <w:bookmarkEnd w:id="1"/>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u w:val="single" w:color="auto"/>
          <w:color w:val="232323"/>
        </w:rPr>
        <w:t xml:space="preserve">FDA Response to End-of-Phase 2 Briefing Package </w:t>
      </w:r>
      <w:r>
        <w:rPr>
          <w:rFonts w:ascii="Arial" w:cs="Arial" w:eastAsia="Arial" w:hAnsi="Arial"/>
          <w:sz w:val="20"/>
          <w:szCs w:val="20"/>
          <w:u w:val="single" w:color="auto"/>
          <w:color w:val="000000"/>
        </w:rPr>
        <w:t>(the "FDA Response Press Release")</w:t>
      </w:r>
    </w:p>
    <w:p>
      <w:pPr>
        <w:spacing w:after="0" w:line="229"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On May 14, 2020, Verona Pharma plc (the “Company”) issued a press release announcing it had received written comments from the U.S. Food and Drug Administration ("FDA") in response to its End-of-Phase 2 briefing package for nebulized ensifentrine as a maintenance treatment for chronic obstructive pulmonary disease. The Company outlined in the FDA Response Press Release its planned Phase 3 ENHANCE clinical program.</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The FDA Response Press Release is furnished herewith as Exhibit 1.1 to this Report on Form 6-K.</w:t>
      </w:r>
    </w:p>
    <w:p>
      <w:pPr>
        <w:spacing w:after="0" w:line="13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FDA Response Press Release is hereby incorporated by reference into the Company's Registration Statements on Forms S-8 (File No. 333-217521 and File No. 333-237926) and Registration Statement on Form F-3 (333-225107).</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Person Discharging Managerial Responsibilities ("PDMR") announcement (the "PDMR Announcement")</w:t>
      </w:r>
    </w:p>
    <w:p>
      <w:pPr>
        <w:spacing w:after="0" w:line="229"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On May 12, 2020, the Company issued a press release reporting the grants to Dr David Zaccardelli, CEO, and Mr Mark Hahn, CFO of the Company, an aggregate of 921,608 Restricted American Depositary Share Units (“RADSUs”), representing 7,372,864 ordinary shares of 5 pence each (the “Ordinary Shares”), and the issuance to them of an aggregate of 267,288 ordinary shares of 5 pence each following the vesting of previously granted RADSUs.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auto"/>
        </w:rPr>
        <w:t>The PDMR Announcement is furnished herewith as Exhibit 1.2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Exhibit</w:t>
            </w:r>
          </w:p>
        </w:tc>
        <w:tc>
          <w:tcPr>
            <w:tcW w:w="9420" w:type="dxa"/>
            <w:vAlign w:val="bottom"/>
          </w:tcPr>
          <w:p>
            <w:pPr>
              <w:spacing w:after="0"/>
              <w:rPr>
                <w:sz w:val="18"/>
                <w:szCs w:val="18"/>
                <w:color w:val="auto"/>
              </w:rPr>
            </w:pPr>
          </w:p>
        </w:tc>
      </w:tr>
      <w:tr>
        <w:trPr>
          <w:trHeight w:val="237"/>
        </w:trPr>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w:t>
            </w:r>
          </w:p>
        </w:tc>
        <w:tc>
          <w:tcPr>
            <w:tcW w:w="9420" w:type="dxa"/>
            <w:vAlign w:val="bottom"/>
          </w:tcPr>
          <w:p>
            <w:pPr>
              <w:ind w:left="4260"/>
              <w:spacing w:after="0"/>
              <w:rPr>
                <w:sz w:val="20"/>
                <w:szCs w:val="20"/>
                <w:color w:val="auto"/>
              </w:rPr>
            </w:pPr>
            <w:r>
              <w:rPr>
                <w:rFonts w:ascii="Arial" w:cs="Arial" w:eastAsia="Arial" w:hAnsi="Arial"/>
                <w:sz w:val="18"/>
                <w:szCs w:val="18"/>
                <w:color w:val="auto"/>
              </w:rPr>
              <w:t>Description</w:t>
            </w:r>
          </w:p>
        </w:tc>
      </w:tr>
      <w:tr>
        <w:trPr>
          <w:trHeight w:val="418"/>
        </w:trPr>
        <w:tc>
          <w:tcPr>
            <w:tcW w:w="1580" w:type="dxa"/>
            <w:vAlign w:val="bottom"/>
            <w:tcBorders>
              <w:top w:val="single" w:sz="8" w:color="auto"/>
            </w:tcBorders>
          </w:tcPr>
          <w:p>
            <w:pPr>
              <w:jc w:val="right"/>
              <w:ind w:right="121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1.1</w:t>
              </w:r>
            </w:hyperlink>
          </w:p>
        </w:tc>
        <w:tc>
          <w:tcPr>
            <w:tcW w:w="240" w:type="dxa"/>
            <w:vAlign w:val="bottom"/>
          </w:tcPr>
          <w:p>
            <w:pPr>
              <w:spacing w:after="0"/>
              <w:rPr>
                <w:sz w:val="24"/>
                <w:szCs w:val="24"/>
                <w:color w:val="auto"/>
              </w:rPr>
            </w:pPr>
          </w:p>
        </w:tc>
        <w:tc>
          <w:tcPr>
            <w:tcW w:w="94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FDA Response Press Release</w:t>
              </w:r>
            </w:hyperlink>
          </w:p>
        </w:tc>
      </w:tr>
      <w:tr>
        <w:trPr>
          <w:trHeight w:val="270"/>
        </w:trPr>
        <w:tc>
          <w:tcPr>
            <w:tcW w:w="1580" w:type="dxa"/>
            <w:vAlign w:val="bottom"/>
          </w:tcPr>
          <w:p>
            <w:pPr>
              <w:jc w:val="right"/>
              <w:ind w:right="121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1.2</w:t>
              </w:r>
            </w:hyperlink>
          </w:p>
        </w:tc>
        <w:tc>
          <w:tcPr>
            <w:tcW w:w="240" w:type="dxa"/>
            <w:vAlign w:val="bottom"/>
          </w:tcPr>
          <w:p>
            <w:pPr>
              <w:spacing w:after="0"/>
              <w:rPr>
                <w:sz w:val="23"/>
                <w:szCs w:val="23"/>
                <w:color w:val="auto"/>
              </w:rPr>
            </w:pPr>
          </w:p>
        </w:tc>
        <w:tc>
          <w:tcPr>
            <w:tcW w:w="9420" w:type="dxa"/>
            <w:vAlign w:val="bottom"/>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PDMR Announcement</w:t>
              </w:r>
            </w:hyperlink>
          </w:p>
        </w:tc>
      </w:tr>
    </w:tbl>
    <w:p>
      <w:pPr>
        <w:sectPr>
          <w:pgSz w:w="11900" w:h="16838" w:orient="portrait"/>
          <w:cols w:equalWidth="0" w:num="1">
            <w:col w:w="11240"/>
          </w:cols>
          <w:pgMar w:left="320" w:top="549"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080" w:type="dxa"/>
        <w:tblCellMar>
          <w:top w:w="0" w:type="dxa"/>
          <w:left w:w="0" w:type="dxa"/>
          <w:bottom w:w="0" w:type="dxa"/>
          <w:right w:w="0" w:type="dxa"/>
        </w:tblCellMar>
      </w:tblP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Date: May 14, 2020</w:t>
            </w:r>
          </w:p>
        </w:tc>
        <w:tc>
          <w:tcPr>
            <w:tcW w:w="1560" w:type="dxa"/>
            <w:vAlign w:val="bottom"/>
          </w:tcPr>
          <w:p>
            <w:pPr>
              <w:ind w:left="94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Claire Poll</w:t>
            </w:r>
          </w:p>
        </w:tc>
        <w:tc>
          <w:tcPr>
            <w:tcW w:w="3760" w:type="dxa"/>
            <w:vAlign w:val="bottom"/>
            <w:tcBorders>
              <w:bottom w:val="single" w:sz="8" w:color="auto"/>
            </w:tcBorders>
          </w:tcPr>
          <w:p>
            <w:pPr>
              <w:spacing w:after="0"/>
              <w:rPr>
                <w:sz w:val="19"/>
                <w:szCs w:val="19"/>
                <w:color w:val="auto"/>
              </w:rPr>
            </w:pPr>
          </w:p>
        </w:tc>
      </w:tr>
      <w:tr>
        <w:trPr>
          <w:trHeight w:val="243"/>
        </w:trPr>
        <w:tc>
          <w:tcPr>
            <w:tcW w:w="2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Name:</w:t>
            </w:r>
          </w:p>
        </w:tc>
        <w:tc>
          <w:tcPr>
            <w:tcW w:w="3760" w:type="dxa"/>
            <w:vAlign w:val="bottom"/>
          </w:tcPr>
          <w:p>
            <w:pPr>
              <w:ind w:left="140"/>
              <w:spacing w:after="0"/>
              <w:rPr>
                <w:sz w:val="20"/>
                <w:szCs w:val="20"/>
                <w:color w:val="auto"/>
              </w:rPr>
            </w:pPr>
            <w:r>
              <w:rPr>
                <w:rFonts w:ascii="Arial" w:cs="Arial" w:eastAsia="Arial" w:hAnsi="Arial"/>
                <w:sz w:val="18"/>
                <w:szCs w:val="18"/>
                <w:color w:val="auto"/>
              </w:rPr>
              <w:t>Claire Poll</w:t>
            </w:r>
          </w:p>
        </w:tc>
      </w:tr>
      <w:tr>
        <w:trPr>
          <w:trHeight w:val="270"/>
        </w:trPr>
        <w:tc>
          <w:tcPr>
            <w:tcW w:w="2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Title:</w:t>
            </w:r>
          </w:p>
        </w:tc>
        <w:tc>
          <w:tcPr>
            <w:tcW w:w="3760" w:type="dxa"/>
            <w:vAlign w:val="bottom"/>
          </w:tcPr>
          <w:p>
            <w:pPr>
              <w:ind w:left="14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320" w:top="549"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900"/>
        <w:spacing w:after="0"/>
        <w:rPr>
          <w:sz w:val="20"/>
          <w:szCs w:val="20"/>
          <w:color w:val="auto"/>
        </w:rPr>
      </w:pPr>
      <w:r>
        <w:rPr>
          <w:rFonts w:ascii="Arial" w:cs="Arial" w:eastAsia="Arial" w:hAnsi="Arial"/>
          <w:sz w:val="25"/>
          <w:szCs w:val="25"/>
          <w:b w:val="1"/>
          <w:bCs w:val="1"/>
          <w:color w:val="auto"/>
        </w:rPr>
        <w:t>Verona Pharma Announces FDA Response to</w:t>
      </w:r>
    </w:p>
    <w:p>
      <w:pPr>
        <w:spacing w:after="0" w:line="42" w:lineRule="exact"/>
        <w:rPr>
          <w:sz w:val="20"/>
          <w:szCs w:val="20"/>
          <w:color w:val="auto"/>
        </w:rPr>
      </w:pPr>
    </w:p>
    <w:p>
      <w:pPr>
        <w:ind w:left="1160"/>
        <w:spacing w:after="0"/>
        <w:rPr>
          <w:sz w:val="20"/>
          <w:szCs w:val="20"/>
          <w:color w:val="auto"/>
        </w:rPr>
      </w:pPr>
      <w:r>
        <w:rPr>
          <w:rFonts w:ascii="Arial" w:cs="Arial" w:eastAsia="Arial" w:hAnsi="Arial"/>
          <w:sz w:val="25"/>
          <w:szCs w:val="25"/>
          <w:b w:val="1"/>
          <w:bCs w:val="1"/>
          <w:color w:val="auto"/>
        </w:rPr>
        <w:t>End-of-Phase 2 Briefing Package for Ensifentrine in COPD and Outlines Phase 3</w:t>
      </w:r>
    </w:p>
    <w:p>
      <w:pPr>
        <w:spacing w:after="0" w:line="10" w:lineRule="exact"/>
        <w:rPr>
          <w:sz w:val="20"/>
          <w:szCs w:val="20"/>
          <w:color w:val="auto"/>
        </w:rPr>
      </w:pPr>
    </w:p>
    <w:p>
      <w:pPr>
        <w:ind w:left="4280"/>
        <w:spacing w:after="0"/>
        <w:rPr>
          <w:sz w:val="20"/>
          <w:szCs w:val="20"/>
          <w:color w:val="auto"/>
        </w:rPr>
      </w:pPr>
      <w:r>
        <w:rPr>
          <w:rFonts w:ascii="Arial" w:cs="Arial" w:eastAsia="Arial" w:hAnsi="Arial"/>
          <w:sz w:val="25"/>
          <w:szCs w:val="25"/>
          <w:b w:val="1"/>
          <w:bCs w:val="1"/>
          <w:color w:val="auto"/>
        </w:rPr>
        <w:t>ENHANCE Clinical Program</w:t>
      </w:r>
    </w:p>
    <w:p>
      <w:pPr>
        <w:spacing w:after="0" w:line="30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LONDON, May 14, 2020 </w:t>
      </w:r>
      <w:r>
        <w:rPr>
          <w:rFonts w:ascii="Arial" w:cs="Arial" w:eastAsia="Arial" w:hAnsi="Arial"/>
          <w:sz w:val="20"/>
          <w:szCs w:val="20"/>
          <w:color w:val="auto"/>
        </w:rPr>
        <w:t>- Verona Pharma plc (AIM: VRP) (Nasdaq: VRNA) (“Verona Pharma”),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respiratory diseases, announces that it has received written comments from the U.S. Food and Drug Administration (FDA) in response to its End-of-Phase 2 briefing package for nebulized ensifentrine as a maintenance treatment for chronic obstructive pulmonary disease (“COPD”). The response supports Verona Pharma progressing with its planned Phase 3 clinical program, which is expected to start later in 2020. It is planned to be called the ENHANCE (</w:t>
      </w:r>
      <w:r>
        <w:rPr>
          <w:rFonts w:ascii="Arial" w:cs="Arial" w:eastAsia="Arial" w:hAnsi="Arial"/>
          <w:sz w:val="20"/>
          <w:szCs w:val="20"/>
          <w:b w:val="1"/>
          <w:bCs w:val="1"/>
          <w:color w:val="auto"/>
        </w:rPr>
        <w:t>E</w:t>
      </w:r>
      <w:r>
        <w:rPr>
          <w:rFonts w:ascii="Arial" w:cs="Arial" w:eastAsia="Arial" w:hAnsi="Arial"/>
          <w:sz w:val="20"/>
          <w:szCs w:val="20"/>
          <w:color w:val="auto"/>
        </w:rPr>
        <w:t xml:space="preserve">nsifentrine as a </w:t>
      </w:r>
      <w:r>
        <w:rPr>
          <w:rFonts w:ascii="Arial" w:cs="Arial" w:eastAsia="Arial" w:hAnsi="Arial"/>
          <w:sz w:val="20"/>
          <w:szCs w:val="20"/>
          <w:b w:val="1"/>
          <w:bCs w:val="1"/>
          <w:color w:val="auto"/>
        </w:rPr>
        <w:t>N</w:t>
      </w:r>
      <w:r>
        <w:rPr>
          <w:rFonts w:ascii="Arial" w:cs="Arial" w:eastAsia="Arial" w:hAnsi="Arial"/>
          <w:sz w:val="20"/>
          <w:szCs w:val="20"/>
          <w:color w:val="auto"/>
        </w:rPr>
        <w:t>ovel in</w:t>
      </w:r>
      <w:r>
        <w:rPr>
          <w:rFonts w:ascii="Arial" w:cs="Arial" w:eastAsia="Arial" w:hAnsi="Arial"/>
          <w:sz w:val="20"/>
          <w:szCs w:val="20"/>
          <w:b w:val="1"/>
          <w:bCs w:val="1"/>
          <w:color w:val="auto"/>
        </w:rPr>
        <w:t>HA</w:t>
      </w:r>
      <w:r>
        <w:rPr>
          <w:rFonts w:ascii="Arial" w:cs="Arial" w:eastAsia="Arial" w:hAnsi="Arial"/>
          <w:sz w:val="20"/>
          <w:szCs w:val="20"/>
          <w:color w:val="auto"/>
        </w:rPr>
        <w:t xml:space="preserve">led </w:t>
      </w:r>
      <w:r>
        <w:rPr>
          <w:rFonts w:ascii="Arial" w:cs="Arial" w:eastAsia="Arial" w:hAnsi="Arial"/>
          <w:sz w:val="20"/>
          <w:szCs w:val="20"/>
          <w:b w:val="1"/>
          <w:bCs w:val="1"/>
          <w:color w:val="auto"/>
        </w:rPr>
        <w:t>N</w:t>
      </w:r>
      <w:r>
        <w:rPr>
          <w:rFonts w:ascii="Arial" w:cs="Arial" w:eastAsia="Arial" w:hAnsi="Arial"/>
          <w:sz w:val="20"/>
          <w:szCs w:val="20"/>
          <w:color w:val="auto"/>
        </w:rPr>
        <w:t xml:space="preserve">ebulized </w:t>
      </w:r>
      <w:r>
        <w:rPr>
          <w:rFonts w:ascii="Arial" w:cs="Arial" w:eastAsia="Arial" w:hAnsi="Arial"/>
          <w:sz w:val="20"/>
          <w:szCs w:val="20"/>
          <w:b w:val="1"/>
          <w:bCs w:val="1"/>
          <w:color w:val="auto"/>
        </w:rPr>
        <w:t>C</w:t>
      </w:r>
      <w:r>
        <w:rPr>
          <w:rFonts w:ascii="Arial" w:cs="Arial" w:eastAsia="Arial" w:hAnsi="Arial"/>
          <w:sz w:val="20"/>
          <w:szCs w:val="20"/>
          <w:color w:val="auto"/>
        </w:rPr>
        <w:t>OPD th</w:t>
      </w:r>
      <w:r>
        <w:rPr>
          <w:rFonts w:ascii="Arial" w:cs="Arial" w:eastAsia="Arial" w:hAnsi="Arial"/>
          <w:sz w:val="20"/>
          <w:szCs w:val="20"/>
          <w:b w:val="1"/>
          <w:bCs w:val="1"/>
          <w:color w:val="auto"/>
        </w:rPr>
        <w:t>E</w:t>
      </w:r>
      <w:r>
        <w:rPr>
          <w:rFonts w:ascii="Arial" w:cs="Arial" w:eastAsia="Arial" w:hAnsi="Arial"/>
          <w:sz w:val="20"/>
          <w:szCs w:val="20"/>
          <w:color w:val="auto"/>
        </w:rPr>
        <w:t>rapy) program.</w:t>
      </w:r>
    </w:p>
    <w:p>
      <w:pPr>
        <w:spacing w:after="0" w:line="10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FDA’s comments follow its review of the End-of-Phase 2 briefing package that included data from 16 clinical trials involving over 1,300 subjects as well as supportive nonclinical and product development data. Verona Pharma has obtained clarity from the FDA on important features of the pivotal Phase 3 clinical program </w:t>
      </w:r>
      <w:r>
        <w:rPr>
          <w:rFonts w:ascii="Arial" w:cs="Arial" w:eastAsia="Arial" w:hAnsi="Arial"/>
          <w:sz w:val="20"/>
          <w:szCs w:val="20"/>
          <w:color w:val="43484D"/>
        </w:rPr>
        <w:t>to support a New Drug Application (NDA</w:t>
      </w:r>
      <w:r>
        <w:rPr>
          <w:rFonts w:ascii="Arial" w:cs="Arial" w:eastAsia="Arial" w:hAnsi="Arial"/>
          <w:sz w:val="20"/>
          <w:szCs w:val="20"/>
          <w:color w:val="auto"/>
        </w:rPr>
        <w:t>) including: dose, primary and secondary endpoints, patient population and program design. Based on the FDA response, Verona Pharma is accelerating preparations for the Phase 3 clinical program to start later in 2020.</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two randomized, double-blind, placebo-controlled studies (ENHANCE-1 and ENHANCE-2) will evaluate the efficacy and safety of twice daily nebulized ensifentrine as monotherapy and as an add-on to standard of care treatment with a single bronchodilator, either a LAMA, </w:t>
      </w:r>
      <w:r>
        <w:rPr>
          <w:rFonts w:ascii="Arial" w:cs="Arial" w:eastAsia="Arial" w:hAnsi="Arial"/>
          <w:sz w:val="20"/>
          <w:szCs w:val="20"/>
          <w:color w:val="222222"/>
        </w:rPr>
        <w:t>long acting muscarinic antagonist,</w:t>
      </w:r>
      <w:r>
        <w:rPr>
          <w:rFonts w:ascii="Arial" w:cs="Arial" w:eastAsia="Arial" w:hAnsi="Arial"/>
          <w:sz w:val="20"/>
          <w:szCs w:val="20"/>
          <w:color w:val="auto"/>
        </w:rPr>
        <w:t xml:space="preserve"> or a LABA, </w:t>
      </w:r>
      <w:r>
        <w:rPr>
          <w:rFonts w:ascii="Arial" w:cs="Arial" w:eastAsia="Arial" w:hAnsi="Arial"/>
          <w:sz w:val="20"/>
          <w:szCs w:val="20"/>
          <w:color w:val="222222"/>
        </w:rPr>
        <w:t>long acting beta-agonist</w:t>
      </w:r>
      <w:r>
        <w:rPr>
          <w:rFonts w:ascii="Arial" w:cs="Arial" w:eastAsia="Arial" w:hAnsi="Arial"/>
          <w:sz w:val="20"/>
          <w:szCs w:val="20"/>
          <w:color w:val="auto"/>
        </w:rPr>
        <w:t>. The two study designs are essentially identical over 24 weeks but ENHANCE-1 will also evaluate longer-term safety.</w:t>
      </w:r>
    </w:p>
    <w:p>
      <w:pPr>
        <w:spacing w:after="0" w:line="102" w:lineRule="exact"/>
        <w:rPr>
          <w:sz w:val="20"/>
          <w:szCs w:val="20"/>
          <w:color w:val="auto"/>
        </w:rPr>
      </w:pPr>
    </w:p>
    <w:p>
      <w:pPr>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Patient Population: Each of the studies will be expected to enroll approximately 800 moderate to severe, symptomatic COPD patients at sites primarily in the US and Europe.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Dose/Duration: Patients will receive 3 mg nebulized ensifentrine or nebulized placebo twice daily.</w:t>
      </w:r>
    </w:p>
    <w:p>
      <w:pPr>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Primary endpoint: Improvement in lung function as measured by forced expiratory volume in one second (FEV</w:t>
      </w:r>
      <w:r>
        <w:rPr>
          <w:rFonts w:ascii="Arial" w:cs="Arial" w:eastAsia="Arial" w:hAnsi="Arial"/>
          <w:sz w:val="12"/>
          <w:szCs w:val="12"/>
          <w:color w:val="auto"/>
        </w:rPr>
        <w:t>1</w:t>
      </w:r>
      <w:r>
        <w:rPr>
          <w:rFonts w:ascii="Arial" w:cs="Arial" w:eastAsia="Arial" w:hAnsi="Arial"/>
          <w:sz w:val="20"/>
          <w:szCs w:val="20"/>
          <w:color w:val="auto"/>
        </w:rPr>
        <w:t>) over 12 hours with ensifentrine after 12 weeks of treatment.</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Key secondary endpoints: Peak and trough FEV</w:t>
      </w:r>
      <w:r>
        <w:rPr>
          <w:rFonts w:ascii="Arial" w:cs="Arial" w:eastAsia="Arial" w:hAnsi="Arial"/>
          <w:sz w:val="12"/>
          <w:szCs w:val="12"/>
          <w:color w:val="auto"/>
        </w:rPr>
        <w:t>1</w:t>
      </w:r>
      <w:r>
        <w:rPr>
          <w:rFonts w:ascii="Arial" w:cs="Arial" w:eastAsia="Arial" w:hAnsi="Arial"/>
          <w:sz w:val="20"/>
          <w:szCs w:val="20"/>
          <w:color w:val="auto"/>
        </w:rPr>
        <w:t xml:space="preserve"> as well as COPD symptoms and health-related quality of life will be</w:t>
      </w:r>
    </w:p>
    <w:p>
      <w:pPr>
        <w:ind w:left="660"/>
        <w:spacing w:after="0"/>
        <w:rPr>
          <w:rFonts w:ascii="Arial" w:cs="Arial" w:eastAsia="Arial" w:hAnsi="Arial"/>
          <w:sz w:val="18"/>
          <w:szCs w:val="18"/>
          <w:color w:val="auto"/>
        </w:rPr>
      </w:pPr>
      <w:r>
        <w:rPr>
          <w:rFonts w:ascii="Arial" w:cs="Arial" w:eastAsia="Arial" w:hAnsi="Arial"/>
          <w:sz w:val="20"/>
          <w:szCs w:val="20"/>
          <w:color w:val="auto"/>
        </w:rPr>
        <w:t>assessed through 24 weeks via the validated patient reported outcome tools, SGRQ and E-RS: COPD.</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Safety: Assessed over 24 weeks in both studies and over 48 weeks in approximately 400 patients in ENHANCE-1.</w:t>
      </w:r>
    </w:p>
    <w:p>
      <w:pPr>
        <w:jc w:val="both"/>
        <w:spacing w:after="0" w:line="241" w:lineRule="auto"/>
        <w:rPr>
          <w:sz w:val="20"/>
          <w:szCs w:val="20"/>
          <w:color w:val="auto"/>
        </w:rPr>
      </w:pPr>
      <w:r>
        <w:rPr>
          <w:rFonts w:ascii="Arial" w:cs="Arial" w:eastAsia="Arial" w:hAnsi="Arial"/>
          <w:sz w:val="20"/>
          <w:szCs w:val="20"/>
          <w:color w:val="auto"/>
        </w:rPr>
        <w:t>"We are very pleased with the FDA’s response to our End-of-Phase 2 briefing package. Subject to securing additional funding, we look forward to starting our pivotal ENHANCE program later in 2020," said David Zaccardelli, Pharm. D., President and Chief Executive Officer. "We continue to be very encouraged by the Phase 2 results that have demonstrated ensifentrine’s effects on lung function, COPD symptoms and quality of life as well as its favorable safety profile. We look forward to building on this positive data to support the potential submission of a NDA for ensifentrine for the maintenance treatment of COPD.”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on June 1 at 7:30 a.m. EDT / 12:30 pm BST</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rPr>
          <w:sz w:val="20"/>
          <w:szCs w:val="20"/>
          <w:color w:val="auto"/>
        </w:rPr>
      </w:pPr>
      <w:r>
        <w:rPr>
          <w:rFonts w:ascii="Arial" w:cs="Arial" w:eastAsia="Arial" w:hAnsi="Arial"/>
          <w:sz w:val="20"/>
          <w:szCs w:val="20"/>
          <w:color w:val="auto"/>
        </w:rPr>
        <w:t>Verona Pharma plans to present an overview of its ENHANCE program on an investor and analyst R&amp;D webcast at 7:30 a.m. EDT / 12:30 p.m. BST on Monday June 1, 2020. The event will provide insight into the significant unmet need and challenges of treating COPD as well as further details of the ENHANCE program. In additional to members of Verona Pharma’s management team, the webcast will feature a panel of Key Opinion Leaders in the field of COPD to provide a clinician’s perspective. Analysts and investors will be invited to participate in a live webcast available on the Investors page of the Company's website, www.veronapharma.com, where an audio replay will also be available for 30 days.</w:t>
      </w:r>
    </w:p>
    <w:p>
      <w:pPr>
        <w:spacing w:after="0" w:line="1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Verona Pharma continues to monitor the situation caused by the COVID-19 pandemic and its potential impact on its operational, planned clinical trials and the potential disruption to financial markets.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COPD</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COPD is a progressive and life-threatening respiratory disease without a cure. The World Health Organization estimates that it will become the third leading cause of death worldwide by 2030. The condition damages the airways and the lungs, leading to debilitating breathlessness that has a devastating impact on performing basic daily activities such as getting out of bed, showering, eating and walking. US sales of medicines used for chronic maintenance therapy of COPD were $9.6 billion in 2019. About 1.2 million US COPD patients on dual/triple inhaled therapy, long-acting beta-agonist (LABA)/long-acting muscarinic antagonist (LAMA) +/- inhaled corticosteroid (ICS) remain uncontrolled, experiencing symptoms that impair quality of life. These patients urgently need better treatments.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Ensifentrine</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Ensifentrine (RPL554) has shown significant and clinically meaningful improvements in both lung function and COPD symptoms, including breathlessness, in Verona Pharma’s prior Phase 2 clinical studies in patients with moderate to severe COPD. In addition, ensifentrine showed further improved lung function and reduced lung volumes in patients taking standard short- and long-acting bronchodilator therapy, including maximum bronchodilator treatment with dual/triple therapy. Ensifentrine has been well tolerated in clinical trials involving more than 1,300 people to date.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159" w:lineRule="exact"/>
        <w:rPr>
          <w:sz w:val="20"/>
          <w:szCs w:val="20"/>
          <w:color w:val="auto"/>
        </w:rPr>
      </w:pPr>
    </w:p>
    <w:p>
      <w:pPr>
        <w:ind w:right="60"/>
        <w:spacing w:after="0"/>
        <w:rPr>
          <w:sz w:val="20"/>
          <w:szCs w:val="20"/>
          <w:color w:val="auto"/>
        </w:rPr>
      </w:pPr>
      <w:r>
        <w:rPr>
          <w:rFonts w:ascii="Arial" w:cs="Arial" w:eastAsia="Arial" w:hAnsi="Arial"/>
          <w:sz w:val="20"/>
          <w:szCs w:val="20"/>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Verona Pharma is currently evaluating three formulations of ensifentrine for the treatment of COPD in Phase 2 clinical trials: nebulized, dry powder inhaler, and pressurized metered-dose inhaler. Ensifentrine also has potential applications in cystic fibrosis, asthma and other respiratory diseases. For more information, please visit </w:t>
      </w:r>
      <w:r>
        <w:rPr>
          <w:rFonts w:ascii="Arial" w:cs="Arial" w:eastAsia="Arial" w:hAnsi="Arial"/>
          <w:sz w:val="20"/>
          <w:szCs w:val="20"/>
          <w:u w:val="single" w:color="auto"/>
          <w:color w:val="0563C1"/>
        </w:rPr>
        <w:t>www.veronapharma.com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Forward-Looking Statements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 matters of historical fact should be considered forward-looking statements, including, but not limited to, the development of ensifentrine, the progress and timing of clinical trials, data and meetings with and written feedback from the FDA, the potential for ensifentrine to be a first-in-class phosphodiesterase 3 and 4 inhibitor, and to be the first therapy for the treatment of respiratory diseases to combine bronchodilator and anti-inflammatory activities in one compound, the potential for ensifentrine to have a significant impact on the treatment of COPD, estimates of medical costs for COPD and the number of symptomatic COPD patients, and the potential application of ensifentrine for the treatment of cystic fibrosis, asthma and other respiratory diseases.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and lawsuits related to patents covering ensifentrine and the potential for our patents to be found invalid or unenforceable; and our vulnerability to natural disasters, global economic factors and other unexpected events, including health epidemics or pandemics like the novel coronavirus (COVID-19). These and other important factors under the caption “Risk Factors” in our Annual Report on Form 20-F filed with the Securities and Exchange Commission (“SEC”) on February 27, 2020,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12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THIS ANNOUNCEMENT CONTAINS INSIDE INFORMATION FOR THE PURPOSES OF ARTICLE 7 OF REGULATION (EU) NO 596/2014</w:t>
      </w:r>
    </w:p>
    <w:p>
      <w:pPr>
        <w:sectPr>
          <w:pgSz w:w="11900" w:h="16838" w:orient="portrait"/>
          <w:cols w:equalWidth="0" w:num="1">
            <w:col w:w="11240"/>
          </w:cols>
          <w:pgMar w:left="320" w:top="544"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For further information, please contact:</w:t>
      </w:r>
    </w:p>
    <w:p>
      <w:pPr>
        <w:sectPr>
          <w:pgSz w:w="11900" w:h="16838" w:orient="portrait"/>
          <w:cols w:equalWidth="0" w:num="1">
            <w:col w:w="10139"/>
          </w:cols>
          <w:pgMar w:left="320" w:top="544" w:right="1440" w:bottom="1440" w:gutter="0" w:footer="0" w:header="0"/>
        </w:sectPr>
      </w:pPr>
    </w:p>
    <w:p>
      <w:pPr>
        <w:spacing w:after="0" w:line="389"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Verona Pharma plc</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Tel: +44 (0)20 3283 4200</w:t>
      </w:r>
    </w:p>
    <w:p>
      <w:pPr>
        <w:spacing w:after="0" w:line="52" w:lineRule="exact"/>
        <w:rPr>
          <w:sz w:val="20"/>
          <w:szCs w:val="20"/>
          <w:color w:val="auto"/>
        </w:rPr>
      </w:pPr>
    </w:p>
    <w:p>
      <w:pPr>
        <w:sectPr>
          <w:pgSz w:w="11900" w:h="16838" w:orient="portrait"/>
          <w:cols w:equalWidth="0" w:num="2">
            <w:col w:w="6240" w:space="720"/>
            <w:col w:w="3179"/>
          </w:cols>
          <w:pgMar w:left="320" w:top="544" w:right="1440" w:bottom="1440" w:gutter="0" w:footer="0" w:header="0"/>
          <w:type w:val="continuous"/>
        </w:sectPr>
      </w:pPr>
    </w:p>
    <w:p>
      <w:pPr>
        <w:ind w:left="680" w:right="1640"/>
        <w:spacing w:after="0" w:line="317" w:lineRule="auto"/>
        <w:rPr>
          <w:sz w:val="20"/>
          <w:szCs w:val="20"/>
          <w:color w:val="auto"/>
        </w:rPr>
      </w:pPr>
      <w:r>
        <w:rPr>
          <w:rFonts w:ascii="Arial" w:cs="Arial" w:eastAsia="Arial" w:hAnsi="Arial"/>
          <w:sz w:val="19"/>
          <w:szCs w:val="19"/>
          <w:color w:val="auto"/>
        </w:rPr>
        <w:t>David Zaccardelli, Chief Executive Officer Victoria Stewart, Director of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info@veronapharma.com</w:t>
      </w:r>
    </w:p>
    <w:p>
      <w:pPr>
        <w:spacing w:after="0" w:line="513" w:lineRule="exact"/>
        <w:rPr>
          <w:sz w:val="20"/>
          <w:szCs w:val="20"/>
          <w:color w:val="auto"/>
        </w:rPr>
      </w:pPr>
    </w:p>
    <w:p>
      <w:pPr>
        <w:sectPr>
          <w:pgSz w:w="11900" w:h="16838" w:orient="portrait"/>
          <w:cols w:equalWidth="0" w:num="2">
            <w:col w:w="6240" w:space="720"/>
            <w:col w:w="3179"/>
          </w:cols>
          <w:pgMar w:left="320" w:top="544" w:right="1440" w:bottom="1440" w:gutter="0" w:footer="0" w:header="0"/>
          <w:type w:val="continuous"/>
        </w:sectPr>
      </w:pPr>
    </w:p>
    <w:p>
      <w:pPr>
        <w:ind w:left="680"/>
        <w:spacing w:after="0"/>
        <w:rPr>
          <w:sz w:val="20"/>
          <w:szCs w:val="20"/>
          <w:color w:val="auto"/>
        </w:rPr>
      </w:pPr>
      <w:r>
        <w:rPr>
          <w:rFonts w:ascii="Arial" w:cs="Arial" w:eastAsia="Arial" w:hAnsi="Arial"/>
          <w:sz w:val="20"/>
          <w:szCs w:val="20"/>
          <w:b w:val="1"/>
          <w:bCs w:val="1"/>
          <w:color w:val="auto"/>
        </w:rPr>
        <w:t>N+1 Singer</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(Nominated Adviser and UK Broker)</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Aubrey Powell / George Tzimas / Iqra Amin (Corporate Finance)</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Tom Salvesen (Corporate Broking)</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Tel: +44 (0)20 3283 4200</w:t>
      </w:r>
    </w:p>
    <w:p>
      <w:pPr>
        <w:spacing w:after="0" w:line="751" w:lineRule="exact"/>
        <w:rPr>
          <w:sz w:val="20"/>
          <w:szCs w:val="20"/>
          <w:color w:val="auto"/>
        </w:rPr>
      </w:pPr>
    </w:p>
    <w:p>
      <w:pPr>
        <w:sectPr>
          <w:pgSz w:w="11900" w:h="16838" w:orient="portrait"/>
          <w:cols w:equalWidth="0" w:num="2">
            <w:col w:w="6300" w:space="660"/>
            <w:col w:w="3179"/>
          </w:cols>
          <w:pgMar w:left="320" w:top="544" w:right="1440" w:bottom="1440" w:gutter="0" w:footer="0" w:header="0"/>
          <w:type w:val="continuous"/>
        </w:sectPr>
      </w:pPr>
    </w:p>
    <w:p>
      <w:pPr>
        <w:spacing w:after="0" w:line="32" w:lineRule="exact"/>
        <w:rPr>
          <w:sz w:val="20"/>
          <w:szCs w:val="20"/>
          <w:color w:val="auto"/>
        </w:rPr>
      </w:pPr>
    </w:p>
    <w:p>
      <w:pPr>
        <w:ind w:left="680" w:right="1960"/>
        <w:spacing w:after="0" w:line="290" w:lineRule="auto"/>
        <w:rPr>
          <w:sz w:val="20"/>
          <w:szCs w:val="20"/>
          <w:color w:val="auto"/>
        </w:rPr>
      </w:pPr>
      <w:r>
        <w:rPr>
          <w:rFonts w:ascii="Arial" w:cs="Arial" w:eastAsia="Arial" w:hAnsi="Arial"/>
          <w:sz w:val="19"/>
          <w:szCs w:val="19"/>
          <w:b w:val="1"/>
          <w:bCs w:val="1"/>
          <w:color w:val="auto"/>
        </w:rPr>
        <w:t xml:space="preserve">Optimum Strategic Communications </w:t>
      </w:r>
      <w:r>
        <w:rPr>
          <w:rFonts w:ascii="Arial" w:cs="Arial" w:eastAsia="Arial" w:hAnsi="Arial"/>
          <w:sz w:val="19"/>
          <w:szCs w:val="19"/>
          <w:color w:val="auto"/>
        </w:rPr>
        <w:t>(European Media and Investor Enquiries) Mary Clark / Eva Haas / Shabnam Bashir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Tel: +44 (0)203 950 9144</w:t>
      </w:r>
    </w:p>
    <w:p>
      <w:pPr>
        <w:spacing w:after="0"/>
        <w:rPr>
          <w:sz w:val="20"/>
          <w:szCs w:val="20"/>
          <w:color w:val="auto"/>
        </w:rPr>
      </w:pPr>
      <w:r>
        <w:rPr>
          <w:rFonts w:ascii="Arial" w:cs="Arial" w:eastAsia="Arial" w:hAnsi="Arial"/>
          <w:sz w:val="19"/>
          <w:szCs w:val="19"/>
          <w:color w:val="auto"/>
        </w:rPr>
        <w:t>verona@optimumcomms.com</w:t>
      </w:r>
    </w:p>
    <w:p>
      <w:pPr>
        <w:spacing w:after="0" w:line="513" w:lineRule="exact"/>
        <w:rPr>
          <w:sz w:val="20"/>
          <w:szCs w:val="20"/>
          <w:color w:val="auto"/>
        </w:rPr>
      </w:pPr>
    </w:p>
    <w:p>
      <w:pPr>
        <w:sectPr>
          <w:pgSz w:w="11900" w:h="16838" w:orient="portrait"/>
          <w:cols w:equalWidth="0" w:num="2">
            <w:col w:w="6240" w:space="720"/>
            <w:col w:w="3179"/>
          </w:cols>
          <w:pgMar w:left="320" w:top="544" w:right="1440" w:bottom="1440" w:gutter="0" w:footer="0" w:header="0"/>
          <w:type w:val="continuous"/>
        </w:sectPr>
      </w:pPr>
    </w:p>
    <w:p>
      <w:pPr>
        <w:ind w:left="680"/>
        <w:spacing w:after="0"/>
        <w:rPr>
          <w:sz w:val="20"/>
          <w:szCs w:val="20"/>
          <w:color w:val="auto"/>
        </w:rPr>
      </w:pPr>
      <w:r>
        <w:rPr>
          <w:rFonts w:ascii="Arial" w:cs="Arial" w:eastAsia="Arial" w:hAnsi="Arial"/>
          <w:sz w:val="20"/>
          <w:szCs w:val="20"/>
          <w:b w:val="1"/>
          <w:bCs w:val="1"/>
          <w:color w:val="auto"/>
        </w:rPr>
        <w:t>Argot Partners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(US Investor Enquiries)</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Stephanie Marks / Kimberly Minarovich / Michael Barron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779"/>
        <w:spacing w:after="0" w:line="257" w:lineRule="auto"/>
        <w:rPr>
          <w:sz w:val="20"/>
          <w:szCs w:val="20"/>
          <w:color w:val="auto"/>
        </w:rPr>
      </w:pPr>
      <w:r>
        <w:rPr>
          <w:rFonts w:ascii="Arial" w:cs="Arial" w:eastAsia="Arial" w:hAnsi="Arial"/>
          <w:sz w:val="19"/>
          <w:szCs w:val="19"/>
          <w:color w:val="auto"/>
        </w:rPr>
        <w:t>Tel: +1 212-600-1902 verona@argotpartners.com</w:t>
      </w:r>
    </w:p>
    <w:p>
      <w:pPr>
        <w:sectPr>
          <w:pgSz w:w="11900" w:h="16838" w:orient="portrait"/>
          <w:cols w:equalWidth="0" w:num="2">
            <w:col w:w="6240" w:space="720"/>
            <w:col w:w="3179"/>
          </w:cols>
          <w:pgMar w:left="320" w:top="544" w:right="1440"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1194435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3911600</wp:posOffset>
            </wp:positionH>
            <wp:positionV relativeFrom="page">
              <wp:posOffset>88900</wp:posOffset>
            </wp:positionV>
            <wp:extent cx="2099945" cy="796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99945" cy="79692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Restricted Stock Units, Issue of Equity, Total Voting Rights &amp; PDMR Dealings</w:t>
      </w:r>
    </w:p>
    <w:p>
      <w:pPr>
        <w:spacing w:after="0" w:line="200" w:lineRule="exact"/>
        <w:rPr>
          <w:sz w:val="20"/>
          <w:szCs w:val="20"/>
          <w:color w:val="auto"/>
        </w:rPr>
      </w:pP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May 12, 2020, LONDON - Verona Pharma plc (AIM:VRP) (Nasdaq:VRNA) (“Verona Pharma” or the “Company”), a clinical-stage biopharmaceutical company focused on developing and commercializing innovative therapies for respiratory diseases, announces that it has on May 7, 2020 granted to Dr David Zaccardelli, CEO, and Mr Mark Hahn, CFO of the Company, an aggregate of 921,608 Restricted American Depositary Share Units (“RADSUs”), representing 7,372,864 ordinary shares of 5 pence each (the “Ordinary Shares”), and today issued to them an aggregate of 267,288 ordinary shares of 5 pence each (the “New Ordinary Shares”) following the vesting of previously granted RADSUs.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Application will be made to the London Stock Exchange for the New Ordinary Shares to be admitted to trading on AIM, with dealings expected to commence on May 18, 2020 (“Admission”).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RADSUs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made a grant of an aggregate of 921,608 RADSUs over American Depositary Shares (“ADSs”), representing 7,372,864 Ordinary Shares, to Dr Zaccardelli and Mr Hahn under and in accordance with the terms of Verona Pharma’s 2017 Incentive Award Plan (the “Incentive Plan”), and pursuant to their employment agreements, as detailed in the Company’s 2019 20-F SEC filing, which is available on the “Investors” section of the Company’s website (</w:t>
      </w:r>
      <w:r>
        <w:rPr>
          <w:rFonts w:ascii="Arial" w:cs="Arial" w:eastAsia="Arial" w:hAnsi="Arial"/>
          <w:sz w:val="18"/>
          <w:szCs w:val="18"/>
          <w:u w:val="single" w:color="auto"/>
          <w:color w:val="0000FF"/>
        </w:rPr>
        <w:t>https://www.veronapharma.com/investors/news-sec-filings)</w:t>
      </w:r>
      <w:r>
        <w:rPr>
          <w:rFonts w:ascii="Arial" w:cs="Arial" w:eastAsia="Arial" w:hAnsi="Arial"/>
          <w:sz w:val="18"/>
          <w:szCs w:val="18"/>
          <w:color w:val="auto"/>
        </w:rPr>
        <w:t>.</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RADSU represents an unfunded, unsecured right to receive, on the applicable vesting date, one ADS, or, at the option of the Company, an equivalent amount in cash.</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Dr Zaccardelli was granted 526,633 RADSUs, representing 4,213,064 ADSs, or 4% of the Company’s 105,326,637 Ordinary Shares in issue at the date of the 2020 Annual General Meeting (the “AGM”).</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Hahn was granted 394,975 RADSUs, representing 3,159,800 ADSs, or 3% of the Company’s Ordinary Shares in issue at the date of the AGM.</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RADSUs will vest as to 25% on February 1, 2021, being the first anniversary of commencement of Dr Zaccardelli’s and Mr Hahn’s employment, and the balance over the remaining three years in twelve equal installments upon completion of each successive three month period of continued employment by the relevant executive.</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Issue of the New Ordinary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issue of the 267,288 New Ordinary Shares follows the vesting of previously granted RADSUs to Dr Zaccardelli and Mr Hahn.</w:t>
      </w:r>
    </w:p>
    <w:p>
      <w:pPr>
        <w:spacing w:after="0" w:line="18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announced on March 5, 2020, RADSUs were granted to Dr Zaccardelli and Mr Hahn pursuant to their employment agreements as payment in lieu of a portion of their annual base salaries. The New Ordinary Shares, of which 178,192 are issued to Dr Zaccardelli and 89,096 are issued to Mr Hahn, represent the first of four installments of these RADSUs to vest with respect to their annual base salaries.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Following the issue of New Ordinary Shares, Dr Zaccardelli will have an interest in the Company of 178,192 Ordinary Shares, representing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0.17% of the Company’s issued share capital, and Mr Hahn will have an interest in the Company of 89,096 Ordinary Shares, representing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0.08% of the Company’s issued share capital.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voting rights</w:t>
      </w:r>
    </w:p>
    <w:p>
      <w:pPr>
        <w:spacing w:after="0" w:line="20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Following Admission of the New Ordinary Shares, the Company will have a total of 106,481,006 Ordinary Shares in issue each carrying one voting right. The Company does not hold any Ordinary Shares in Treasury. This figure of 106,481,006 Ordinary Shares may therefore be used by shareholders as the denominator for the calculations by which they will determine if they are required to notify their interest in, or a change to their interest in, the share capital of the Company under the FCA's Disclosure and Transparency Rules.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PDMR Dealings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notification of dealing form in respect of the RADSU award and issue of New Ordinary Shares for each PDMR can be found below.</w:t>
      </w:r>
    </w:p>
    <w:p>
      <w:pPr>
        <w:spacing w:after="0" w:line="200" w:lineRule="exact"/>
        <w:rPr>
          <w:sz w:val="20"/>
          <w:szCs w:val="20"/>
          <w:color w:val="auto"/>
        </w:rPr>
      </w:pP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1</w:t>
            </w:r>
          </w:p>
        </w:tc>
        <w:tc>
          <w:tcPr>
            <w:tcW w:w="107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t>
            </w:r>
          </w:p>
        </w:tc>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 David Zaccardelli</w:t>
            </w: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2</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Reason for the notification</w:t>
            </w:r>
          </w:p>
        </w:tc>
        <w:tc>
          <w:tcPr>
            <w:tcW w:w="4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t>
            </w:r>
          </w:p>
        </w:tc>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Position/status</w:t>
            </w: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w:t>
            </w:r>
          </w:p>
        </w:tc>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Initial notification/Amendment</w:t>
            </w: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Initial notification</w:t>
            </w: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3</w:t>
            </w:r>
          </w:p>
        </w:tc>
        <w:tc>
          <w:tcPr>
            <w:tcW w:w="107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t>
            </w:r>
          </w:p>
        </w:tc>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Verona Pharma plc</w:t>
            </w:r>
          </w:p>
        </w:tc>
        <w:tc>
          <w:tcPr>
            <w:tcW w:w="0" w:type="dxa"/>
            <w:vAlign w:val="bottom"/>
          </w:tcPr>
          <w:p>
            <w:pPr>
              <w:spacing w:after="0"/>
              <w:rPr>
                <w:sz w:val="1"/>
                <w:szCs w:val="1"/>
                <w:color w:val="auto"/>
              </w:rPr>
            </w:pPr>
          </w:p>
        </w:tc>
      </w:tr>
      <w:tr>
        <w:trPr>
          <w:trHeight w:val="299"/>
        </w:trPr>
        <w:tc>
          <w:tcPr>
            <w:tcW w:w="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b)</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LEI</w:t>
            </w:r>
          </w:p>
        </w:tc>
        <w:tc>
          <w:tcPr>
            <w:tcW w:w="48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213800EVI6O6J3TIAL06</w:t>
            </w:r>
          </w:p>
        </w:tc>
        <w:tc>
          <w:tcPr>
            <w:tcW w:w="0" w:type="dxa"/>
            <w:vAlign w:val="bottom"/>
          </w:tcPr>
          <w:p>
            <w:pPr>
              <w:spacing w:after="0"/>
              <w:rPr>
                <w:sz w:val="1"/>
                <w:szCs w:val="1"/>
                <w:color w:val="auto"/>
              </w:rPr>
            </w:pPr>
          </w:p>
        </w:tc>
      </w:tr>
      <w:tr>
        <w:trPr>
          <w:trHeight w:val="86"/>
        </w:trPr>
        <w:tc>
          <w:tcPr>
            <w:tcW w:w="4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960" w:type="dxa"/>
            <w:vAlign w:val="bottom"/>
            <w:tcBorders>
              <w:bottom w:val="single" w:sz="8" w:color="auto"/>
              <w:right w:val="single" w:sz="8" w:color="auto"/>
            </w:tcBorders>
          </w:tcPr>
          <w:p>
            <w:pPr>
              <w:spacing w:after="0"/>
              <w:rPr>
                <w:sz w:val="7"/>
                <w:szCs w:val="7"/>
                <w:color w:val="auto"/>
              </w:rPr>
            </w:pPr>
          </w:p>
        </w:tc>
        <w:tc>
          <w:tcPr>
            <w:tcW w:w="48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33"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00" w:type="dxa"/>
            <w:vAlign w:val="bottom"/>
            <w:tcBorders>
              <w:top w:val="single" w:sz="8" w:color="auto"/>
              <w:left w:val="single" w:sz="8" w:color="auto"/>
              <w:right w:val="single" w:sz="8" w:color="auto"/>
            </w:tcBorders>
          </w:tcPr>
          <w:p>
            <w:pPr>
              <w:spacing w:after="0"/>
              <w:rPr>
                <w:sz w:val="19"/>
                <w:szCs w:val="19"/>
                <w:color w:val="auto"/>
              </w:rPr>
            </w:pPr>
          </w:p>
        </w:tc>
        <w:tc>
          <w:tcPr>
            <w:tcW w:w="10660" w:type="dxa"/>
            <w:vAlign w:val="bottom"/>
            <w:tcBorders>
              <w:top w:val="single" w:sz="8" w:color="auto"/>
              <w:right w:val="single" w:sz="8" w:color="auto"/>
            </w:tcBorders>
            <w:gridSpan w:val="4"/>
          </w:tcPr>
          <w:p>
            <w:pPr>
              <w:ind w:left="20"/>
              <w:spacing w:after="0" w:line="229" w:lineRule="exact"/>
              <w:rPr>
                <w:sz w:val="20"/>
                <w:szCs w:val="20"/>
                <w:color w:val="auto"/>
              </w:rPr>
            </w:pPr>
            <w:r>
              <w:rPr>
                <w:rFonts w:ascii="Arial" w:cs="Arial" w:eastAsia="Arial" w:hAnsi="Arial"/>
                <w:sz w:val="20"/>
                <w:szCs w:val="20"/>
                <w:b w:val="1"/>
                <w:bCs w:val="1"/>
                <w:color w:val="auto"/>
              </w:rPr>
              <w:t>Details of the transaction(s): section to be repeated for (i) each type of instrument; (ii) each type of transaction;</w:t>
            </w:r>
          </w:p>
        </w:tc>
        <w:tc>
          <w:tcPr>
            <w:tcW w:w="0" w:type="dxa"/>
            <w:vAlign w:val="bottom"/>
          </w:tcPr>
          <w:p>
            <w:pPr>
              <w:spacing w:after="0"/>
              <w:rPr>
                <w:sz w:val="1"/>
                <w:szCs w:val="1"/>
                <w:color w:val="auto"/>
              </w:rPr>
            </w:pPr>
          </w:p>
        </w:tc>
      </w:tr>
      <w:tr>
        <w:trPr>
          <w:trHeight w:val="26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4</w:t>
            </w:r>
          </w:p>
        </w:tc>
        <w:tc>
          <w:tcPr>
            <w:tcW w:w="852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(iii) each date; and (iv) each place where transactions have been conducted</w:t>
            </w:r>
          </w:p>
        </w:tc>
        <w:tc>
          <w:tcPr>
            <w:tcW w:w="2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Description of the financial instrument, type of instrument</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American Depositary Shares (“ADSs”), each</w:t>
            </w:r>
          </w:p>
        </w:tc>
        <w:tc>
          <w:tcPr>
            <w:tcW w:w="0" w:type="dxa"/>
            <w:vAlign w:val="bottom"/>
          </w:tcPr>
          <w:p>
            <w:pPr>
              <w:spacing w:after="0"/>
              <w:rPr>
                <w:sz w:val="1"/>
                <w:szCs w:val="1"/>
                <w:color w:val="auto"/>
              </w:rPr>
            </w:pPr>
          </w:p>
        </w:tc>
      </w:tr>
      <w:tr>
        <w:trPr>
          <w:trHeight w:val="181"/>
        </w:trPr>
        <w:tc>
          <w:tcPr>
            <w:tcW w:w="600" w:type="dxa"/>
            <w:vAlign w:val="bottom"/>
            <w:tcBorders>
              <w:left w:val="single" w:sz="8" w:color="auto"/>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representing 8 Ordinary Shares</w:t>
            </w: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w:t>
            </w: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Identification code</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ISIN Code: US9250501064</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426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b)</w:t>
            </w: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Nature of the transaction</w:t>
            </w:r>
          </w:p>
        </w:tc>
        <w:tc>
          <w:tcPr>
            <w:tcW w:w="2120" w:type="dxa"/>
            <w:vAlign w:val="bottom"/>
          </w:tcPr>
          <w:p>
            <w:pPr>
              <w:ind w:left="20"/>
              <w:spacing w:after="0"/>
              <w:rPr>
                <w:sz w:val="20"/>
                <w:szCs w:val="20"/>
                <w:color w:val="auto"/>
              </w:rPr>
            </w:pPr>
            <w:r>
              <w:rPr>
                <w:rFonts w:ascii="Arial" w:cs="Arial" w:eastAsia="Arial" w:hAnsi="Arial"/>
                <w:sz w:val="20"/>
                <w:szCs w:val="20"/>
                <w:color w:val="auto"/>
              </w:rPr>
              <w:t>Grant of RADSUs</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8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Volume(s)</w:t>
            </w:r>
          </w:p>
        </w:tc>
        <w:tc>
          <w:tcPr>
            <w:tcW w:w="0" w:type="dxa"/>
            <w:vAlign w:val="bottom"/>
          </w:tcPr>
          <w:p>
            <w:pPr>
              <w:spacing w:after="0"/>
              <w:rPr>
                <w:sz w:val="1"/>
                <w:szCs w:val="1"/>
                <w:color w:val="auto"/>
              </w:rPr>
            </w:pPr>
          </w:p>
        </w:tc>
      </w:tr>
      <w:tr>
        <w:trPr>
          <w:trHeight w:val="573"/>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Price(s) and volume(s)</w:t>
            </w:r>
          </w:p>
        </w:tc>
        <w:tc>
          <w:tcPr>
            <w:tcW w:w="212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526,633 RADSUs</w:t>
            </w:r>
          </w:p>
        </w:tc>
        <w:tc>
          <w:tcPr>
            <w:tcW w:w="0" w:type="dxa"/>
            <w:vAlign w:val="bottom"/>
          </w:tcPr>
          <w:p>
            <w:pPr>
              <w:spacing w:after="0"/>
              <w:rPr>
                <w:sz w:val="1"/>
                <w:szCs w:val="1"/>
                <w:color w:val="auto"/>
              </w:rPr>
            </w:pPr>
          </w:p>
        </w:tc>
      </w:tr>
      <w:tr>
        <w:trPr>
          <w:trHeight w:val="233"/>
        </w:trPr>
        <w:tc>
          <w:tcPr>
            <w:tcW w:w="600" w:type="dxa"/>
            <w:vAlign w:val="bottom"/>
            <w:tcBorders>
              <w:left w:val="single" w:sz="8" w:color="auto"/>
              <w:right w:val="single" w:sz="8" w:color="auto"/>
            </w:tcBorders>
          </w:tcPr>
          <w:p>
            <w:pPr>
              <w:spacing w:after="0"/>
              <w:rPr>
                <w:sz w:val="20"/>
                <w:szCs w:val="20"/>
                <w:color w:val="auto"/>
              </w:rPr>
            </w:pPr>
          </w:p>
        </w:tc>
        <w:tc>
          <w:tcPr>
            <w:tcW w:w="6400" w:type="dxa"/>
            <w:vAlign w:val="bottom"/>
            <w:tcBorders>
              <w:right w:val="single" w:sz="8" w:color="auto"/>
            </w:tcBorders>
            <w:gridSpan w:val="2"/>
            <w:vMerge w:val="continue"/>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Price(s)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(representing</w:t>
            </w:r>
          </w:p>
        </w:tc>
        <w:tc>
          <w:tcPr>
            <w:tcW w:w="0" w:type="dxa"/>
            <w:vAlign w:val="bottom"/>
          </w:tcPr>
          <w:p>
            <w:pPr>
              <w:spacing w:after="0"/>
              <w:rPr>
                <w:sz w:val="1"/>
                <w:szCs w:val="1"/>
                <w:color w:val="auto"/>
              </w:rPr>
            </w:pPr>
          </w:p>
        </w:tc>
      </w:tr>
      <w:tr>
        <w:trPr>
          <w:trHeight w:val="199"/>
        </w:trPr>
        <w:tc>
          <w:tcPr>
            <w:tcW w:w="60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0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20"/>
                <w:szCs w:val="20"/>
                <w:color w:val="auto"/>
              </w:rPr>
              <w:t>4,213,064 Ordinary</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w:t>
            </w: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No consideration paid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Shares)</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vMerge w:val="continue"/>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Aggregated information</w:t>
            </w:r>
          </w:p>
        </w:tc>
        <w:tc>
          <w:tcPr>
            <w:tcW w:w="212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tcBorders>
              <w:left w:val="single" w:sz="8" w:color="auto"/>
              <w:right w:val="single" w:sz="8" w:color="auto"/>
            </w:tcBorders>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6080" w:type="dxa"/>
            <w:vAlign w:val="bottom"/>
            <w:tcBorders>
              <w:right w:val="single" w:sz="8" w:color="auto"/>
            </w:tcBorders>
          </w:tcPr>
          <w:p>
            <w:pPr>
              <w:ind w:left="260"/>
              <w:spacing w:after="0"/>
              <w:rPr>
                <w:sz w:val="20"/>
                <w:szCs w:val="20"/>
                <w:color w:val="auto"/>
              </w:rPr>
            </w:pPr>
            <w:r>
              <w:rPr>
                <w:rFonts w:ascii="Arial" w:cs="Arial" w:eastAsia="Arial" w:hAnsi="Arial"/>
                <w:sz w:val="20"/>
                <w:szCs w:val="20"/>
                <w:color w:val="auto"/>
              </w:rPr>
              <w:t>Aggregated volume</w:t>
            </w:r>
          </w:p>
        </w:tc>
        <w:tc>
          <w:tcPr>
            <w:tcW w:w="212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d)</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6080" w:type="dxa"/>
            <w:vAlign w:val="bottom"/>
            <w:tcBorders>
              <w:right w:val="single" w:sz="8" w:color="auto"/>
            </w:tcBorders>
          </w:tcPr>
          <w:p>
            <w:pPr>
              <w:ind w:left="260"/>
              <w:spacing w:after="0"/>
              <w:rPr>
                <w:sz w:val="20"/>
                <w:szCs w:val="20"/>
                <w:color w:val="auto"/>
              </w:rPr>
            </w:pPr>
            <w:r>
              <w:rPr>
                <w:rFonts w:ascii="Arial" w:cs="Arial" w:eastAsia="Arial" w:hAnsi="Arial"/>
                <w:sz w:val="20"/>
                <w:szCs w:val="20"/>
                <w:color w:val="auto"/>
              </w:rPr>
              <w:t>Price</w:t>
            </w:r>
          </w:p>
        </w:tc>
        <w:tc>
          <w:tcPr>
            <w:tcW w:w="2120" w:type="dxa"/>
            <w:vAlign w:val="bottom"/>
            <w:vMerge w:val="restart"/>
          </w:tcPr>
          <w:p>
            <w:pPr>
              <w:ind w:left="20"/>
              <w:spacing w:after="0"/>
              <w:rPr>
                <w:sz w:val="20"/>
                <w:szCs w:val="20"/>
                <w:color w:val="auto"/>
              </w:rPr>
            </w:pPr>
            <w:r>
              <w:rPr>
                <w:rFonts w:ascii="Arial" w:cs="Arial" w:eastAsia="Arial" w:hAnsi="Arial"/>
                <w:sz w:val="20"/>
                <w:szCs w:val="20"/>
                <w:color w:val="auto"/>
                <w:w w:val="99"/>
              </w:rPr>
              <w:t>N/A (single transaction)</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vMerge w:val="continue"/>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w:t>
            </w:r>
          </w:p>
        </w:tc>
        <w:tc>
          <w:tcPr>
            <w:tcW w:w="64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Date of the transaction</w:t>
            </w:r>
          </w:p>
        </w:tc>
        <w:tc>
          <w:tcPr>
            <w:tcW w:w="2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May 7, 2020</w:t>
            </w: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w:t>
            </w:r>
          </w:p>
        </w:tc>
        <w:tc>
          <w:tcPr>
            <w:tcW w:w="64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Place of the transaction</w:t>
            </w:r>
          </w:p>
        </w:tc>
        <w:tc>
          <w:tcPr>
            <w:tcW w:w="2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6"/>
              </w:rPr>
              <w:t>Outside a trading venue</w:t>
            </w: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70" w:right="3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00" w:type="dxa"/>
            <w:vAlign w:val="bottom"/>
            <w:tcBorders>
              <w:top w:val="single" w:sz="8" w:color="auto"/>
              <w:left w:val="single" w:sz="8" w:color="auto"/>
              <w:right w:val="single" w:sz="8" w:color="auto"/>
            </w:tcBorders>
          </w:tcPr>
          <w:p>
            <w:pPr>
              <w:spacing w:after="0"/>
              <w:rPr>
                <w:sz w:val="19"/>
                <w:szCs w:val="19"/>
                <w:color w:val="auto"/>
              </w:rPr>
            </w:pPr>
          </w:p>
        </w:tc>
        <w:tc>
          <w:tcPr>
            <w:tcW w:w="10660" w:type="dxa"/>
            <w:vAlign w:val="bottom"/>
            <w:tcBorders>
              <w:top w:val="single" w:sz="8" w:color="auto"/>
              <w:right w:val="single" w:sz="8" w:color="auto"/>
            </w:tcBorders>
            <w:gridSpan w:val="4"/>
          </w:tcPr>
          <w:p>
            <w:pPr>
              <w:ind w:left="20"/>
              <w:spacing w:after="0" w:line="229" w:lineRule="exact"/>
              <w:rPr>
                <w:sz w:val="20"/>
                <w:szCs w:val="20"/>
                <w:color w:val="auto"/>
              </w:rPr>
            </w:pPr>
            <w:r>
              <w:rPr>
                <w:rFonts w:ascii="Arial" w:cs="Arial" w:eastAsia="Arial" w:hAnsi="Arial"/>
                <w:sz w:val="20"/>
                <w:szCs w:val="20"/>
                <w:b w:val="1"/>
                <w:bCs w:val="1"/>
                <w:color w:val="auto"/>
              </w:rPr>
              <w:t>Details of the transaction(s): section to be repeated for (i) each type of instrument; (ii) each type of transaction;</w:t>
            </w:r>
          </w:p>
        </w:tc>
        <w:tc>
          <w:tcPr>
            <w:tcW w:w="0" w:type="dxa"/>
            <w:vAlign w:val="bottom"/>
          </w:tcPr>
          <w:p>
            <w:pPr>
              <w:spacing w:after="0"/>
              <w:rPr>
                <w:sz w:val="1"/>
                <w:szCs w:val="1"/>
                <w:color w:val="auto"/>
              </w:rPr>
            </w:pPr>
          </w:p>
        </w:tc>
      </w:tr>
      <w:tr>
        <w:trPr>
          <w:trHeight w:val="26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4</w:t>
            </w:r>
          </w:p>
        </w:tc>
        <w:tc>
          <w:tcPr>
            <w:tcW w:w="852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(iii) each date; and (iv) each place where transactions have been conducted</w:t>
            </w:r>
          </w:p>
        </w:tc>
        <w:tc>
          <w:tcPr>
            <w:tcW w:w="2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Description of the financial instrument, type of instrument</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American Depositary Shares (“ADSs”), each</w:t>
            </w:r>
          </w:p>
        </w:tc>
        <w:tc>
          <w:tcPr>
            <w:tcW w:w="0" w:type="dxa"/>
            <w:vAlign w:val="bottom"/>
          </w:tcPr>
          <w:p>
            <w:pPr>
              <w:spacing w:after="0"/>
              <w:rPr>
                <w:sz w:val="1"/>
                <w:szCs w:val="1"/>
                <w:color w:val="auto"/>
              </w:rPr>
            </w:pPr>
          </w:p>
        </w:tc>
      </w:tr>
      <w:tr>
        <w:trPr>
          <w:trHeight w:val="181"/>
        </w:trPr>
        <w:tc>
          <w:tcPr>
            <w:tcW w:w="600" w:type="dxa"/>
            <w:vAlign w:val="bottom"/>
            <w:tcBorders>
              <w:left w:val="single" w:sz="8" w:color="auto"/>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representing 8 Ordinary Shares</w:t>
            </w: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w:t>
            </w: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Identification code</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ISIN Code: US9250501064</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426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David Zaccardelli was issued 178,192 Ordinary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tcBorders>
              <w:right w:val="single" w:sz="8" w:color="auto"/>
            </w:tcBorders>
          </w:tcPr>
          <w:p>
            <w:pPr>
              <w:spacing w:after="0"/>
              <w:rPr>
                <w:sz w:val="18"/>
                <w:szCs w:val="18"/>
                <w:color w:val="auto"/>
              </w:rPr>
            </w:pPr>
          </w:p>
        </w:tc>
        <w:tc>
          <w:tcPr>
            <w:tcW w:w="4260" w:type="dxa"/>
            <w:vAlign w:val="bottom"/>
            <w:tcBorders>
              <w:right w:val="single" w:sz="8" w:color="auto"/>
            </w:tcBorders>
            <w:gridSpan w:val="2"/>
          </w:tcPr>
          <w:p>
            <w:pPr>
              <w:ind w:left="20"/>
              <w:spacing w:after="0" w:line="216" w:lineRule="exact"/>
              <w:rPr>
                <w:sz w:val="20"/>
                <w:szCs w:val="20"/>
                <w:color w:val="auto"/>
              </w:rPr>
            </w:pPr>
            <w:r>
              <w:rPr>
                <w:rFonts w:ascii="Arial" w:cs="Arial" w:eastAsia="Arial" w:hAnsi="Arial"/>
                <w:sz w:val="20"/>
                <w:szCs w:val="20"/>
                <w:color w:val="auto"/>
              </w:rPr>
              <w:t>Shares following the vesting of 22,274</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tcBorders>
              <w:right w:val="single" w:sz="8" w:color="auto"/>
            </w:tcBorders>
          </w:tcPr>
          <w:p>
            <w:pPr>
              <w:spacing w:after="0"/>
              <w:rPr>
                <w:sz w:val="18"/>
                <w:szCs w:val="18"/>
                <w:color w:val="auto"/>
              </w:rPr>
            </w:pPr>
          </w:p>
        </w:tc>
        <w:tc>
          <w:tcPr>
            <w:tcW w:w="4260" w:type="dxa"/>
            <w:vAlign w:val="bottom"/>
            <w:tcBorders>
              <w:right w:val="single" w:sz="8" w:color="auto"/>
            </w:tcBorders>
            <w:gridSpan w:val="2"/>
          </w:tcPr>
          <w:p>
            <w:pPr>
              <w:ind w:left="20"/>
              <w:spacing w:after="0" w:line="216" w:lineRule="exact"/>
              <w:rPr>
                <w:sz w:val="20"/>
                <w:szCs w:val="20"/>
                <w:color w:val="auto"/>
              </w:rPr>
            </w:pPr>
            <w:r>
              <w:rPr>
                <w:rFonts w:ascii="Arial" w:cs="Arial" w:eastAsia="Arial" w:hAnsi="Arial"/>
                <w:sz w:val="20"/>
                <w:szCs w:val="20"/>
                <w:color w:val="auto"/>
              </w:rPr>
              <w:t>Restricted American Depositary Share Units as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tcBorders>
              <w:right w:val="single" w:sz="8" w:color="auto"/>
            </w:tcBorders>
          </w:tcPr>
          <w:p>
            <w:pPr>
              <w:spacing w:after="0"/>
              <w:rPr>
                <w:sz w:val="18"/>
                <w:szCs w:val="18"/>
                <w:color w:val="auto"/>
              </w:rPr>
            </w:pPr>
          </w:p>
        </w:tc>
        <w:tc>
          <w:tcPr>
            <w:tcW w:w="4260" w:type="dxa"/>
            <w:vAlign w:val="bottom"/>
            <w:tcBorders>
              <w:right w:val="single" w:sz="8" w:color="auto"/>
            </w:tcBorders>
            <w:gridSpan w:val="2"/>
          </w:tcPr>
          <w:p>
            <w:pPr>
              <w:ind w:left="20"/>
              <w:spacing w:after="0" w:line="216" w:lineRule="exact"/>
              <w:rPr>
                <w:sz w:val="20"/>
                <w:szCs w:val="20"/>
                <w:color w:val="auto"/>
              </w:rPr>
            </w:pPr>
            <w:r>
              <w:rPr>
                <w:rFonts w:ascii="Arial" w:cs="Arial" w:eastAsia="Arial" w:hAnsi="Arial"/>
                <w:sz w:val="20"/>
                <w:szCs w:val="20"/>
                <w:color w:val="auto"/>
              </w:rPr>
              <w:t>payment in lieu of base salary, each</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b)</w:t>
            </w:r>
          </w:p>
        </w:tc>
        <w:tc>
          <w:tcPr>
            <w:tcW w:w="6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Nature of the transaction</w:t>
            </w: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representing 8 Ordinary Shares</w:t>
            </w:r>
          </w:p>
        </w:tc>
        <w:tc>
          <w:tcPr>
            <w:tcW w:w="0" w:type="dxa"/>
            <w:vAlign w:val="bottom"/>
          </w:tcPr>
          <w:p>
            <w:pPr>
              <w:spacing w:after="0"/>
              <w:rPr>
                <w:sz w:val="1"/>
                <w:szCs w:val="1"/>
                <w:color w:val="auto"/>
              </w:rPr>
            </w:pPr>
          </w:p>
        </w:tc>
      </w:tr>
      <w:tr>
        <w:trPr>
          <w:trHeight w:val="135"/>
        </w:trPr>
        <w:tc>
          <w:tcPr>
            <w:tcW w:w="600" w:type="dxa"/>
            <w:vAlign w:val="bottom"/>
            <w:tcBorders>
              <w:left w:val="single" w:sz="8" w:color="auto"/>
              <w:right w:val="single" w:sz="8" w:color="auto"/>
            </w:tcBorders>
            <w:vMerge w:val="continue"/>
          </w:tcPr>
          <w:p>
            <w:pPr>
              <w:spacing w:after="0"/>
              <w:rPr>
                <w:sz w:val="11"/>
                <w:szCs w:val="11"/>
                <w:color w:val="auto"/>
              </w:rPr>
            </w:pPr>
          </w:p>
        </w:tc>
        <w:tc>
          <w:tcPr>
            <w:tcW w:w="6400" w:type="dxa"/>
            <w:vAlign w:val="bottom"/>
            <w:tcBorders>
              <w:right w:val="single" w:sz="8" w:color="auto"/>
            </w:tcBorders>
            <w:gridSpan w:val="2"/>
            <w:vMerge w:val="continue"/>
          </w:tcPr>
          <w:p>
            <w:pPr>
              <w:spacing w:after="0"/>
              <w:rPr>
                <w:sz w:val="11"/>
                <w:szCs w:val="11"/>
                <w:color w:val="auto"/>
              </w:rPr>
            </w:pPr>
          </w:p>
        </w:tc>
        <w:tc>
          <w:tcPr>
            <w:tcW w:w="2120" w:type="dxa"/>
            <w:vAlign w:val="bottom"/>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8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Volume(s)</w:t>
            </w:r>
          </w:p>
        </w:tc>
        <w:tc>
          <w:tcPr>
            <w:tcW w:w="0" w:type="dxa"/>
            <w:vAlign w:val="bottom"/>
          </w:tcPr>
          <w:p>
            <w:pPr>
              <w:spacing w:after="0"/>
              <w:rPr>
                <w:sz w:val="1"/>
                <w:szCs w:val="1"/>
                <w:color w:val="auto"/>
              </w:rPr>
            </w:pPr>
          </w:p>
        </w:tc>
      </w:tr>
      <w:tr>
        <w:trPr>
          <w:trHeight w:val="590"/>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Price(s) and volume(s)</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Price(s)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22,274 RADSUs</w:t>
            </w:r>
          </w:p>
        </w:tc>
        <w:tc>
          <w:tcPr>
            <w:tcW w:w="0" w:type="dxa"/>
            <w:vAlign w:val="bottom"/>
          </w:tcPr>
          <w:p>
            <w:pPr>
              <w:spacing w:after="0"/>
              <w:rPr>
                <w:sz w:val="1"/>
                <w:szCs w:val="1"/>
                <w:color w:val="auto"/>
              </w:rPr>
            </w:pPr>
          </w:p>
        </w:tc>
      </w:tr>
      <w:tr>
        <w:trPr>
          <w:trHeight w:val="199"/>
        </w:trPr>
        <w:tc>
          <w:tcPr>
            <w:tcW w:w="60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0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20"/>
                <w:szCs w:val="20"/>
                <w:color w:val="auto"/>
              </w:rPr>
              <w:t>(representing 178,192</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w:t>
            </w: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No consideration paid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Ordinary Shares)</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vMerge w:val="continue"/>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Aggregated information</w:t>
            </w:r>
          </w:p>
        </w:tc>
        <w:tc>
          <w:tcPr>
            <w:tcW w:w="212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tcBorders>
              <w:left w:val="single" w:sz="8" w:color="auto"/>
              <w:right w:val="single" w:sz="8" w:color="auto"/>
            </w:tcBorders>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6080" w:type="dxa"/>
            <w:vAlign w:val="bottom"/>
            <w:tcBorders>
              <w:right w:val="single" w:sz="8" w:color="auto"/>
            </w:tcBorders>
          </w:tcPr>
          <w:p>
            <w:pPr>
              <w:ind w:left="260"/>
              <w:spacing w:after="0"/>
              <w:rPr>
                <w:sz w:val="20"/>
                <w:szCs w:val="20"/>
                <w:color w:val="auto"/>
              </w:rPr>
            </w:pPr>
            <w:r>
              <w:rPr>
                <w:rFonts w:ascii="Arial" w:cs="Arial" w:eastAsia="Arial" w:hAnsi="Arial"/>
                <w:sz w:val="20"/>
                <w:szCs w:val="20"/>
                <w:color w:val="auto"/>
              </w:rPr>
              <w:t>Aggregated volume</w:t>
            </w:r>
          </w:p>
        </w:tc>
        <w:tc>
          <w:tcPr>
            <w:tcW w:w="212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d)</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6080" w:type="dxa"/>
            <w:vAlign w:val="bottom"/>
            <w:tcBorders>
              <w:right w:val="single" w:sz="8" w:color="auto"/>
            </w:tcBorders>
          </w:tcPr>
          <w:p>
            <w:pPr>
              <w:ind w:left="260"/>
              <w:spacing w:after="0"/>
              <w:rPr>
                <w:sz w:val="20"/>
                <w:szCs w:val="20"/>
                <w:color w:val="auto"/>
              </w:rPr>
            </w:pPr>
            <w:r>
              <w:rPr>
                <w:rFonts w:ascii="Arial" w:cs="Arial" w:eastAsia="Arial" w:hAnsi="Arial"/>
                <w:sz w:val="20"/>
                <w:szCs w:val="20"/>
                <w:color w:val="auto"/>
              </w:rPr>
              <w:t>Price</w:t>
            </w:r>
          </w:p>
        </w:tc>
        <w:tc>
          <w:tcPr>
            <w:tcW w:w="2120" w:type="dxa"/>
            <w:vAlign w:val="bottom"/>
            <w:vMerge w:val="restart"/>
          </w:tcPr>
          <w:p>
            <w:pPr>
              <w:ind w:left="20"/>
              <w:spacing w:after="0"/>
              <w:rPr>
                <w:sz w:val="20"/>
                <w:szCs w:val="20"/>
                <w:color w:val="auto"/>
              </w:rPr>
            </w:pPr>
            <w:r>
              <w:rPr>
                <w:rFonts w:ascii="Arial" w:cs="Arial" w:eastAsia="Arial" w:hAnsi="Arial"/>
                <w:sz w:val="20"/>
                <w:szCs w:val="20"/>
                <w:color w:val="auto"/>
                <w:w w:val="99"/>
              </w:rPr>
              <w:t>N/A (single transaction)</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vMerge w:val="continue"/>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w:t>
            </w:r>
          </w:p>
        </w:tc>
        <w:tc>
          <w:tcPr>
            <w:tcW w:w="64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Date of the transaction</w:t>
            </w:r>
          </w:p>
        </w:tc>
        <w:tc>
          <w:tcPr>
            <w:tcW w:w="2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May 12, 2020</w:t>
            </w: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w:t>
            </w:r>
          </w:p>
        </w:tc>
        <w:tc>
          <w:tcPr>
            <w:tcW w:w="64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Place of the transaction</w:t>
            </w:r>
          </w:p>
        </w:tc>
        <w:tc>
          <w:tcPr>
            <w:tcW w:w="4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London Stock Exchange, AIM</w:t>
            </w:r>
          </w:p>
        </w:tc>
        <w:tc>
          <w:tcPr>
            <w:tcW w:w="0" w:type="dxa"/>
            <w:vAlign w:val="bottom"/>
          </w:tcPr>
          <w:p>
            <w:pPr>
              <w:spacing w:after="0"/>
              <w:rPr>
                <w:sz w:val="1"/>
                <w:szCs w:val="1"/>
                <w:color w:val="auto"/>
              </w:rPr>
            </w:pPr>
          </w:p>
        </w:tc>
      </w:tr>
    </w:tbl>
    <w:p>
      <w:pPr>
        <w:sectPr>
          <w:pgSz w:w="11900" w:h="16838" w:orient="portrait"/>
          <w:cols w:equalWidth="0" w:num="1">
            <w:col w:w="11260"/>
          </w:cols>
          <w:pgMar w:left="320" w:top="471"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1</w:t>
            </w:r>
          </w:p>
        </w:tc>
        <w:tc>
          <w:tcPr>
            <w:tcW w:w="107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t>
            </w:r>
          </w:p>
        </w:tc>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Mark Hahn</w:t>
            </w: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2</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Reason for the notification</w:t>
            </w:r>
          </w:p>
        </w:tc>
        <w:tc>
          <w:tcPr>
            <w:tcW w:w="4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t>
            </w:r>
          </w:p>
        </w:tc>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Position/status</w:t>
            </w: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w:t>
            </w:r>
          </w:p>
        </w:tc>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Initial notification/Amendment</w:t>
            </w: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Initial notification</w:t>
            </w: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3</w:t>
            </w:r>
          </w:p>
        </w:tc>
        <w:tc>
          <w:tcPr>
            <w:tcW w:w="107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t>
            </w:r>
          </w:p>
        </w:tc>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Verona Pharma plc</w:t>
            </w:r>
          </w:p>
        </w:tc>
        <w:tc>
          <w:tcPr>
            <w:tcW w:w="0" w:type="dxa"/>
            <w:vAlign w:val="bottom"/>
          </w:tcPr>
          <w:p>
            <w:pPr>
              <w:spacing w:after="0"/>
              <w:rPr>
                <w:sz w:val="1"/>
                <w:szCs w:val="1"/>
                <w:color w:val="auto"/>
              </w:rPr>
            </w:pPr>
          </w:p>
        </w:tc>
      </w:tr>
      <w:tr>
        <w:trPr>
          <w:trHeight w:val="299"/>
        </w:trPr>
        <w:tc>
          <w:tcPr>
            <w:tcW w:w="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b)</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LEI</w:t>
            </w:r>
          </w:p>
        </w:tc>
        <w:tc>
          <w:tcPr>
            <w:tcW w:w="48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213800EVI6O6J3TIAL06</w:t>
            </w:r>
          </w:p>
        </w:tc>
        <w:tc>
          <w:tcPr>
            <w:tcW w:w="0" w:type="dxa"/>
            <w:vAlign w:val="bottom"/>
          </w:tcPr>
          <w:p>
            <w:pPr>
              <w:spacing w:after="0"/>
              <w:rPr>
                <w:sz w:val="1"/>
                <w:szCs w:val="1"/>
                <w:color w:val="auto"/>
              </w:rPr>
            </w:pPr>
          </w:p>
        </w:tc>
      </w:tr>
      <w:tr>
        <w:trPr>
          <w:trHeight w:val="86"/>
        </w:trPr>
        <w:tc>
          <w:tcPr>
            <w:tcW w:w="4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960" w:type="dxa"/>
            <w:vAlign w:val="bottom"/>
            <w:tcBorders>
              <w:bottom w:val="single" w:sz="8" w:color="auto"/>
              <w:right w:val="single" w:sz="8" w:color="auto"/>
            </w:tcBorders>
          </w:tcPr>
          <w:p>
            <w:pPr>
              <w:spacing w:after="0"/>
              <w:rPr>
                <w:sz w:val="7"/>
                <w:szCs w:val="7"/>
                <w:color w:val="auto"/>
              </w:rPr>
            </w:pPr>
          </w:p>
        </w:tc>
        <w:tc>
          <w:tcPr>
            <w:tcW w:w="48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71"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00" w:type="dxa"/>
            <w:vAlign w:val="bottom"/>
            <w:tcBorders>
              <w:top w:val="single" w:sz="8" w:color="auto"/>
              <w:left w:val="single" w:sz="8" w:color="auto"/>
              <w:right w:val="single" w:sz="8" w:color="auto"/>
            </w:tcBorders>
          </w:tcPr>
          <w:p>
            <w:pPr>
              <w:spacing w:after="0"/>
              <w:rPr>
                <w:sz w:val="19"/>
                <w:szCs w:val="19"/>
                <w:color w:val="auto"/>
              </w:rPr>
            </w:pPr>
          </w:p>
        </w:tc>
        <w:tc>
          <w:tcPr>
            <w:tcW w:w="10660" w:type="dxa"/>
            <w:vAlign w:val="bottom"/>
            <w:tcBorders>
              <w:top w:val="single" w:sz="8" w:color="auto"/>
              <w:right w:val="single" w:sz="8" w:color="auto"/>
            </w:tcBorders>
            <w:gridSpan w:val="4"/>
          </w:tcPr>
          <w:p>
            <w:pPr>
              <w:ind w:left="20"/>
              <w:spacing w:after="0" w:line="229" w:lineRule="exact"/>
              <w:rPr>
                <w:sz w:val="20"/>
                <w:szCs w:val="20"/>
                <w:color w:val="auto"/>
              </w:rPr>
            </w:pPr>
            <w:r>
              <w:rPr>
                <w:rFonts w:ascii="Arial" w:cs="Arial" w:eastAsia="Arial" w:hAnsi="Arial"/>
                <w:sz w:val="20"/>
                <w:szCs w:val="20"/>
                <w:b w:val="1"/>
                <w:bCs w:val="1"/>
                <w:color w:val="auto"/>
              </w:rPr>
              <w:t>Details of the transaction(s): section to be repeated for (i) each type of instrument; (ii) each type of transaction;</w:t>
            </w:r>
          </w:p>
        </w:tc>
        <w:tc>
          <w:tcPr>
            <w:tcW w:w="0" w:type="dxa"/>
            <w:vAlign w:val="bottom"/>
          </w:tcPr>
          <w:p>
            <w:pPr>
              <w:spacing w:after="0"/>
              <w:rPr>
                <w:sz w:val="1"/>
                <w:szCs w:val="1"/>
                <w:color w:val="auto"/>
              </w:rPr>
            </w:pPr>
          </w:p>
        </w:tc>
      </w:tr>
      <w:tr>
        <w:trPr>
          <w:trHeight w:val="26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4</w:t>
            </w:r>
          </w:p>
        </w:tc>
        <w:tc>
          <w:tcPr>
            <w:tcW w:w="852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(iii) each date; and (iv) each place where transactions have been conducted</w:t>
            </w:r>
          </w:p>
        </w:tc>
        <w:tc>
          <w:tcPr>
            <w:tcW w:w="2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Description of the financial instrument, type of instrument</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American Depositary Shares (“ADSs”), each</w:t>
            </w:r>
          </w:p>
        </w:tc>
        <w:tc>
          <w:tcPr>
            <w:tcW w:w="0" w:type="dxa"/>
            <w:vAlign w:val="bottom"/>
          </w:tcPr>
          <w:p>
            <w:pPr>
              <w:spacing w:after="0"/>
              <w:rPr>
                <w:sz w:val="1"/>
                <w:szCs w:val="1"/>
                <w:color w:val="auto"/>
              </w:rPr>
            </w:pPr>
          </w:p>
        </w:tc>
      </w:tr>
      <w:tr>
        <w:trPr>
          <w:trHeight w:val="181"/>
        </w:trPr>
        <w:tc>
          <w:tcPr>
            <w:tcW w:w="600" w:type="dxa"/>
            <w:vAlign w:val="bottom"/>
            <w:tcBorders>
              <w:left w:val="single" w:sz="8" w:color="auto"/>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representing 8 Ordinary Shares</w:t>
            </w: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w:t>
            </w: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Identification code</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ISIN Code: US9250501064</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426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Nature of the transaction</w:t>
            </w:r>
          </w:p>
        </w:tc>
        <w:tc>
          <w:tcPr>
            <w:tcW w:w="2120" w:type="dxa"/>
            <w:vAlign w:val="bottom"/>
          </w:tcPr>
          <w:p>
            <w:pPr>
              <w:ind w:left="20"/>
              <w:spacing w:after="0"/>
              <w:rPr>
                <w:sz w:val="20"/>
                <w:szCs w:val="20"/>
                <w:color w:val="auto"/>
              </w:rPr>
            </w:pPr>
            <w:r>
              <w:rPr>
                <w:rFonts w:ascii="Arial" w:cs="Arial" w:eastAsia="Arial" w:hAnsi="Arial"/>
                <w:sz w:val="20"/>
                <w:szCs w:val="20"/>
                <w:color w:val="auto"/>
              </w:rPr>
              <w:t>Grant of RADSUs</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w:t>
            </w:r>
          </w:p>
        </w:tc>
        <w:tc>
          <w:tcPr>
            <w:tcW w:w="320" w:type="dxa"/>
            <w:vAlign w:val="bottom"/>
            <w:tcBorders>
              <w:bottom w:val="single" w:sz="8" w:color="auto"/>
            </w:tcBorders>
          </w:tcPr>
          <w:p>
            <w:pPr>
              <w:spacing w:after="0"/>
              <w:rPr>
                <w:sz w:val="24"/>
                <w:szCs w:val="24"/>
                <w:color w:val="auto"/>
              </w:rPr>
            </w:pPr>
          </w:p>
        </w:tc>
        <w:tc>
          <w:tcPr>
            <w:tcW w:w="608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8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Volume(s)</w:t>
            </w:r>
          </w:p>
        </w:tc>
        <w:tc>
          <w:tcPr>
            <w:tcW w:w="0" w:type="dxa"/>
            <w:vAlign w:val="bottom"/>
          </w:tcPr>
          <w:p>
            <w:pPr>
              <w:spacing w:after="0"/>
              <w:rPr>
                <w:sz w:val="1"/>
                <w:szCs w:val="1"/>
                <w:color w:val="auto"/>
              </w:rPr>
            </w:pPr>
          </w:p>
        </w:tc>
      </w:tr>
      <w:tr>
        <w:trPr>
          <w:trHeight w:val="513"/>
        </w:trPr>
        <w:tc>
          <w:tcPr>
            <w:tcW w:w="600" w:type="dxa"/>
            <w:vAlign w:val="bottom"/>
            <w:tcBorders>
              <w:left w:val="single" w:sz="8" w:color="auto"/>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8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Price(s)</w:t>
            </w: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394,975 RADSUs</w:t>
            </w:r>
          </w:p>
        </w:tc>
        <w:tc>
          <w:tcPr>
            <w:tcW w:w="0" w:type="dxa"/>
            <w:vAlign w:val="bottom"/>
          </w:tcPr>
          <w:p>
            <w:pPr>
              <w:spacing w:after="0"/>
              <w:rPr>
                <w:sz w:val="1"/>
                <w:szCs w:val="1"/>
                <w:color w:val="auto"/>
              </w:rPr>
            </w:pPr>
          </w:p>
        </w:tc>
      </w:tr>
      <w:tr>
        <w:trPr>
          <w:trHeight w:val="60"/>
        </w:trPr>
        <w:tc>
          <w:tcPr>
            <w:tcW w:w="600" w:type="dxa"/>
            <w:vAlign w:val="bottom"/>
            <w:tcBorders>
              <w:left w:val="single" w:sz="8" w:color="auto"/>
              <w:right w:val="single" w:sz="8" w:color="auto"/>
            </w:tcBorders>
          </w:tcPr>
          <w:p>
            <w:pPr>
              <w:spacing w:after="0"/>
              <w:rPr>
                <w:sz w:val="5"/>
                <w:szCs w:val="5"/>
                <w:color w:val="auto"/>
              </w:rPr>
            </w:pPr>
          </w:p>
        </w:tc>
        <w:tc>
          <w:tcPr>
            <w:tcW w:w="6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Price(s) and volume(s)</w:t>
            </w:r>
          </w:p>
        </w:tc>
        <w:tc>
          <w:tcPr>
            <w:tcW w:w="2120" w:type="dxa"/>
            <w:vAlign w:val="bottom"/>
            <w:tcBorders>
              <w:right w:val="single" w:sz="8" w:color="auto"/>
            </w:tcBorders>
          </w:tcPr>
          <w:p>
            <w:pPr>
              <w:spacing w:after="0"/>
              <w:rPr>
                <w:sz w:val="5"/>
                <w:szCs w:val="5"/>
                <w:color w:val="auto"/>
              </w:rPr>
            </w:pPr>
          </w:p>
        </w:tc>
        <w:tc>
          <w:tcPr>
            <w:tcW w:w="2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6400" w:type="dxa"/>
            <w:vAlign w:val="bottom"/>
            <w:tcBorders>
              <w:right w:val="single" w:sz="8" w:color="auto"/>
            </w:tcBorders>
            <w:gridSpan w:val="2"/>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(representing</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3,159,800 Ordinary</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w:t>
            </w: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 consideration paid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Shares)</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Aggregated information</w:t>
            </w:r>
          </w:p>
        </w:tc>
        <w:tc>
          <w:tcPr>
            <w:tcW w:w="212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tcBorders>
              <w:left w:val="single" w:sz="8" w:color="auto"/>
              <w:right w:val="single" w:sz="8" w:color="auto"/>
            </w:tcBorders>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6080" w:type="dxa"/>
            <w:vAlign w:val="bottom"/>
            <w:tcBorders>
              <w:right w:val="single" w:sz="8" w:color="auto"/>
            </w:tcBorders>
          </w:tcPr>
          <w:p>
            <w:pPr>
              <w:ind w:left="260"/>
              <w:spacing w:after="0"/>
              <w:rPr>
                <w:sz w:val="20"/>
                <w:szCs w:val="20"/>
                <w:color w:val="auto"/>
              </w:rPr>
            </w:pPr>
            <w:r>
              <w:rPr>
                <w:rFonts w:ascii="Arial" w:cs="Arial" w:eastAsia="Arial" w:hAnsi="Arial"/>
                <w:sz w:val="20"/>
                <w:szCs w:val="20"/>
                <w:color w:val="auto"/>
              </w:rPr>
              <w:t>Aggregated volume</w:t>
            </w:r>
          </w:p>
        </w:tc>
        <w:tc>
          <w:tcPr>
            <w:tcW w:w="2120" w:type="dxa"/>
            <w:vAlign w:val="bottom"/>
            <w:vMerge w:val="restart"/>
          </w:tcPr>
          <w:p>
            <w:pPr>
              <w:ind w:left="20"/>
              <w:spacing w:after="0"/>
              <w:rPr>
                <w:sz w:val="20"/>
                <w:szCs w:val="20"/>
                <w:color w:val="auto"/>
              </w:rPr>
            </w:pPr>
            <w:r>
              <w:rPr>
                <w:rFonts w:ascii="Arial" w:cs="Arial" w:eastAsia="Arial" w:hAnsi="Arial"/>
                <w:sz w:val="20"/>
                <w:szCs w:val="20"/>
                <w:color w:val="auto"/>
                <w:w w:val="99"/>
              </w:rPr>
              <w:t>N/A (single transaction)</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d)</w:t>
            </w:r>
          </w:p>
        </w:tc>
        <w:tc>
          <w:tcPr>
            <w:tcW w:w="32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6080" w:type="dxa"/>
            <w:vAlign w:val="bottom"/>
            <w:tcBorders>
              <w:right w:val="single" w:sz="8" w:color="auto"/>
            </w:tcBorders>
            <w:vMerge w:val="restart"/>
          </w:tcPr>
          <w:p>
            <w:pPr>
              <w:ind w:left="260"/>
              <w:spacing w:after="0"/>
              <w:rPr>
                <w:sz w:val="20"/>
                <w:szCs w:val="20"/>
                <w:color w:val="auto"/>
              </w:rPr>
            </w:pPr>
            <w:r>
              <w:rPr>
                <w:rFonts w:ascii="Arial" w:cs="Arial" w:eastAsia="Arial" w:hAnsi="Arial"/>
                <w:sz w:val="20"/>
                <w:szCs w:val="20"/>
                <w:color w:val="auto"/>
              </w:rPr>
              <w:t>Price</w:t>
            </w:r>
          </w:p>
        </w:tc>
        <w:tc>
          <w:tcPr>
            <w:tcW w:w="2120" w:type="dxa"/>
            <w:vAlign w:val="bottom"/>
            <w:vMerge w:val="continue"/>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right w:val="single" w:sz="8" w:color="auto"/>
            </w:tcBorders>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80" w:type="dxa"/>
            <w:vAlign w:val="bottom"/>
            <w:tcBorders>
              <w:right w:val="single" w:sz="8" w:color="auto"/>
            </w:tcBorders>
            <w:vMerge w:val="continue"/>
          </w:tcPr>
          <w:p>
            <w:pPr>
              <w:spacing w:after="0"/>
              <w:rPr>
                <w:sz w:val="11"/>
                <w:szCs w:val="11"/>
                <w:color w:val="auto"/>
              </w:rPr>
            </w:pPr>
          </w:p>
        </w:tc>
        <w:tc>
          <w:tcPr>
            <w:tcW w:w="2120" w:type="dxa"/>
            <w:vAlign w:val="bottom"/>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w:t>
            </w:r>
          </w:p>
        </w:tc>
        <w:tc>
          <w:tcPr>
            <w:tcW w:w="64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Date of the transaction</w:t>
            </w:r>
          </w:p>
        </w:tc>
        <w:tc>
          <w:tcPr>
            <w:tcW w:w="2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May 7, 2020</w:t>
            </w: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w:t>
            </w:r>
          </w:p>
        </w:tc>
        <w:tc>
          <w:tcPr>
            <w:tcW w:w="64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Place of the transaction</w:t>
            </w:r>
          </w:p>
        </w:tc>
        <w:tc>
          <w:tcPr>
            <w:tcW w:w="2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6"/>
              </w:rPr>
              <w:t>Outside a trading venue</w:t>
            </w: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71"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00" w:type="dxa"/>
            <w:vAlign w:val="bottom"/>
            <w:tcBorders>
              <w:top w:val="single" w:sz="8" w:color="auto"/>
              <w:left w:val="single" w:sz="8" w:color="auto"/>
              <w:right w:val="single" w:sz="8" w:color="auto"/>
            </w:tcBorders>
          </w:tcPr>
          <w:p>
            <w:pPr>
              <w:spacing w:after="0"/>
              <w:rPr>
                <w:sz w:val="19"/>
                <w:szCs w:val="19"/>
                <w:color w:val="auto"/>
              </w:rPr>
            </w:pPr>
          </w:p>
        </w:tc>
        <w:tc>
          <w:tcPr>
            <w:tcW w:w="10660" w:type="dxa"/>
            <w:vAlign w:val="bottom"/>
            <w:tcBorders>
              <w:top w:val="single" w:sz="8" w:color="auto"/>
              <w:right w:val="single" w:sz="8" w:color="auto"/>
            </w:tcBorders>
            <w:gridSpan w:val="4"/>
          </w:tcPr>
          <w:p>
            <w:pPr>
              <w:ind w:left="20"/>
              <w:spacing w:after="0" w:line="229" w:lineRule="exact"/>
              <w:rPr>
                <w:sz w:val="20"/>
                <w:szCs w:val="20"/>
                <w:color w:val="auto"/>
              </w:rPr>
            </w:pPr>
            <w:r>
              <w:rPr>
                <w:rFonts w:ascii="Arial" w:cs="Arial" w:eastAsia="Arial" w:hAnsi="Arial"/>
                <w:sz w:val="20"/>
                <w:szCs w:val="20"/>
                <w:b w:val="1"/>
                <w:bCs w:val="1"/>
                <w:color w:val="auto"/>
              </w:rPr>
              <w:t>Details of the transaction(s): section to be repeated for (i) each type of instrument; (ii) each type of transaction;</w:t>
            </w:r>
          </w:p>
        </w:tc>
        <w:tc>
          <w:tcPr>
            <w:tcW w:w="0" w:type="dxa"/>
            <w:vAlign w:val="bottom"/>
          </w:tcPr>
          <w:p>
            <w:pPr>
              <w:spacing w:after="0"/>
              <w:rPr>
                <w:sz w:val="1"/>
                <w:szCs w:val="1"/>
                <w:color w:val="auto"/>
              </w:rPr>
            </w:pPr>
          </w:p>
        </w:tc>
      </w:tr>
      <w:tr>
        <w:trPr>
          <w:trHeight w:val="26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4</w:t>
            </w:r>
          </w:p>
        </w:tc>
        <w:tc>
          <w:tcPr>
            <w:tcW w:w="1066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20"/>
                <w:szCs w:val="20"/>
                <w:b w:val="1"/>
                <w:bCs w:val="1"/>
                <w:color w:val="auto"/>
              </w:rPr>
              <w:t>(iii) each date; and (iv) each place where transactions have been conducted</w:t>
            </w: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Description of the financial instrument, type of instrument</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American Depositary Shares (“ADSs”), each</w:t>
            </w:r>
          </w:p>
        </w:tc>
        <w:tc>
          <w:tcPr>
            <w:tcW w:w="0" w:type="dxa"/>
            <w:vAlign w:val="bottom"/>
          </w:tcPr>
          <w:p>
            <w:pPr>
              <w:spacing w:after="0"/>
              <w:rPr>
                <w:sz w:val="1"/>
                <w:szCs w:val="1"/>
                <w:color w:val="auto"/>
              </w:rPr>
            </w:pPr>
          </w:p>
        </w:tc>
      </w:tr>
      <w:tr>
        <w:trPr>
          <w:trHeight w:val="181"/>
        </w:trPr>
        <w:tc>
          <w:tcPr>
            <w:tcW w:w="600" w:type="dxa"/>
            <w:vAlign w:val="bottom"/>
            <w:tcBorders>
              <w:left w:val="single" w:sz="8" w:color="auto"/>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representing 8 Ordinary Shares</w:t>
            </w: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w:t>
            </w: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Identification code</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ISIN Code: US9250501064</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426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9"/>
              </w:rPr>
              <w:t>Mark Hahn was issued 89,096 Ordinary Shares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tcBorders>
              <w:right w:val="single" w:sz="8" w:color="auto"/>
            </w:tcBorders>
          </w:tcPr>
          <w:p>
            <w:pPr>
              <w:spacing w:after="0"/>
              <w:rPr>
                <w:sz w:val="18"/>
                <w:szCs w:val="18"/>
                <w:color w:val="auto"/>
              </w:rPr>
            </w:pPr>
          </w:p>
        </w:tc>
        <w:tc>
          <w:tcPr>
            <w:tcW w:w="4260" w:type="dxa"/>
            <w:vAlign w:val="bottom"/>
            <w:tcBorders>
              <w:right w:val="single" w:sz="8" w:color="auto"/>
            </w:tcBorders>
            <w:gridSpan w:val="2"/>
          </w:tcPr>
          <w:p>
            <w:pPr>
              <w:ind w:left="20"/>
              <w:spacing w:after="0" w:line="216" w:lineRule="exact"/>
              <w:rPr>
                <w:sz w:val="20"/>
                <w:szCs w:val="20"/>
                <w:color w:val="auto"/>
              </w:rPr>
            </w:pPr>
            <w:r>
              <w:rPr>
                <w:rFonts w:ascii="Arial" w:cs="Arial" w:eastAsia="Arial" w:hAnsi="Arial"/>
                <w:sz w:val="20"/>
                <w:szCs w:val="20"/>
                <w:color w:val="auto"/>
              </w:rPr>
              <w:t>following the vesting of 11,137 Restricted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80" w:type="dxa"/>
            <w:vAlign w:val="bottom"/>
            <w:tcBorders>
              <w:right w:val="single" w:sz="8" w:color="auto"/>
            </w:tcBorders>
          </w:tcPr>
          <w:p>
            <w:pPr>
              <w:spacing w:after="0"/>
              <w:rPr>
                <w:sz w:val="18"/>
                <w:szCs w:val="18"/>
                <w:color w:val="auto"/>
              </w:rPr>
            </w:pPr>
          </w:p>
        </w:tc>
        <w:tc>
          <w:tcPr>
            <w:tcW w:w="4260" w:type="dxa"/>
            <w:vAlign w:val="bottom"/>
            <w:tcBorders>
              <w:right w:val="single" w:sz="8" w:color="auto"/>
            </w:tcBorders>
            <w:gridSpan w:val="2"/>
          </w:tcPr>
          <w:p>
            <w:pPr>
              <w:ind w:left="20"/>
              <w:spacing w:after="0" w:line="216" w:lineRule="exact"/>
              <w:rPr>
                <w:sz w:val="20"/>
                <w:szCs w:val="20"/>
                <w:color w:val="auto"/>
              </w:rPr>
            </w:pPr>
            <w:r>
              <w:rPr>
                <w:rFonts w:ascii="Arial" w:cs="Arial" w:eastAsia="Arial" w:hAnsi="Arial"/>
                <w:sz w:val="20"/>
                <w:szCs w:val="20"/>
                <w:color w:val="auto"/>
              </w:rPr>
              <w:t>American Depositary Share Units as payment</w:t>
            </w:r>
          </w:p>
        </w:tc>
        <w:tc>
          <w:tcPr>
            <w:tcW w:w="0" w:type="dxa"/>
            <w:vAlign w:val="bottom"/>
          </w:tcPr>
          <w:p>
            <w:pPr>
              <w:spacing w:after="0"/>
              <w:rPr>
                <w:sz w:val="1"/>
                <w:szCs w:val="1"/>
                <w:color w:val="auto"/>
              </w:rPr>
            </w:pPr>
          </w:p>
        </w:tc>
      </w:tr>
      <w:tr>
        <w:trPr>
          <w:trHeight w:val="233"/>
        </w:trPr>
        <w:tc>
          <w:tcPr>
            <w:tcW w:w="600" w:type="dxa"/>
            <w:vAlign w:val="bottom"/>
            <w:tcBorders>
              <w:left w:val="single" w:sz="8" w:color="auto"/>
              <w:right w:val="single" w:sz="8" w:color="auto"/>
            </w:tcBorders>
          </w:tcPr>
          <w:p>
            <w:pPr>
              <w:spacing w:after="0"/>
              <w:rPr>
                <w:sz w:val="20"/>
                <w:szCs w:val="20"/>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Nature of the transaction</w:t>
            </w: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in lieu of base salary, each representing 8</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b)</w:t>
            </w: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Ordinary Shares.</w:t>
            </w:r>
          </w:p>
        </w:tc>
        <w:tc>
          <w:tcPr>
            <w:tcW w:w="0" w:type="dxa"/>
            <w:vAlign w:val="bottom"/>
          </w:tcPr>
          <w:p>
            <w:pPr>
              <w:spacing w:after="0"/>
              <w:rPr>
                <w:sz w:val="1"/>
                <w:szCs w:val="1"/>
                <w:color w:val="auto"/>
              </w:rPr>
            </w:pPr>
          </w:p>
        </w:tc>
      </w:tr>
      <w:tr>
        <w:trPr>
          <w:trHeight w:val="204"/>
        </w:trPr>
        <w:tc>
          <w:tcPr>
            <w:tcW w:w="6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8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8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Volume(s)</w:t>
            </w: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8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Price(s)</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right w:val="single" w:sz="8" w:color="auto"/>
            </w:tcBorders>
          </w:tcPr>
          <w:p>
            <w:pPr>
              <w:spacing w:after="0"/>
              <w:rPr>
                <w:sz w:val="23"/>
                <w:szCs w:val="23"/>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Price(s) and volume(s)</w:t>
            </w:r>
          </w:p>
        </w:tc>
        <w:tc>
          <w:tcPr>
            <w:tcW w:w="212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89,096 Ordinary</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No consideration paid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Shares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w:t>
            </w:r>
          </w:p>
        </w:tc>
        <w:tc>
          <w:tcPr>
            <w:tcW w:w="320" w:type="dxa"/>
            <w:vAlign w:val="bottom"/>
          </w:tcPr>
          <w:p>
            <w:pPr>
              <w:spacing w:after="0"/>
              <w:rPr>
                <w:sz w:val="18"/>
                <w:szCs w:val="18"/>
                <w:color w:val="auto"/>
              </w:rPr>
            </w:pPr>
          </w:p>
        </w:tc>
        <w:tc>
          <w:tcPr>
            <w:tcW w:w="60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vMerge w:val="continue"/>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0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Aggregated information</w:t>
            </w:r>
          </w:p>
        </w:tc>
        <w:tc>
          <w:tcPr>
            <w:tcW w:w="212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tcBorders>
              <w:left w:val="single" w:sz="8" w:color="auto"/>
              <w:right w:val="single" w:sz="8" w:color="auto"/>
            </w:tcBorders>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6080" w:type="dxa"/>
            <w:vAlign w:val="bottom"/>
            <w:tcBorders>
              <w:right w:val="single" w:sz="8" w:color="auto"/>
            </w:tcBorders>
          </w:tcPr>
          <w:p>
            <w:pPr>
              <w:ind w:left="260"/>
              <w:spacing w:after="0"/>
              <w:rPr>
                <w:sz w:val="20"/>
                <w:szCs w:val="20"/>
                <w:color w:val="auto"/>
              </w:rPr>
            </w:pPr>
            <w:r>
              <w:rPr>
                <w:rFonts w:ascii="Arial" w:cs="Arial" w:eastAsia="Arial" w:hAnsi="Arial"/>
                <w:sz w:val="20"/>
                <w:szCs w:val="20"/>
                <w:color w:val="auto"/>
              </w:rPr>
              <w:t>Aggregated volume</w:t>
            </w:r>
          </w:p>
        </w:tc>
        <w:tc>
          <w:tcPr>
            <w:tcW w:w="4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N/A (single transaction)</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d)</w:t>
            </w:r>
          </w:p>
        </w:tc>
        <w:tc>
          <w:tcPr>
            <w:tcW w:w="32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6080" w:type="dxa"/>
            <w:vAlign w:val="bottom"/>
            <w:tcBorders>
              <w:right w:val="single" w:sz="8" w:color="auto"/>
            </w:tcBorders>
            <w:vMerge w:val="restart"/>
          </w:tcPr>
          <w:p>
            <w:pPr>
              <w:ind w:left="260"/>
              <w:spacing w:after="0"/>
              <w:rPr>
                <w:sz w:val="20"/>
                <w:szCs w:val="20"/>
                <w:color w:val="auto"/>
              </w:rPr>
            </w:pPr>
            <w:r>
              <w:rPr>
                <w:rFonts w:ascii="Arial" w:cs="Arial" w:eastAsia="Arial" w:hAnsi="Arial"/>
                <w:sz w:val="20"/>
                <w:szCs w:val="20"/>
                <w:color w:val="auto"/>
              </w:rPr>
              <w:t>Price</w:t>
            </w:r>
          </w:p>
        </w:tc>
        <w:tc>
          <w:tcPr>
            <w:tcW w:w="426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right w:val="single" w:sz="8" w:color="auto"/>
            </w:tcBorders>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80" w:type="dxa"/>
            <w:vAlign w:val="bottom"/>
            <w:tcBorders>
              <w:right w:val="single" w:sz="8" w:color="auto"/>
            </w:tcBorders>
            <w:vMerge w:val="continue"/>
          </w:tcPr>
          <w:p>
            <w:pPr>
              <w:spacing w:after="0"/>
              <w:rPr>
                <w:sz w:val="11"/>
                <w:szCs w:val="11"/>
                <w:color w:val="auto"/>
              </w:rPr>
            </w:pPr>
          </w:p>
        </w:tc>
        <w:tc>
          <w:tcPr>
            <w:tcW w:w="2120" w:type="dxa"/>
            <w:vAlign w:val="bottom"/>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e)</w:t>
            </w:r>
          </w:p>
        </w:tc>
        <w:tc>
          <w:tcPr>
            <w:tcW w:w="6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Date of the transaction</w:t>
            </w: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12 May 2020</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400" w:type="dxa"/>
            <w:vAlign w:val="bottom"/>
            <w:tcBorders>
              <w:bottom w:val="single" w:sz="8" w:color="auto"/>
              <w:right w:val="single" w:sz="8" w:color="auto"/>
            </w:tcBorders>
            <w:gridSpan w:val="2"/>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f)</w:t>
            </w:r>
          </w:p>
        </w:tc>
        <w:tc>
          <w:tcPr>
            <w:tcW w:w="6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Place of the transaction</w:t>
            </w: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London Stock Exchange, AIM</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400" w:type="dxa"/>
            <w:vAlign w:val="bottom"/>
            <w:tcBorders>
              <w:bottom w:val="single" w:sz="8" w:color="auto"/>
              <w:right w:val="single" w:sz="8" w:color="auto"/>
            </w:tcBorders>
            <w:gridSpan w:val="2"/>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71"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For further information, please contact:</w:t>
      </w:r>
    </w:p>
    <w:p>
      <w:pPr>
        <w:sectPr>
          <w:pgSz w:w="11900" w:h="16838" w:orient="portrait"/>
          <w:cols w:equalWidth="0" w:num="1">
            <w:col w:w="10139"/>
          </w:cols>
          <w:pgMar w:left="320" w:top="355" w:right="1440" w:bottom="1440" w:gutter="0" w:footer="0" w:header="0"/>
        </w:sectPr>
      </w:pPr>
    </w:p>
    <w:p>
      <w:pPr>
        <w:spacing w:after="0" w:line="36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Verona Pharma plc</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Tel: +44 (0)20 3283 4200</w:t>
      </w:r>
    </w:p>
    <w:p>
      <w:pPr>
        <w:spacing w:after="0" w:line="61" w:lineRule="exact"/>
        <w:rPr>
          <w:sz w:val="20"/>
          <w:szCs w:val="20"/>
          <w:color w:val="auto"/>
        </w:rPr>
      </w:pPr>
    </w:p>
    <w:p>
      <w:pPr>
        <w:sectPr>
          <w:pgSz w:w="11900" w:h="16838" w:orient="portrait"/>
          <w:cols w:equalWidth="0" w:num="2">
            <w:col w:w="6440" w:space="720"/>
            <w:col w:w="2979"/>
          </w:cols>
          <w:pgMar w:left="320" w:top="355" w:right="1440"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Victoria Stewart, Director of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info@veronapharma.com</w:t>
      </w:r>
    </w:p>
    <w:p>
      <w:pPr>
        <w:spacing w:after="0" w:line="200" w:lineRule="exact"/>
        <w:rPr>
          <w:sz w:val="20"/>
          <w:szCs w:val="20"/>
          <w:color w:val="auto"/>
        </w:rPr>
      </w:pPr>
    </w:p>
    <w:p>
      <w:pPr>
        <w:sectPr>
          <w:pgSz w:w="11900" w:h="16838" w:orient="portrait"/>
          <w:cols w:equalWidth="0" w:num="2">
            <w:col w:w="6440" w:space="720"/>
            <w:col w:w="2979"/>
          </w:cols>
          <w:pgMar w:left="320" w:top="355" w:right="1440" w:bottom="1440" w:gutter="0" w:footer="0" w:header="0"/>
          <w:type w:val="continuous"/>
        </w:sectPr>
      </w:pPr>
    </w:p>
    <w:p>
      <w:pPr>
        <w:spacing w:after="0" w:line="5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N+1 Singer</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(Nominated Adviser and UK Broker)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Tel: +44 (0)20 3283 4200</w:t>
      </w:r>
    </w:p>
    <w:p>
      <w:pPr>
        <w:spacing w:after="0" w:line="58" w:lineRule="exact"/>
        <w:rPr>
          <w:sz w:val="20"/>
          <w:szCs w:val="20"/>
          <w:color w:val="auto"/>
        </w:rPr>
      </w:pPr>
    </w:p>
    <w:p>
      <w:pPr>
        <w:sectPr>
          <w:pgSz w:w="11900" w:h="16838" w:orient="portrait"/>
          <w:cols w:equalWidth="0" w:num="2">
            <w:col w:w="6440" w:space="720"/>
            <w:col w:w="2979"/>
          </w:cols>
          <w:pgMar w:left="320" w:top="355" w:right="1440" w:bottom="1440" w:gutter="0" w:footer="0" w:header="0"/>
          <w:type w:val="continuous"/>
        </w:sectPr>
      </w:pPr>
    </w:p>
    <w:p>
      <w:pPr>
        <w:ind w:left="260"/>
        <w:spacing w:after="0"/>
        <w:rPr>
          <w:sz w:val="20"/>
          <w:szCs w:val="20"/>
          <w:color w:val="auto"/>
        </w:rPr>
      </w:pPr>
      <w:r>
        <w:rPr>
          <w:rFonts w:ascii="Arial" w:cs="Arial" w:eastAsia="Arial" w:hAnsi="Arial"/>
          <w:sz w:val="18"/>
          <w:szCs w:val="18"/>
          <w:color w:val="auto"/>
        </w:rPr>
        <w:t xml:space="preserve">Aubrey Powell /George Tzimas / </w:t>
      </w:r>
      <w:r>
        <w:rPr>
          <w:rFonts w:ascii="Arial" w:cs="Arial" w:eastAsia="Arial" w:hAnsi="Arial"/>
          <w:sz w:val="19"/>
          <w:szCs w:val="19"/>
          <w:color w:val="auto"/>
        </w:rPr>
        <w:t>Iqra Amin</w:t>
      </w:r>
    </w:p>
    <w:p>
      <w:pPr>
        <w:ind w:left="300"/>
        <w:spacing w:after="0"/>
        <w:rPr>
          <w:sz w:val="20"/>
          <w:szCs w:val="20"/>
          <w:color w:val="auto"/>
        </w:rPr>
      </w:pPr>
      <w:r>
        <w:rPr>
          <w:rFonts w:ascii="Arial" w:cs="Arial" w:eastAsia="Arial" w:hAnsi="Arial"/>
          <w:sz w:val="18"/>
          <w:szCs w:val="18"/>
          <w:color w:val="auto"/>
        </w:rPr>
        <w:t>(Corporate Finance)</w:t>
      </w:r>
    </w:p>
    <w:sectPr>
      <w:pgSz w:w="11900" w:h="16838" w:orient="portrait"/>
      <w:cols w:equalWidth="0" w:num="1">
        <w:col w:w="10139"/>
      </w:cols>
      <w:pgMar w:left="320" w:top="3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2020-05-14T08:25:55Z</dcterms:created>
  <dcterms:modified xsi:type="dcterms:W3CDTF">2020-05-14T08:25:55Z</dcterms:modified>
</cp:coreProperties>
</file>