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Hahn Mark W</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 MORE LONDON</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RIVERSIDE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Verona Pharma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VRNA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10/30/2024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500" w:type="dxa"/>
            <w:vAlign w:val="bottom"/>
            <w:gridSpan w:val="7"/>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6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LONDON</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X0</w:t>
            </w:r>
          </w:p>
        </w:tc>
        <w:tc>
          <w:tcPr>
            <w:tcW w:w="840" w:type="dxa"/>
            <w:vAlign w:val="bottom"/>
          </w:tcPr>
          <w:p>
            <w:pPr>
              <w:spacing w:after="0"/>
              <w:rPr>
                <w:sz w:val="10"/>
                <w:szCs w:val="10"/>
                <w:color w:val="auto"/>
              </w:rPr>
            </w:pPr>
          </w:p>
        </w:tc>
        <w:tc>
          <w:tcPr>
            <w:tcW w:w="14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SE1 2RE</w:t>
            </w:r>
          </w:p>
        </w:tc>
        <w:tc>
          <w:tcPr>
            <w:tcW w:w="7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400" w:type="dxa"/>
            <w:vAlign w:val="bottom"/>
            <w:gridSpan w:val="3"/>
            <w:vMerge w:val="continue"/>
          </w:tcPr>
          <w:p>
            <w:pPr>
              <w:spacing w:after="0"/>
              <w:rPr>
                <w:sz w:val="10"/>
                <w:szCs w:val="10"/>
                <w:color w:val="auto"/>
              </w:rPr>
            </w:pPr>
          </w:p>
        </w:tc>
        <w:tc>
          <w:tcPr>
            <w:tcW w:w="7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restart"/>
          </w:tcPr>
          <w:p>
            <w:pPr>
              <w:spacing w:after="0"/>
              <w:rPr>
                <w:sz w:val="6"/>
                <w:szCs w:val="6"/>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0" w:type="dxa"/>
            <w:vAlign w:val="bottom"/>
            <w:tcBorders>
              <w:bottom w:val="single" w:sz="8" w:color="2C2C2C"/>
            </w:tcBorders>
            <w:gridSpan w:val="3"/>
          </w:tcPr>
          <w:p>
            <w:pPr>
              <w:spacing w:after="0"/>
              <w:rPr>
                <w:sz w:val="10"/>
                <w:szCs w:val="10"/>
                <w:color w:val="auto"/>
              </w:rPr>
            </w:pPr>
          </w:p>
        </w:tc>
        <w:tc>
          <w:tcPr>
            <w:tcW w:w="2680" w:type="dxa"/>
            <w:vAlign w:val="bottom"/>
            <w:tcBorders>
              <w:bottom w:val="single" w:sz="8" w:color="2C2C2C"/>
            </w:tcBorders>
            <w:gridSpan w:val="6"/>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20" w:type="dxa"/>
            <w:vAlign w:val="bottom"/>
            <w:tcBorders>
              <w:bottom w:val="single" w:sz="8" w:color="2C2C2C"/>
            </w:tcBorders>
            <w:gridSpan w:val="2"/>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6"/>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4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60" w:type="dxa"/>
            <w:vAlign w:val="bottom"/>
            <w:tcBorders>
              <w:bottom w:val="single" w:sz="8" w:color="2C2C2C"/>
            </w:tcBorders>
            <w:gridSpan w:val="4"/>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2"/>
                <w:szCs w:val="22"/>
                <w:color w:val="008000"/>
                <w:vertAlign w:val="superscript"/>
              </w:rPr>
              <w:t>(1)</w:t>
            </w:r>
          </w:p>
        </w:tc>
        <w:tc>
          <w:tcPr>
            <w:tcW w:w="84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jc w:val="right"/>
              <w:ind w:right="639"/>
              <w:spacing w:after="0"/>
              <w:rPr>
                <w:sz w:val="20"/>
                <w:szCs w:val="20"/>
                <w:color w:val="auto"/>
              </w:rPr>
            </w:pPr>
            <w:r>
              <w:rPr>
                <w:rFonts w:ascii="Times New Roman" w:cs="Times New Roman" w:eastAsia="Times New Roman" w:hAnsi="Times New Roman"/>
                <w:sz w:val="17"/>
                <w:szCs w:val="17"/>
                <w:color w:val="0000FF"/>
              </w:rPr>
              <w:t>10/30/2024</w:t>
            </w: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(2)</w:t>
            </w:r>
          </w:p>
        </w:tc>
        <w:tc>
          <w:tcPr>
            <w:tcW w:w="86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800,000</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7"/>
                <w:szCs w:val="17"/>
                <w:color w:val="0000FF"/>
              </w:rPr>
              <w:t>14,469,360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2"/>
                <w:szCs w:val="22"/>
                <w:color w:val="008000"/>
                <w:vertAlign w:val="superscript"/>
              </w:rPr>
              <w:t>(1)</w:t>
            </w:r>
          </w:p>
        </w:tc>
        <w:tc>
          <w:tcPr>
            <w:tcW w:w="84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jc w:val="right"/>
              <w:ind w:right="659"/>
              <w:spacing w:after="0"/>
              <w:rPr>
                <w:sz w:val="20"/>
                <w:szCs w:val="20"/>
                <w:color w:val="auto"/>
              </w:rPr>
            </w:pPr>
            <w:r>
              <w:rPr>
                <w:rFonts w:ascii="Times New Roman" w:cs="Times New Roman" w:eastAsia="Times New Roman" w:hAnsi="Times New Roman"/>
                <w:sz w:val="17"/>
                <w:szCs w:val="17"/>
                <w:color w:val="0000FF"/>
              </w:rPr>
              <w:t>11/01/2024</w:t>
            </w: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(3)</w:t>
            </w:r>
          </w:p>
        </w:tc>
        <w:tc>
          <w:tcPr>
            <w:tcW w:w="86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200,000</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7"/>
                <w:szCs w:val="17"/>
                <w:color w:val="0000FF"/>
              </w:rPr>
              <w:t>14,669,360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2"/>
                <w:szCs w:val="22"/>
                <w:color w:val="008000"/>
                <w:vertAlign w:val="superscript"/>
              </w:rPr>
              <w:t>(1)</w:t>
            </w:r>
          </w:p>
        </w:tc>
        <w:tc>
          <w:tcPr>
            <w:tcW w:w="84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jc w:val="right"/>
              <w:ind w:right="659"/>
              <w:spacing w:after="0"/>
              <w:rPr>
                <w:sz w:val="20"/>
                <w:szCs w:val="20"/>
                <w:color w:val="auto"/>
              </w:rPr>
            </w:pPr>
            <w:r>
              <w:rPr>
                <w:rFonts w:ascii="Times New Roman" w:cs="Times New Roman" w:eastAsia="Times New Roman" w:hAnsi="Times New Roman"/>
                <w:sz w:val="17"/>
                <w:szCs w:val="17"/>
                <w:color w:val="0000FF"/>
              </w:rPr>
              <w:t>11/01/2024</w:t>
            </w: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(4)</w:t>
            </w:r>
          </w:p>
        </w:tc>
        <w:tc>
          <w:tcPr>
            <w:tcW w:w="86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245,952</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2020" w:type="dxa"/>
            <w:vAlign w:val="bottom"/>
            <w:tcBorders>
              <w:bottom w:val="single" w:sz="8" w:color="2C2C2C"/>
            </w:tcBorders>
            <w:gridSpan w:val="5"/>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4.2412</w:t>
            </w:r>
            <w:r>
              <w:rPr>
                <w:rFonts w:ascii="Times New Roman" w:cs="Times New Roman" w:eastAsia="Times New Roman" w:hAnsi="Times New Roman"/>
                <w:sz w:val="22"/>
                <w:szCs w:val="22"/>
                <w:color w:val="008000"/>
                <w:vertAlign w:val="superscript"/>
              </w:rPr>
              <w:t>(5)</w:t>
            </w:r>
            <w:r>
              <w:rPr>
                <w:rFonts w:ascii="Arial" w:cs="Arial" w:eastAsia="Arial" w:hAnsi="Arial"/>
                <w:sz w:val="17"/>
                <w:szCs w:val="17"/>
                <w:color w:val="auto"/>
              </w:rPr>
              <w:t xml:space="preserve">    </w:t>
            </w:r>
            <w:r>
              <w:rPr>
                <w:rFonts w:ascii="Times New Roman" w:cs="Times New Roman" w:eastAsia="Times New Roman" w:hAnsi="Times New Roman"/>
                <w:sz w:val="17"/>
                <w:szCs w:val="17"/>
                <w:color w:val="0000FF"/>
              </w:rPr>
              <w:t>14,423,408</w:t>
            </w:r>
            <w:r>
              <w:rPr>
                <w:rFonts w:ascii="Times New Roman" w:cs="Times New Roman" w:eastAsia="Times New Roman" w:hAnsi="Times New Roman"/>
                <w:sz w:val="22"/>
                <w:szCs w:val="22"/>
                <w:color w:val="008000"/>
                <w:vertAlign w:val="superscript"/>
              </w:rPr>
              <w:t>(6)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Disposed</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(Instr. 3, 4</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40" w:type="dxa"/>
            <w:vAlign w:val="bottom"/>
          </w:tcPr>
          <w:p>
            <w:pPr>
              <w:spacing w:after="0"/>
              <w:rPr>
                <w:sz w:val="14"/>
                <w:szCs w:val="14"/>
                <w:color w:val="auto"/>
              </w:rPr>
            </w:pP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Reported securities are represented by American Depositary Shares ("ADSs"), each of which represents eight (8) Ordinary Shares of the Issuer.</w:t>
      </w:r>
    </w:p>
    <w:p>
      <w:pPr>
        <w:spacing w:after="0" w:line="50" w:lineRule="exact"/>
        <w:rPr>
          <w:rFonts w:ascii="Times New Roman" w:cs="Times New Roman" w:eastAsia="Times New Roman" w:hAnsi="Times New Roman"/>
          <w:sz w:val="13"/>
          <w:szCs w:val="13"/>
          <w:color w:val="008000"/>
        </w:rPr>
      </w:pPr>
    </w:p>
    <w:p>
      <w:pPr>
        <w:ind w:left="40" w:right="3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Restricted Share Units ("RSUs"), each of which represents a contingent right to receive one (1) Ordinary Share of the Issuer. The RSUs vest over four years, with 1/4th of the RSUs vesting on November 1, 2025 and the balance vesting in 12 equal quarterly installments thereafter.</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Ordinary Shares upon vesting of Performance Restricted Share Units in connection with the Issuer's first commercial sale of ensifentrine.</w:t>
      </w:r>
    </w:p>
    <w:p>
      <w:pPr>
        <w:spacing w:after="0" w:line="50" w:lineRule="exact"/>
        <w:rPr>
          <w:rFonts w:ascii="Times New Roman" w:cs="Times New Roman" w:eastAsia="Times New Roman" w:hAnsi="Times New Roman"/>
          <w:sz w:val="13"/>
          <w:szCs w:val="13"/>
          <w:color w:val="008000"/>
        </w:rPr>
      </w:pPr>
    </w:p>
    <w:p>
      <w:pPr>
        <w:ind w:left="40" w:right="3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Ordinary Shares withheld to satisfy the tax withholding obligation in connection with the vesting of certain previously reported Restricted Share Units and the vesting of the Performance Restricted Share Units described in footnote 3 above.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represents the closing price of the Issuer's ADSs on the Nasdaq Stock Market LLC on October 31, 2024 divided by eight (8).</w:t>
      </w:r>
    </w:p>
    <w:p>
      <w:pPr>
        <w:spacing w:after="0" w:line="50" w:lineRule="exact"/>
        <w:rPr>
          <w:rFonts w:ascii="Times New Roman" w:cs="Times New Roman" w:eastAsia="Times New Roman" w:hAnsi="Times New Roman"/>
          <w:sz w:val="13"/>
          <w:szCs w:val="13"/>
          <w:color w:val="008000"/>
        </w:rPr>
      </w:pPr>
    </w:p>
    <w:p>
      <w:pPr>
        <w:ind w:left="40" w:right="5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(i) 3,000,000 Ordinary Shares underlying Restricted Share Units, each of which represents a contingent right to receive one (1) Ordinary Share of the Issuer (which are represented by 375,000 ADSs); and (ii) 11,423,408 Ordinary Shares underlying 1,427,926 ADSs.</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Andrew Fisher, Attorney-</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11/01/2024</w:t>
            </w: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Mark Hahn</w:t>
            </w: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80" w:type="dxa"/>
            <w:vAlign w:val="bottom"/>
            <w:shd w:val="clear" w:color="auto" w:fill="000000"/>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000" w:type="dxa"/>
            <w:vAlign w:val="bottom"/>
            <w:gridSpan w:val="5"/>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08502" TargetMode="External"/><Relationship Id="rId14"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2024-11-01T18:18:42Z</dcterms:created>
  <dcterms:modified xsi:type="dcterms:W3CDTF">2024-11-01T18:18:42Z</dcterms:modified>
</cp:coreProperties>
</file>