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ind w:left="4380"/>
        <w:spacing w:after="0"/>
        <w:tabs>
          <w:tab w:leader="none" w:pos="644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3827145</wp:posOffset>
            </wp:positionH>
            <wp:positionV relativeFrom="paragraph">
              <wp:posOffset>-29210</wp:posOffset>
            </wp:positionV>
            <wp:extent cx="274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Verona Pharma plc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Ordinary Shares, nominal value £0.05 per share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American Depositary Shares, each representing eight Ordinary Shares</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925050106</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Peter Haahr</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Novo Holdings A/S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Tuborg Havnevej 19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Hellerup, Denmark DK-2900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+45 3527 6592</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Copy to:</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B. Shayne Kennedy, Esq.</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Latham &amp; Watkins LLP</w:t>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650 Town Center Drive, 20</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Costa Mesa, CA 92626</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Telephone: (714) 540-1235</w:t>
      </w:r>
    </w:p>
    <w:p>
      <w:pPr>
        <w:jc w:val="center"/>
        <w:ind w:right="-79"/>
        <w:spacing w:after="0" w:line="225" w:lineRule="auto"/>
        <w:rPr>
          <w:sz w:val="20"/>
          <w:szCs w:val="20"/>
          <w:color w:val="auto"/>
        </w:rPr>
      </w:pPr>
      <w:r>
        <w:rPr>
          <w:rFonts w:ascii="Arial" w:cs="Arial" w:eastAsia="Arial" w:hAnsi="Arial"/>
          <w:sz w:val="14"/>
          <w:szCs w:val="14"/>
          <w:b w:val="1"/>
          <w:bCs w:val="1"/>
          <w:color w:val="auto"/>
        </w:rPr>
        <w:t>(Name, Address and Telephone Number of Person</w:t>
      </w:r>
    </w:p>
    <w:p>
      <w:pPr>
        <w:jc w:val="center"/>
        <w:ind w:right="-79"/>
        <w:spacing w:after="0"/>
        <w:rPr>
          <w:sz w:val="20"/>
          <w:szCs w:val="20"/>
          <w:color w:val="auto"/>
        </w:rPr>
      </w:pPr>
      <w:r>
        <w:rPr>
          <w:rFonts w:ascii="Arial" w:cs="Arial" w:eastAsia="Arial" w:hAnsi="Arial"/>
          <w:sz w:val="14"/>
          <w:szCs w:val="14"/>
          <w:b w:val="1"/>
          <w:bCs w:val="1"/>
          <w:color w:val="auto"/>
        </w:rPr>
        <w:t>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April 1,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80" w:firstLine="441"/>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subject of this Schedule 13D, and is filing this statement because of Rule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7" w:lineRule="exact"/>
        <w:rPr>
          <w:sz w:val="24"/>
          <w:szCs w:val="24"/>
          <w:color w:val="auto"/>
        </w:rPr>
      </w:pPr>
    </w:p>
    <w:p>
      <w:pPr>
        <w:ind w:right="60" w:firstLine="441"/>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13d-7(b)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3" w:lineRule="exact"/>
        <w:rPr>
          <w:sz w:val="24"/>
          <w:szCs w:val="24"/>
          <w:color w:val="auto"/>
        </w:rPr>
      </w:pPr>
    </w:p>
    <w:p>
      <w:pPr>
        <w:ind w:left="440" w:hanging="436"/>
        <w:spacing w:after="0" w:line="308"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ind w:right="180" w:firstLine="441"/>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925050106</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011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6590" cy="6011545"/>
                    </a:xfrm>
                    <a:prstGeom prst="rect">
                      <a:avLst/>
                    </a:prstGeom>
                    <a:noFill/>
                  </pic:spPr>
                </pic:pic>
              </a:graphicData>
            </a:graphic>
          </wp:anchor>
        </w:drawing>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Novo Holdings A/S</w:t>
      </w:r>
    </w:p>
    <w:p>
      <w:pPr>
        <w:spacing w:after="0" w:line="22" w:lineRule="exact"/>
        <w:rPr>
          <w:sz w:val="20"/>
          <w:szCs w:val="20"/>
          <w:color w:val="auto"/>
        </w:rPr>
      </w:pPr>
    </w:p>
    <w:p>
      <w:pPr>
        <w:ind w:left="540" w:hanging="289"/>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Group (See Instructions):</w:t>
      </w:r>
    </w:p>
    <w:p>
      <w:pPr>
        <w:spacing w:after="0" w:line="21" w:lineRule="exact"/>
        <w:rPr>
          <w:sz w:val="20"/>
          <w:szCs w:val="20"/>
          <w:color w:val="auto"/>
        </w:rPr>
      </w:pPr>
    </w:p>
    <w:p>
      <w:pPr>
        <w:ind w:left="540"/>
        <w:spacing w:after="0" w:line="207" w:lineRule="exact"/>
        <w:tabs>
          <w:tab w:leader="none" w:pos="134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540" w:hanging="289"/>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79" w:lineRule="exact"/>
        <w:rPr>
          <w:rFonts w:ascii="Arial" w:cs="Arial" w:eastAsia="Arial" w:hAnsi="Arial"/>
          <w:sz w:val="18"/>
          <w:szCs w:val="18"/>
          <w:color w:val="auto"/>
        </w:rPr>
      </w:pPr>
    </w:p>
    <w:p>
      <w:pPr>
        <w:ind w:left="540" w:hanging="289"/>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Source of Funds:</w:t>
      </w:r>
    </w:p>
    <w:p>
      <w:pPr>
        <w:spacing w:after="0" w:line="24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WC</w:t>
      </w:r>
    </w:p>
    <w:p>
      <w:pPr>
        <w:spacing w:after="0" w:line="22" w:lineRule="exact"/>
        <w:rPr>
          <w:sz w:val="20"/>
          <w:szCs w:val="20"/>
          <w:color w:val="auto"/>
        </w:rPr>
      </w:pPr>
    </w:p>
    <w:p>
      <w:pPr>
        <w:ind w:left="540" w:hanging="289"/>
        <w:spacing w:after="0" w:line="207" w:lineRule="exact"/>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Check if Disclosure of Legal Proceedings is Required Pursuant to </w:t>
      </w:r>
      <w:r>
        <w:rPr>
          <w:rFonts w:ascii="Arial" w:cs="Arial" w:eastAsia="Arial" w:hAnsi="Arial"/>
          <w:sz w:val="18"/>
          <w:szCs w:val="18"/>
          <w:b w:val="1"/>
          <w:bCs w:val="1"/>
          <w:u w:val="single" w:color="auto"/>
          <w:color w:val="auto"/>
        </w:rPr>
        <w:t>Items 2(d)</w:t>
      </w:r>
      <w:r>
        <w:rPr>
          <w:rFonts w:ascii="Arial" w:cs="Arial" w:eastAsia="Arial" w:hAnsi="Arial"/>
          <w:sz w:val="18"/>
          <w:szCs w:val="18"/>
          <w:b w:val="1"/>
          <w:bCs w:val="1"/>
          <w:color w:val="auto"/>
        </w:rPr>
        <w:t xml:space="preserve"> or </w:t>
      </w:r>
      <w:r>
        <w:rPr>
          <w:rFonts w:ascii="Arial" w:cs="Arial" w:eastAsia="Arial" w:hAnsi="Arial"/>
          <w:sz w:val="18"/>
          <w:szCs w:val="18"/>
          <w:b w:val="1"/>
          <w:bCs w:val="1"/>
          <w:u w:val="single" w:color="auto"/>
          <w:color w:val="auto"/>
        </w:rPr>
        <w:t>2(e):</w:t>
      </w:r>
      <w:r>
        <w:rPr>
          <w:rFonts w:ascii="Arial" w:cs="Arial" w:eastAsia="Arial" w:hAnsi="Arial"/>
          <w:sz w:val="18"/>
          <w:szCs w:val="18"/>
          <w:b w:val="1"/>
          <w:bCs w:val="1"/>
          <w:color w:val="auto"/>
        </w:rPr>
        <w:t xml:space="preserve"> </w:t>
      </w:r>
      <w:r>
        <w:rPr>
          <w:rFonts w:ascii="MS PGothic" w:cs="MS PGothic" w:eastAsia="MS PGothic" w:hAnsi="MS PGothic"/>
          <w:sz w:val="18"/>
          <w:szCs w:val="18"/>
          <w:color w:val="auto"/>
        </w:rPr>
        <w:t>☐</w:t>
      </w:r>
    </w:p>
    <w:p>
      <w:pPr>
        <w:spacing w:after="0" w:line="277" w:lineRule="exact"/>
        <w:rPr>
          <w:rFonts w:ascii="Arial" w:cs="Arial" w:eastAsia="Arial" w:hAnsi="Arial"/>
          <w:sz w:val="18"/>
          <w:szCs w:val="18"/>
          <w:color w:val="auto"/>
        </w:rPr>
      </w:pPr>
    </w:p>
    <w:p>
      <w:pPr>
        <w:ind w:left="540" w:hanging="289"/>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Denmark</w:t>
      </w:r>
    </w:p>
    <w:p>
      <w:pPr>
        <w:spacing w:after="0" w:line="22" w:lineRule="exact"/>
        <w:rPr>
          <w:sz w:val="20"/>
          <w:szCs w:val="20"/>
          <w:color w:val="auto"/>
        </w:rPr>
      </w:pPr>
    </w:p>
    <w:p>
      <w:pPr>
        <w:ind w:left="1320"/>
        <w:spacing w:after="0"/>
        <w:tabs>
          <w:tab w:leader="none" w:pos="16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Sole Voting Power:</w:t>
      </w:r>
    </w:p>
    <w:p>
      <w:pPr>
        <w:spacing w:after="0" w:line="232"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20" w:type="dxa"/>
            <w:vAlign w:val="bottom"/>
          </w:tcPr>
          <w:p>
            <w:pPr>
              <w:spacing w:after="0"/>
              <w:rPr>
                <w:sz w:val="21"/>
                <w:szCs w:val="21"/>
                <w:color w:val="auto"/>
              </w:rPr>
            </w:pPr>
          </w:p>
        </w:tc>
        <w:tc>
          <w:tcPr>
            <w:tcW w:w="9500" w:type="dxa"/>
            <w:vAlign w:val="bottom"/>
          </w:tcPr>
          <w:p>
            <w:pPr>
              <w:ind w:left="300"/>
              <w:spacing w:after="0"/>
              <w:rPr>
                <w:sz w:val="20"/>
                <w:szCs w:val="20"/>
                <w:color w:val="auto"/>
              </w:rPr>
            </w:pPr>
            <w:r>
              <w:rPr>
                <w:rFonts w:ascii="Arial" w:cs="Arial" w:eastAsia="Arial" w:hAnsi="Arial"/>
                <w:sz w:val="22"/>
                <w:szCs w:val="22"/>
                <w:color w:val="auto"/>
              </w:rPr>
              <w:t>14,159,611 (1)</w:t>
            </w:r>
          </w:p>
        </w:tc>
        <w:tc>
          <w:tcPr>
            <w:tcW w:w="0" w:type="dxa"/>
            <w:vAlign w:val="bottom"/>
          </w:tcPr>
          <w:p>
            <w:pPr>
              <w:spacing w:after="0"/>
              <w:rPr>
                <w:sz w:val="1"/>
                <w:szCs w:val="1"/>
                <w:color w:val="auto"/>
              </w:rPr>
            </w:pPr>
          </w:p>
        </w:tc>
      </w:tr>
      <w:tr>
        <w:trPr>
          <w:trHeight w:val="41"/>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tcBorders>
          </w:tcPr>
          <w:p>
            <w:pPr>
              <w:spacing w:after="0"/>
              <w:rPr>
                <w:sz w:val="3"/>
                <w:szCs w:val="3"/>
                <w:color w:val="auto"/>
              </w:rPr>
            </w:pPr>
          </w:p>
        </w:tc>
        <w:tc>
          <w:tcPr>
            <w:tcW w:w="9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920" w:type="dxa"/>
            <w:vAlign w:val="bottom"/>
            <w:vMerge w:val="continue"/>
          </w:tcPr>
          <w:p>
            <w:pPr>
              <w:spacing w:after="0"/>
              <w:rPr>
                <w:sz w:val="13"/>
                <w:szCs w:val="13"/>
                <w:color w:val="auto"/>
              </w:rPr>
            </w:pPr>
          </w:p>
        </w:tc>
        <w:tc>
          <w:tcPr>
            <w:tcW w:w="42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8.</w:t>
            </w:r>
          </w:p>
        </w:tc>
        <w:tc>
          <w:tcPr>
            <w:tcW w:w="9500" w:type="dxa"/>
            <w:vAlign w:val="bottom"/>
          </w:tcPr>
          <w:p>
            <w:pPr>
              <w:ind w:left="80"/>
              <w:spacing w:after="0" w:line="156"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5"/>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2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420" w:type="dxa"/>
            <w:vAlign w:val="bottom"/>
          </w:tcPr>
          <w:p>
            <w:pPr>
              <w:spacing w:after="0"/>
              <w:rPr>
                <w:sz w:val="18"/>
                <w:szCs w:val="18"/>
                <w:color w:val="auto"/>
              </w:rPr>
            </w:pPr>
          </w:p>
        </w:tc>
        <w:tc>
          <w:tcPr>
            <w:tcW w:w="9500" w:type="dxa"/>
            <w:vAlign w:val="bottom"/>
            <w:vMerge w:val="restart"/>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tcBorders>
          </w:tcPr>
          <w:p>
            <w:pPr>
              <w:spacing w:after="0"/>
              <w:rPr>
                <w:sz w:val="10"/>
                <w:szCs w:val="10"/>
                <w:color w:val="auto"/>
              </w:rPr>
            </w:pPr>
          </w:p>
        </w:tc>
        <w:tc>
          <w:tcPr>
            <w:tcW w:w="95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920" w:type="dxa"/>
            <w:vAlign w:val="bottom"/>
            <w:vMerge w:val="continue"/>
          </w:tcPr>
          <w:p>
            <w:pPr>
              <w:spacing w:after="0"/>
              <w:rPr>
                <w:sz w:val="6"/>
                <w:szCs w:val="6"/>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95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4"/>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20" w:type="dxa"/>
            <w:vAlign w:val="bottom"/>
            <w:vMerge w:val="continue"/>
          </w:tcPr>
          <w:p>
            <w:pPr>
              <w:spacing w:after="0"/>
              <w:rPr>
                <w:sz w:val="13"/>
                <w:szCs w:val="13"/>
                <w:color w:val="auto"/>
              </w:rPr>
            </w:pPr>
          </w:p>
        </w:tc>
        <w:tc>
          <w:tcPr>
            <w:tcW w:w="9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9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20" w:type="dxa"/>
            <w:vAlign w:val="bottom"/>
          </w:tcPr>
          <w:p>
            <w:pPr>
              <w:spacing w:after="0"/>
              <w:rPr>
                <w:sz w:val="18"/>
                <w:szCs w:val="18"/>
                <w:color w:val="auto"/>
              </w:rPr>
            </w:pPr>
          </w:p>
        </w:tc>
        <w:tc>
          <w:tcPr>
            <w:tcW w:w="9500" w:type="dxa"/>
            <w:vAlign w:val="bottom"/>
            <w:vMerge w:val="restart"/>
          </w:tcPr>
          <w:p>
            <w:pPr>
              <w:ind w:left="300"/>
              <w:spacing w:after="0"/>
              <w:rPr>
                <w:sz w:val="20"/>
                <w:szCs w:val="20"/>
                <w:color w:val="auto"/>
              </w:rPr>
            </w:pPr>
            <w:r>
              <w:rPr>
                <w:rFonts w:ascii="Arial" w:cs="Arial" w:eastAsia="Arial" w:hAnsi="Arial"/>
                <w:sz w:val="22"/>
                <w:szCs w:val="22"/>
                <w:color w:val="auto"/>
              </w:rPr>
              <w:t>14,159,611 (1)</w:t>
            </w:r>
          </w:p>
        </w:tc>
        <w:tc>
          <w:tcPr>
            <w:tcW w:w="0" w:type="dxa"/>
            <w:vAlign w:val="bottom"/>
          </w:tcPr>
          <w:p>
            <w:pPr>
              <w:spacing w:after="0"/>
              <w:rPr>
                <w:sz w:val="1"/>
                <w:szCs w:val="1"/>
                <w:color w:val="auto"/>
              </w:rPr>
            </w:pPr>
          </w:p>
        </w:tc>
      </w:tr>
      <w:tr>
        <w:trPr>
          <w:trHeight w:val="203"/>
        </w:trPr>
        <w:tc>
          <w:tcPr>
            <w:tcW w:w="920" w:type="dxa"/>
            <w:vAlign w:val="bottom"/>
          </w:tcPr>
          <w:p>
            <w:pPr>
              <w:jc w:val="center"/>
              <w:spacing w:after="0" w:line="203" w:lineRule="exact"/>
              <w:rPr>
                <w:sz w:val="20"/>
                <w:szCs w:val="20"/>
                <w:color w:val="auto"/>
              </w:rPr>
            </w:pPr>
            <w:r>
              <w:rPr>
                <w:rFonts w:ascii="Arial" w:cs="Arial" w:eastAsia="Arial" w:hAnsi="Arial"/>
                <w:sz w:val="18"/>
                <w:szCs w:val="18"/>
                <w:color w:val="auto"/>
                <w:w w:val="97"/>
              </w:rPr>
              <w:t>With:</w:t>
            </w:r>
          </w:p>
        </w:tc>
        <w:tc>
          <w:tcPr>
            <w:tcW w:w="420" w:type="dxa"/>
            <w:vAlign w:val="bottom"/>
            <w:tcBorders>
              <w:bottom w:val="single" w:sz="8" w:color="auto"/>
            </w:tcBorders>
          </w:tcPr>
          <w:p>
            <w:pPr>
              <w:spacing w:after="0"/>
              <w:rPr>
                <w:sz w:val="17"/>
                <w:szCs w:val="17"/>
                <w:color w:val="auto"/>
              </w:rPr>
            </w:pPr>
          </w:p>
        </w:tc>
        <w:tc>
          <w:tcPr>
            <w:tcW w:w="9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9500" w:type="dxa"/>
            <w:vAlign w:val="bottom"/>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160"/>
        <w:spacing w:after="0"/>
        <w:tabs>
          <w:tab w:leader="none" w:pos="5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Aggregate Amount Beneficially Owned by Each Reporting Person:</w:t>
      </w:r>
    </w:p>
    <w:p>
      <w:pPr>
        <w:spacing w:after="0" w:line="24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14,159,611 (1)</w:t>
      </w:r>
    </w:p>
    <w:p>
      <w:pPr>
        <w:spacing w:after="0" w:line="22" w:lineRule="exact"/>
        <w:rPr>
          <w:sz w:val="20"/>
          <w:szCs w:val="20"/>
          <w:color w:val="auto"/>
        </w:rPr>
      </w:pPr>
    </w:p>
    <w:p>
      <w:pPr>
        <w:ind w:left="540" w:hanging="379"/>
        <w:spacing w:after="0" w:line="207" w:lineRule="exact"/>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540" w:hanging="379"/>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13.21% (2)</w:t>
      </w:r>
    </w:p>
    <w:p>
      <w:pPr>
        <w:spacing w:after="0" w:line="24" w:lineRule="exact"/>
        <w:rPr>
          <w:sz w:val="20"/>
          <w:szCs w:val="20"/>
          <w:color w:val="auto"/>
        </w:rPr>
      </w:pPr>
    </w:p>
    <w:p>
      <w:pPr>
        <w:ind w:left="160"/>
        <w:spacing w:after="0"/>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CO</w:t>
      </w:r>
    </w:p>
    <w:p>
      <w:pPr>
        <w:spacing w:after="0" w:line="267" w:lineRule="exact"/>
        <w:rPr>
          <w:sz w:val="20"/>
          <w:szCs w:val="20"/>
          <w:color w:val="auto"/>
        </w:rPr>
      </w:pPr>
    </w:p>
    <w:p>
      <w:pPr>
        <w:ind w:left="440" w:right="360" w:hanging="436"/>
        <w:spacing w:after="0" w:line="256"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(a) 6,464,065 ordinary shares, (b) 740,740 American Depository Shares (“ADRs”) that each represent 8 ordinary shares, totaling 5,925,920 ordinary shares, and (c) vested warrants to purchase 1,769,626 ordinary shares (or 221,203 ADRs, at the election of Novo Holdings A/S) held directly by Novo Holdings A/S.</w:t>
      </w:r>
    </w:p>
    <w:p>
      <w:pPr>
        <w:ind w:left="440" w:right="640" w:hanging="436"/>
        <w:spacing w:after="0" w:line="261"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upon 105,381,250 ordinary shares outstanding as of March 25, 2019, reported in the Issuer’s Form 6-K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March 26, 2019.</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440" w:top="274"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Preliminary Note</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Novo Holdings A/S has previously filed a Schedule 13G on May 9, 2017, as amended on February 6, 2018, regarding its beneficial ownership of the Issuer’s securities. This Schedule 13D is being filed to amend the Schedule 13G to reflect that Martin Edwards, a part-time employee of Novo Holdings A/S, is joining the Board of Directors of the Issuer effective as of April 1, 2019. Mr. Edwards’ appointment to the Board of the Issuer is not at the request of Novo Holdings A/S and Mr. Edwards is not a designee of Novo Holdings A/S. Mr. Edwards is not deemed to be a beneficial owner of the securities held by Novo Holdings A/S. There has been no change in the securities held by Novo Holdings A/S since the closing of the Issuer’s initial public offering on May 2, 2017 (“IPO”).</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Schedule 13D relates to the ordinary shares, nominal value £0.05 per share, of Verona Pharma plc, a public limited company organized under the laws of England and Wales (the “Issuer”). The Issuer’s principal office is located at 3 More London Riverside, London SE1 2RE, United Kingdom. Certain ordinary shares are represented by ADRs, with each ADR representing eight ordinary shares. The ADRs are listed on the NASDAQ Global Select Market under the ticker symbol “VRNA”.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21" w:lineRule="exact"/>
        <w:rPr>
          <w:sz w:val="20"/>
          <w:szCs w:val="20"/>
          <w:color w:val="auto"/>
        </w:rPr>
      </w:pPr>
    </w:p>
    <w:p>
      <w:pPr>
        <w:ind w:left="880"/>
        <w:spacing w:after="0" w:line="257" w:lineRule="auto"/>
        <w:rPr>
          <w:sz w:val="20"/>
          <w:szCs w:val="20"/>
          <w:color w:val="auto"/>
        </w:rPr>
      </w:pPr>
      <w:r>
        <w:rPr>
          <w:rFonts w:ascii="Arial" w:cs="Arial" w:eastAsia="Arial" w:hAnsi="Arial"/>
          <w:sz w:val="18"/>
          <w:szCs w:val="18"/>
          <w:color w:val="auto"/>
        </w:rPr>
        <w:t>Novo Holdings A/S is a Danish limited liability company that is wholly owned by Novo Nordisk Fonden (the “</w:t>
      </w:r>
      <w:r>
        <w:rPr>
          <w:rFonts w:ascii="Arial" w:cs="Arial" w:eastAsia="Arial" w:hAnsi="Arial"/>
          <w:sz w:val="18"/>
          <w:szCs w:val="18"/>
          <w:u w:val="single" w:color="auto"/>
          <w:color w:val="auto"/>
        </w:rPr>
        <w:t>Foundation</w:t>
      </w:r>
      <w:r>
        <w:rPr>
          <w:rFonts w:ascii="Arial" w:cs="Arial" w:eastAsia="Arial" w:hAnsi="Arial"/>
          <w:sz w:val="18"/>
          <w:szCs w:val="18"/>
          <w:color w:val="auto"/>
        </w:rPr>
        <w:t>”), a Danish commercial foundation. Novo Holdings A/S is the holding company in the group of Novo companies (currently comprised of Novo Nordisk A/S, Novozymes A/S and NNIT A/S) and is responsible for managing the Foundation’s assets, including its financial assets. Based on the governance structure of Novo Holdings A/S and the Foundation, the Foundation is not deemed to have any beneficial ownership of the securities of the Issuer held by Novo Holdings A/S.</w:t>
      </w:r>
    </w:p>
    <w:p>
      <w:pPr>
        <w:spacing w:after="0" w:line="188" w:lineRule="exact"/>
        <w:rPr>
          <w:sz w:val="20"/>
          <w:szCs w:val="20"/>
          <w:color w:val="auto"/>
        </w:rPr>
      </w:pPr>
    </w:p>
    <w:p>
      <w:pPr>
        <w:ind w:left="880" w:right="860"/>
        <w:spacing w:after="0" w:line="277" w:lineRule="auto"/>
        <w:rPr>
          <w:sz w:val="20"/>
          <w:szCs w:val="20"/>
          <w:color w:val="auto"/>
        </w:rPr>
      </w:pPr>
      <w:r>
        <w:rPr>
          <w:rFonts w:ascii="Arial" w:cs="Arial" w:eastAsia="Arial" w:hAnsi="Arial"/>
          <w:sz w:val="18"/>
          <w:szCs w:val="18"/>
          <w:color w:val="auto"/>
        </w:rPr>
        <w:t xml:space="preserve">The name of each director and executive officer of both Novo Holdings A/S and the Foundation is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this Schedule 13D.</w:t>
      </w:r>
    </w:p>
    <w:p>
      <w:pPr>
        <w:spacing w:after="0" w:line="76" w:lineRule="exact"/>
        <w:rPr>
          <w:sz w:val="20"/>
          <w:szCs w:val="20"/>
          <w:color w:val="auto"/>
        </w:rPr>
      </w:pPr>
    </w:p>
    <w:p>
      <w:pPr>
        <w:ind w:left="860" w:hanging="424"/>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business address of both Novo Holdings A/S and the Foundation is Tuborg Havnevej 19, 2900 Hellerup, Denmark.</w:t>
      </w:r>
    </w:p>
    <w:p>
      <w:pPr>
        <w:spacing w:after="0" w:line="117" w:lineRule="exact"/>
        <w:rPr>
          <w:rFonts w:ascii="Arial" w:cs="Arial" w:eastAsia="Arial" w:hAnsi="Arial"/>
          <w:sz w:val="18"/>
          <w:szCs w:val="18"/>
          <w:color w:val="auto"/>
        </w:rPr>
      </w:pPr>
    </w:p>
    <w:p>
      <w:pPr>
        <w:ind w:left="880" w:right="4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residence or business address of each director and executive officer of both Novo Holdings A/S and the Foundation is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this Schedule 13D.</w:t>
      </w:r>
    </w:p>
    <w:p>
      <w:pPr>
        <w:spacing w:after="0" w:line="75" w:lineRule="exact"/>
        <w:rPr>
          <w:rFonts w:ascii="Arial" w:cs="Arial" w:eastAsia="Arial" w:hAnsi="Arial"/>
          <w:sz w:val="18"/>
          <w:szCs w:val="18"/>
          <w:color w:val="auto"/>
        </w:rPr>
      </w:pPr>
    </w:p>
    <w:p>
      <w:pPr>
        <w:ind w:left="860" w:right="480" w:hanging="424"/>
        <w:spacing w:after="0" w:line="342" w:lineRule="auto"/>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Novo Holdings A/S, a holding company that is responsible for managing the Foundation’s assets, provides seed and venture capital to development stage companies and invests in well-established companies within the life science and biotechnology sector.</w:t>
      </w:r>
    </w:p>
    <w:p>
      <w:pPr>
        <w:spacing w:after="0" w:line="15" w:lineRule="exact"/>
        <w:rPr>
          <w:rFonts w:ascii="Arial" w:cs="Arial" w:eastAsia="Arial" w:hAnsi="Arial"/>
          <w:sz w:val="16"/>
          <w:szCs w:val="16"/>
          <w:color w:val="auto"/>
        </w:rPr>
      </w:pPr>
    </w:p>
    <w:p>
      <w:pPr>
        <w:ind w:left="880" w:right="40"/>
        <w:spacing w:after="0" w:line="342" w:lineRule="auto"/>
        <w:rPr>
          <w:rFonts w:ascii="Arial" w:cs="Arial" w:eastAsia="Arial" w:hAnsi="Arial"/>
          <w:sz w:val="16"/>
          <w:szCs w:val="16"/>
          <w:color w:val="auto"/>
        </w:rPr>
      </w:pPr>
      <w:r>
        <w:rPr>
          <w:rFonts w:ascii="Arial" w:cs="Arial" w:eastAsia="Arial" w:hAnsi="Arial"/>
          <w:sz w:val="16"/>
          <w:szCs w:val="16"/>
          <w:color w:val="auto"/>
        </w:rPr>
        <w:t>The Foundation is a Danish self-governing and profit-making foundation, whose objectives are to provide a stable basis for commercial and research activities undertaken by the group of Novo companies and to support scientific, humanitarian and social purposes through grants.</w:t>
      </w:r>
    </w:p>
    <w:p>
      <w:pPr>
        <w:spacing w:after="0" w:line="29" w:lineRule="exact"/>
        <w:rPr>
          <w:rFonts w:ascii="Arial" w:cs="Arial" w:eastAsia="Arial" w:hAnsi="Arial"/>
          <w:sz w:val="16"/>
          <w:szCs w:val="16"/>
          <w:color w:val="auto"/>
        </w:rPr>
      </w:pPr>
    </w:p>
    <w:p>
      <w:pPr>
        <w:ind w:left="860" w:right="500" w:hanging="424"/>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Within the last five years, neither Novo Holdings A/S, the Foundation, nor any person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has been convicted in any criminal proceedings.</w:t>
      </w:r>
    </w:p>
    <w:p>
      <w:pPr>
        <w:spacing w:after="0" w:line="75" w:lineRule="exact"/>
        <w:rPr>
          <w:rFonts w:ascii="Arial" w:cs="Arial" w:eastAsia="Arial" w:hAnsi="Arial"/>
          <w:sz w:val="18"/>
          <w:szCs w:val="18"/>
          <w:color w:val="auto"/>
        </w:rPr>
      </w:pPr>
    </w:p>
    <w:p>
      <w:pPr>
        <w:ind w:left="860" w:right="20" w:hanging="424"/>
        <w:spacing w:after="0" w:line="259"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Within the last five years, neither Novo Holdings A/S, the Foundation, nor any person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July 2016, prior to the Issuer’s IPO, Novo Holdings A/S purchased 6,464,065 Units, at a price of £1.4365 per Unit. Each Unit represented one ordinary share and a warrant to purchase 0.4 of an ordinary share at a price of £1.7238. Each warrant is exercisable beginning upon the closing of the IPO and will expire on the fifth anniversary of the IPO. As a result, since prior to the IPO, Novo Holdings A/S has held: (i) 6,464,065 ordinary shares; and (ii) warrants to purchase 1,769,626 ordinary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3" w:name="page4"/>
    <w:bookmarkEnd w:id="3"/>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May 2, 2017, the closing date of the Issuer’s IPO, Novo Holdings A/S purchased from the underwriters in the offering 740,740 ADRs at a price of $13.50 per ADR; each ADR represent 8 ordinary shares (totaling 5,925,920 ordinary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acquisitions of Issuer securities made by Novo Holdings A/S, as described in this Schedule 13D, were for investment purposes. Novo Holdings A/S intends to review its investments in the Issuer on a continuing basis and any actions Novo Holdings A/S might undertake will be dependent upon its review of numerous factors from time to time,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 Novo Holdings A/S may, at any time and from time to time, acquire additional securities of the Issuer, or retain or sell all or a portion of the securities of the Issuer then held, in the open market or in privately negotiated transactions. Other than as described herein, Novo Holdings A/S currently does not have any plans or proposals that relate to, or would result in, any of the matters listed in Items 4(a)–(j) of Schedule 13D, although, depending on the factors discussed herein, Novo Holdings A/S may change its purpose or formulate different plans or proposals with respect thereto at any time.</w:t>
      </w:r>
    </w:p>
    <w:p>
      <w:pPr>
        <w:spacing w:after="0" w:line="182"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Martin Edwards, a member of the board of directors of the Issuer as of April 1, 2019, is a part time employee of Novo Holdings A/S. Mr. Edwards’ appointment to the Board of the Issuer is not at the request of Novo Holdings A/S and Mr. Edwards is not a designee of Novo Holdings A/S. Mr. Edwards is not deemed a beneficial owner of, and does not have a reportable pecuniary interest in, the Novo Shares (as defined below).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ind w:right="40" w:firstLine="885"/>
        <w:spacing w:after="0" w:line="264" w:lineRule="auto"/>
        <w:tabs>
          <w:tab w:leader="none" w:pos="1261" w:val="left"/>
        </w:tabs>
        <w:numPr>
          <w:ilvl w:val="0"/>
          <w:numId w:val="8"/>
        </w:numPr>
        <w:rPr>
          <w:rFonts w:ascii="Arial" w:cs="Arial" w:eastAsia="Arial" w:hAnsi="Arial"/>
          <w:sz w:val="18"/>
          <w:szCs w:val="18"/>
          <w:color w:val="auto"/>
        </w:rPr>
      </w:pPr>
      <w:r>
        <w:rPr>
          <w:rFonts w:ascii="Arial" w:cs="Arial" w:eastAsia="Arial" w:hAnsi="Arial"/>
          <w:sz w:val="18"/>
          <w:szCs w:val="18"/>
          <w:color w:val="auto"/>
        </w:rPr>
        <w:t>Novo Holdings A/S beneficially owns 14,159,611 ordinary shares (the “Novo Shares”), representing approximately 13.21% of the Issuer’s outstanding ordinary shares, based upon 105,381,250 ordinary shares outstanding as of March 25, 2019, reported in the Issuer’s Form 6-K filed with the SEC on March 26, 2019.</w:t>
      </w:r>
    </w:p>
    <w:p>
      <w:pPr>
        <w:spacing w:after="0" w:line="73" w:lineRule="exact"/>
        <w:rPr>
          <w:sz w:val="20"/>
          <w:szCs w:val="20"/>
          <w:color w:val="auto"/>
        </w:rPr>
      </w:pPr>
    </w:p>
    <w:p>
      <w:pPr>
        <w:ind w:right="140" w:firstLine="881"/>
        <w:spacing w:after="0" w:line="264" w:lineRule="auto"/>
        <w:rPr>
          <w:sz w:val="20"/>
          <w:szCs w:val="20"/>
          <w:color w:val="auto"/>
        </w:rPr>
      </w:pPr>
      <w:r>
        <w:rPr>
          <w:rFonts w:ascii="Arial" w:cs="Arial" w:eastAsia="Arial" w:hAnsi="Arial"/>
          <w:sz w:val="18"/>
          <w:szCs w:val="18"/>
          <w:color w:val="auto"/>
        </w:rPr>
        <w:t>The Novo Shares consist of (a) 6,464,065 ordinary shares, (b) 740,740 ADRs that each represent 8 ordinary shares (totaling 5,925,920 ordinary shares) and (c) vested warrants to purchase 1,769,626 ordinary shares (or 221,203 ADRs, at the election of Novo Holdings A/S) held directly by Novo Holdings A/S.</w:t>
      </w:r>
    </w:p>
    <w:p>
      <w:pPr>
        <w:spacing w:after="0" w:line="73" w:lineRule="exact"/>
        <w:rPr>
          <w:sz w:val="20"/>
          <w:szCs w:val="20"/>
          <w:color w:val="auto"/>
        </w:rPr>
      </w:pPr>
    </w:p>
    <w:p>
      <w:pPr>
        <w:ind w:right="260" w:firstLine="885"/>
        <w:spacing w:after="0" w:line="259" w:lineRule="auto"/>
        <w:tabs>
          <w:tab w:leader="none" w:pos="1271" w:val="left"/>
        </w:tabs>
        <w:numPr>
          <w:ilvl w:val="0"/>
          <w:numId w:val="9"/>
        </w:numPr>
        <w:rPr>
          <w:rFonts w:ascii="Arial" w:cs="Arial" w:eastAsia="Arial" w:hAnsi="Arial"/>
          <w:sz w:val="18"/>
          <w:szCs w:val="18"/>
          <w:color w:val="auto"/>
        </w:rPr>
      </w:pPr>
      <w:r>
        <w:rPr>
          <w:rFonts w:ascii="Arial" w:cs="Arial" w:eastAsia="Arial" w:hAnsi="Arial"/>
          <w:sz w:val="18"/>
          <w:szCs w:val="18"/>
          <w:color w:val="auto"/>
        </w:rPr>
        <w:t>Novo Holdings A/S is a Danish limited liability company wholly owned by the Novo Nordisk Foundation. Novo Holdings A/S, through its Board of Directors (the “Novo Board”), has the sole power to vote and dispose of the Novo Shares. The Novo Board may exercise voting and dispositive control over the Novo Shares with approval by a majority of the Novo Board. As such, no individual member of the Novo Board is deemed to hold any beneficial ownership or reportable pecuniary interest in the Novo Shares.</w:t>
      </w:r>
    </w:p>
    <w:p>
      <w:pPr>
        <w:spacing w:after="0" w:line="78" w:lineRule="exact"/>
        <w:rPr>
          <w:rFonts w:ascii="Arial" w:cs="Arial" w:eastAsia="Arial" w:hAnsi="Arial"/>
          <w:sz w:val="18"/>
          <w:szCs w:val="18"/>
          <w:color w:val="auto"/>
        </w:rPr>
      </w:pPr>
    </w:p>
    <w:p>
      <w:pPr>
        <w:ind w:firstLine="885"/>
        <w:spacing w:after="0" w:line="277" w:lineRule="auto"/>
        <w:tabs>
          <w:tab w:leader="none" w:pos="1261" w:val="left"/>
        </w:tabs>
        <w:numPr>
          <w:ilvl w:val="0"/>
          <w:numId w:val="9"/>
        </w:numPr>
        <w:rPr>
          <w:rFonts w:ascii="Arial" w:cs="Arial" w:eastAsia="Arial" w:hAnsi="Arial"/>
          <w:sz w:val="18"/>
          <w:szCs w:val="18"/>
          <w:color w:val="auto"/>
        </w:rPr>
      </w:pPr>
      <w:r>
        <w:rPr>
          <w:rFonts w:ascii="Arial" w:cs="Arial" w:eastAsia="Arial" w:hAnsi="Arial"/>
          <w:sz w:val="18"/>
          <w:szCs w:val="18"/>
          <w:color w:val="auto"/>
        </w:rPr>
        <w:t>Novo Holdings A/S has not effected any transactions in the Issuer’s ordinary shares within the past 60 days and neither the Foundation nor any person listed on Schedule I has effected any transactions in the Issuer’s ordinary shares within the past 60 days.</w:t>
      </w:r>
    </w:p>
    <w:p>
      <w:pPr>
        <w:spacing w:after="0" w:line="62" w:lineRule="exact"/>
        <w:rPr>
          <w:rFonts w:ascii="Arial" w:cs="Arial" w:eastAsia="Arial" w:hAnsi="Arial"/>
          <w:sz w:val="18"/>
          <w:szCs w:val="18"/>
          <w:color w:val="auto"/>
        </w:rPr>
      </w:pPr>
    </w:p>
    <w:p>
      <w:pPr>
        <w:ind w:right="40" w:firstLine="885"/>
        <w:spacing w:after="0" w:line="308" w:lineRule="auto"/>
        <w:tabs>
          <w:tab w:leader="none" w:pos="1271" w:val="left"/>
        </w:tabs>
        <w:numPr>
          <w:ilvl w:val="0"/>
          <w:numId w:val="9"/>
        </w:numPr>
        <w:rPr>
          <w:rFonts w:ascii="Arial" w:cs="Arial" w:eastAsia="Arial" w:hAnsi="Arial"/>
          <w:sz w:val="17"/>
          <w:szCs w:val="17"/>
          <w:color w:val="auto"/>
        </w:rPr>
      </w:pPr>
      <w:r>
        <w:rPr>
          <w:rFonts w:ascii="Arial" w:cs="Arial" w:eastAsia="Arial" w:hAnsi="Arial"/>
          <w:sz w:val="17"/>
          <w:szCs w:val="17"/>
          <w:color w:val="auto"/>
        </w:rPr>
        <w:t>Novo Holdings A/S does not know of any other person having the right to receive or the power to direct the receipt of dividends from, or the proceeds from the sale of the Issuer’s ordinary shares held in the name of the Novo Holdings A/S and reported herein.</w:t>
      </w:r>
    </w:p>
    <w:p>
      <w:pPr>
        <w:spacing w:after="0" w:line="38" w:lineRule="exact"/>
        <w:rPr>
          <w:rFonts w:ascii="Arial" w:cs="Arial" w:eastAsia="Arial" w:hAnsi="Arial"/>
          <w:sz w:val="17"/>
          <w:szCs w:val="17"/>
          <w:color w:val="auto"/>
        </w:rPr>
      </w:pPr>
    </w:p>
    <w:p>
      <w:pPr>
        <w:ind w:left="1260" w:hanging="375"/>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 Material to be Filed as Exhibits.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019"/>
          </w:cols>
          <w:pgMar w:left="440" w:top="270" w:right="1440"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Dated: April 2, 2019</w:t>
      </w:r>
      <w:r>
        <w:rPr>
          <w:sz w:val="20"/>
          <w:szCs w:val="20"/>
          <w:color w:val="auto"/>
        </w:rPr>
        <w:tab/>
      </w:r>
      <w:r>
        <w:rPr>
          <w:rFonts w:ascii="Arial" w:cs="Arial" w:eastAsia="Arial" w:hAnsi="Arial"/>
          <w:sz w:val="17"/>
          <w:szCs w:val="17"/>
          <w:color w:val="auto"/>
        </w:rPr>
        <w:t>Novo Holdings A/S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Peter Haahr</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Peter Haahr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-130810</wp:posOffset>
            </wp:positionV>
            <wp:extent cx="3439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3" w:lineRule="exact"/>
        <w:rPr>
          <w:sz w:val="20"/>
          <w:szCs w:val="20"/>
          <w:color w:val="auto"/>
        </w:rPr>
      </w:pPr>
    </w:p>
    <w:p>
      <w:pPr>
        <w:ind w:left="5680"/>
        <w:spacing w:after="0"/>
        <w:tabs>
          <w:tab w:leader="none" w:pos="60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7"/>
          <w:szCs w:val="17"/>
          <w:color w:val="auto"/>
        </w:rPr>
        <w:t>Chief Financial Officer</w:t>
      </w:r>
    </w:p>
    <w:p>
      <w:pPr>
        <w:sectPr>
          <w:pgSz w:w="11900" w:h="16838" w:orient="portrait"/>
          <w:cols w:equalWidth="0" w:num="1">
            <w:col w:w="10900"/>
          </w:cols>
          <w:pgMar w:left="440" w:top="270" w:right="5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each director and executive officer of both Novo Holdings A/S and the Novo Nordisk Foundation is set forth below.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Novo Holdings A/S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Name, Title</w:t>
            </w: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Address</w:t>
            </w:r>
          </w:p>
        </w:tc>
        <w:tc>
          <w:tcPr>
            <w:tcW w:w="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Principal Occupation</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Citizenship</w:t>
            </w:r>
          </w:p>
        </w:tc>
      </w:tr>
      <w:tr>
        <w:trPr>
          <w:trHeight w:val="411"/>
        </w:trPr>
        <w:tc>
          <w:tcPr>
            <w:tcW w:w="3500" w:type="dxa"/>
            <w:vAlign w:val="bottom"/>
            <w:gridSpan w:val="3"/>
          </w:tcPr>
          <w:p>
            <w:pPr>
              <w:spacing w:after="0"/>
              <w:rPr>
                <w:sz w:val="20"/>
                <w:szCs w:val="20"/>
                <w:color w:val="auto"/>
              </w:rPr>
            </w:pPr>
            <w:r>
              <w:rPr>
                <w:rFonts w:ascii="Arial" w:cs="Arial" w:eastAsia="Arial" w:hAnsi="Arial"/>
                <w:sz w:val="18"/>
                <w:szCs w:val="18"/>
                <w:color w:val="auto"/>
              </w:rPr>
              <w:t>Lars Rebien Sørensen,</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Christianholms Tværvej 27</w:t>
            </w: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Professional Board Director</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w w:val="98"/>
              </w:rPr>
              <w:t>Denmark</w:t>
            </w: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Chairman of the Board</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2930 Klampenborg</w:t>
            </w:r>
          </w:p>
        </w:tc>
        <w:tc>
          <w:tcPr>
            <w:tcW w:w="1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Denmark</w:t>
            </w:r>
          </w:p>
        </w:tc>
        <w:tc>
          <w:tcPr>
            <w:tcW w:w="1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3500" w:type="dxa"/>
            <w:vAlign w:val="bottom"/>
            <w:gridSpan w:val="3"/>
          </w:tcPr>
          <w:p>
            <w:pPr>
              <w:spacing w:after="0"/>
              <w:rPr>
                <w:sz w:val="20"/>
                <w:szCs w:val="20"/>
                <w:color w:val="auto"/>
              </w:rPr>
            </w:pPr>
            <w:r>
              <w:rPr>
                <w:rFonts w:ascii="Arial" w:cs="Arial" w:eastAsia="Arial" w:hAnsi="Arial"/>
                <w:sz w:val="18"/>
                <w:szCs w:val="18"/>
                <w:color w:val="auto"/>
              </w:rPr>
              <w:t>Steen Riisgaard,</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Hestetangsvej 155,</w:t>
            </w: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Professional Board Director</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w w:val="98"/>
              </w:rPr>
              <w:t>Denmark</w:t>
            </w: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Vice Chairman of the Board</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3520 Farum,</w:t>
            </w:r>
          </w:p>
        </w:tc>
        <w:tc>
          <w:tcPr>
            <w:tcW w:w="1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Denmark</w:t>
            </w:r>
          </w:p>
        </w:tc>
        <w:tc>
          <w:tcPr>
            <w:tcW w:w="1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3500" w:type="dxa"/>
            <w:vAlign w:val="bottom"/>
            <w:gridSpan w:val="3"/>
          </w:tcPr>
          <w:p>
            <w:pPr>
              <w:spacing w:after="0"/>
              <w:rPr>
                <w:sz w:val="20"/>
                <w:szCs w:val="20"/>
                <w:color w:val="auto"/>
              </w:rPr>
            </w:pPr>
            <w:r>
              <w:rPr>
                <w:rFonts w:ascii="Arial" w:cs="Arial" w:eastAsia="Arial" w:hAnsi="Arial"/>
                <w:sz w:val="18"/>
                <w:szCs w:val="18"/>
                <w:color w:val="auto"/>
              </w:rPr>
              <w:t>Jean-Luc Butel,</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235 Arcadia Road, #03-04,</w:t>
            </w: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w w:val="96"/>
              </w:rPr>
              <w:t>Global Healthcare Advisor, President, K8</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w w:val="87"/>
              </w:rPr>
              <w:t>Singapore</w:t>
            </w:r>
          </w:p>
        </w:tc>
      </w:tr>
      <w:tr>
        <w:trPr>
          <w:trHeight w:val="230"/>
        </w:trPr>
        <w:tc>
          <w:tcPr>
            <w:tcW w:w="35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28984 Singapore</w:t>
            </w: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Global Pte Ltd.</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1"/>
        </w:trPr>
        <w:tc>
          <w:tcPr>
            <w:tcW w:w="3500" w:type="dxa"/>
            <w:vAlign w:val="bottom"/>
            <w:gridSpan w:val="3"/>
          </w:tcPr>
          <w:p>
            <w:pPr>
              <w:spacing w:after="0"/>
              <w:rPr>
                <w:sz w:val="20"/>
                <w:szCs w:val="20"/>
                <w:color w:val="auto"/>
              </w:rPr>
            </w:pPr>
            <w:r>
              <w:rPr>
                <w:rFonts w:ascii="Arial" w:cs="Arial" w:eastAsia="Arial" w:hAnsi="Arial"/>
                <w:sz w:val="18"/>
                <w:szCs w:val="18"/>
                <w:color w:val="auto"/>
              </w:rPr>
              <w:t>Jeppe Christiansen,</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Kollemosevej 37,</w:t>
            </w: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Chief Executive Officer,</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w w:val="98"/>
              </w:rPr>
              <w:t>Denmark</w:t>
            </w: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2830 Virum,</w:t>
            </w: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Fondsmaeglerselskabet Maj Invest A/S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Denmark</w:t>
            </w:r>
          </w:p>
        </w:tc>
        <w:tc>
          <w:tcPr>
            <w:tcW w:w="1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3500" w:type="dxa"/>
            <w:vAlign w:val="bottom"/>
            <w:gridSpan w:val="3"/>
          </w:tcPr>
          <w:p>
            <w:pPr>
              <w:spacing w:after="0"/>
              <w:rPr>
                <w:sz w:val="20"/>
                <w:szCs w:val="20"/>
                <w:color w:val="auto"/>
              </w:rPr>
            </w:pPr>
            <w:r>
              <w:rPr>
                <w:rFonts w:ascii="Arial" w:cs="Arial" w:eastAsia="Arial" w:hAnsi="Arial"/>
                <w:sz w:val="18"/>
                <w:szCs w:val="18"/>
                <w:color w:val="auto"/>
              </w:rPr>
              <w:t>Francis Michael Cyprian Cuss,</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111 Rippling Brook Way,</w:t>
            </w: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Former Executive Vice President and</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United</w:t>
            </w: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Bernardsville,</w:t>
            </w: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Chief Scientific Officer of Bristol-Myers</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Kingdom</w:t>
            </w:r>
          </w:p>
        </w:tc>
      </w:tr>
      <w:tr>
        <w:trPr>
          <w:trHeight w:val="216"/>
        </w:trPr>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NJ 07924</w:t>
            </w: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Squibb</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USA</w:t>
            </w:r>
          </w:p>
        </w:tc>
        <w:tc>
          <w:tcPr>
            <w:tcW w:w="1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3500" w:type="dxa"/>
            <w:vAlign w:val="bottom"/>
            <w:gridSpan w:val="3"/>
          </w:tcPr>
          <w:p>
            <w:pPr>
              <w:spacing w:after="0"/>
              <w:rPr>
                <w:sz w:val="20"/>
                <w:szCs w:val="20"/>
                <w:color w:val="auto"/>
              </w:rPr>
            </w:pPr>
            <w:r>
              <w:rPr>
                <w:rFonts w:ascii="Arial" w:cs="Arial" w:eastAsia="Arial" w:hAnsi="Arial"/>
                <w:sz w:val="18"/>
                <w:szCs w:val="18"/>
                <w:color w:val="auto"/>
              </w:rPr>
              <w:t>Viviane Monges,</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Chemin de Craivavers 32,</w:t>
            </w: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Professional Board Director</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France</w:t>
            </w:r>
          </w:p>
        </w:tc>
      </w:tr>
      <w:tr>
        <w:trPr>
          <w:trHeight w:val="230"/>
        </w:trPr>
        <w:tc>
          <w:tcPr>
            <w:tcW w:w="35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1012 Lausanne, Switzerland</w:t>
            </w:r>
          </w:p>
        </w:tc>
        <w:tc>
          <w:tcPr>
            <w:tcW w:w="1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1"/>
        </w:trPr>
        <w:tc>
          <w:tcPr>
            <w:tcW w:w="3500" w:type="dxa"/>
            <w:vAlign w:val="bottom"/>
            <w:gridSpan w:val="3"/>
          </w:tcPr>
          <w:p>
            <w:pPr>
              <w:spacing w:after="0"/>
              <w:rPr>
                <w:sz w:val="20"/>
                <w:szCs w:val="20"/>
                <w:color w:val="auto"/>
              </w:rPr>
            </w:pPr>
            <w:r>
              <w:rPr>
                <w:rFonts w:ascii="Arial" w:cs="Arial" w:eastAsia="Arial" w:hAnsi="Arial"/>
                <w:sz w:val="18"/>
                <w:szCs w:val="18"/>
                <w:color w:val="auto"/>
              </w:rPr>
              <w:t>Kasim Kutay,</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Bredgade 63, 3.th. 1260</w:t>
            </w: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w w:val="97"/>
              </w:rPr>
              <w:t>Chief Executive Officer of Novo Holdings</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United</w:t>
            </w: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Chief Executive Officer of Holdings A/S</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Copenhagen K.</w:t>
            </w: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A/S</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Kingdom</w:t>
            </w:r>
          </w:p>
        </w:tc>
      </w:tr>
      <w:tr>
        <w:trPr>
          <w:trHeight w:val="230"/>
        </w:trPr>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Denmark</w:t>
            </w:r>
          </w:p>
        </w:tc>
        <w:tc>
          <w:tcPr>
            <w:tcW w:w="1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1"/>
        </w:trPr>
        <w:tc>
          <w:tcPr>
            <w:tcW w:w="3500" w:type="dxa"/>
            <w:vAlign w:val="bottom"/>
            <w:gridSpan w:val="3"/>
          </w:tcPr>
          <w:p>
            <w:pPr>
              <w:spacing w:after="0"/>
              <w:rPr>
                <w:sz w:val="20"/>
                <w:szCs w:val="20"/>
                <w:color w:val="auto"/>
              </w:rPr>
            </w:pPr>
            <w:r>
              <w:rPr>
                <w:rFonts w:ascii="Arial" w:cs="Arial" w:eastAsia="Arial" w:hAnsi="Arial"/>
                <w:sz w:val="18"/>
                <w:szCs w:val="18"/>
                <w:color w:val="auto"/>
              </w:rPr>
              <w:t>Peter Haahr,</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Ordrup Have 21</w:t>
            </w: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w w:val="99"/>
              </w:rPr>
              <w:t>Chief Financial Officer of Novo Holdings</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w w:val="98"/>
              </w:rPr>
              <w:t>Denmark</w:t>
            </w: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w w:val="98"/>
              </w:rPr>
              <w:t>Chief Financial Officer of Novo Holdings A/S</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2900 Charlottenlund</w:t>
            </w: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A/S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Denmark</w:t>
            </w:r>
          </w:p>
        </w:tc>
        <w:tc>
          <w:tcPr>
            <w:tcW w:w="1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3500" w:type="dxa"/>
            <w:vAlign w:val="bottom"/>
            <w:gridSpan w:val="3"/>
          </w:tcPr>
          <w:p>
            <w:pPr>
              <w:spacing w:after="0"/>
              <w:rPr>
                <w:sz w:val="20"/>
                <w:szCs w:val="20"/>
                <w:color w:val="auto"/>
              </w:rPr>
            </w:pPr>
            <w:r>
              <w:rPr>
                <w:rFonts w:ascii="Arial" w:cs="Arial" w:eastAsia="Arial" w:hAnsi="Arial"/>
                <w:sz w:val="18"/>
                <w:szCs w:val="18"/>
                <w:color w:val="auto"/>
              </w:rPr>
              <w:t>Thomas Dyrberg,</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Esperance Alle 10B, 2. TH</w:t>
            </w: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Managing Partner –Ventures, Novo</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w w:val="98"/>
              </w:rPr>
              <w:t>Denmark</w:t>
            </w: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Managing Partner Novo Ventures</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2920 Charlottenlund</w:t>
            </w: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Holdings A/S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Denmark</w:t>
            </w:r>
          </w:p>
        </w:tc>
        <w:tc>
          <w:tcPr>
            <w:tcW w:w="1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3500" w:type="dxa"/>
            <w:vAlign w:val="bottom"/>
            <w:gridSpan w:val="3"/>
          </w:tcPr>
          <w:p>
            <w:pPr>
              <w:spacing w:after="0"/>
              <w:rPr>
                <w:sz w:val="20"/>
                <w:szCs w:val="20"/>
                <w:color w:val="auto"/>
              </w:rPr>
            </w:pPr>
            <w:r>
              <w:rPr>
                <w:rFonts w:ascii="Arial" w:cs="Arial" w:eastAsia="Arial" w:hAnsi="Arial"/>
                <w:sz w:val="18"/>
                <w:szCs w:val="18"/>
                <w:color w:val="auto"/>
              </w:rPr>
              <w:t>Dorte Barlebo Madsen,</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Hoffmeyersvej 13</w:t>
            </w: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Head of People &amp; Organisation, Novo</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w w:val="98"/>
              </w:rPr>
              <w:t>Denmark</w:t>
            </w: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Head of People &amp; Organisation</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2000 Frederiksberg</w:t>
            </w: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Holdings A/S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Denmark</w:t>
            </w:r>
          </w:p>
        </w:tc>
        <w:tc>
          <w:tcPr>
            <w:tcW w:w="1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3500" w:type="dxa"/>
            <w:vAlign w:val="bottom"/>
            <w:gridSpan w:val="3"/>
          </w:tcPr>
          <w:p>
            <w:pPr>
              <w:spacing w:after="0"/>
              <w:rPr>
                <w:sz w:val="20"/>
                <w:szCs w:val="20"/>
                <w:color w:val="auto"/>
              </w:rPr>
            </w:pPr>
            <w:r>
              <w:rPr>
                <w:rFonts w:ascii="Arial" w:cs="Arial" w:eastAsia="Arial" w:hAnsi="Arial"/>
                <w:sz w:val="18"/>
                <w:szCs w:val="18"/>
                <w:color w:val="auto"/>
              </w:rPr>
              <w:t>Morten Beck Jørgensen,</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Ellesøpark 20, 2950 Vedbæk</w:t>
            </w: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Managing Director, Novo Holdings A/S</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w w:val="98"/>
              </w:rPr>
              <w:t>Denmark</w:t>
            </w:r>
          </w:p>
        </w:tc>
      </w:tr>
      <w:tr>
        <w:trPr>
          <w:trHeight w:val="230"/>
        </w:trPr>
        <w:tc>
          <w:tcPr>
            <w:tcW w:w="3500" w:type="dxa"/>
            <w:vAlign w:val="bottom"/>
            <w:gridSpan w:val="3"/>
          </w:tcPr>
          <w:p>
            <w:pPr>
              <w:spacing w:after="0"/>
              <w:rPr>
                <w:sz w:val="20"/>
                <w:szCs w:val="20"/>
                <w:color w:val="auto"/>
              </w:rPr>
            </w:pPr>
            <w:r>
              <w:rPr>
                <w:rFonts w:ascii="Arial" w:cs="Arial" w:eastAsia="Arial" w:hAnsi="Arial"/>
                <w:sz w:val="18"/>
                <w:szCs w:val="18"/>
                <w:color w:val="auto"/>
              </w:rPr>
              <w:t>Managing Director, Financial Investments</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Denmark</w:t>
            </w: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Financial Investments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3500" w:type="dxa"/>
            <w:vAlign w:val="bottom"/>
            <w:gridSpan w:val="3"/>
          </w:tcPr>
          <w:p>
            <w:pPr>
              <w:spacing w:after="0"/>
              <w:rPr>
                <w:sz w:val="20"/>
                <w:szCs w:val="20"/>
                <w:color w:val="auto"/>
              </w:rPr>
            </w:pPr>
            <w:r>
              <w:rPr>
                <w:rFonts w:ascii="Arial" w:cs="Arial" w:eastAsia="Arial" w:hAnsi="Arial"/>
                <w:sz w:val="18"/>
                <w:szCs w:val="18"/>
                <w:color w:val="auto"/>
              </w:rPr>
              <w:t>Søren Møller,</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Ved Furesøen 9</w:t>
            </w: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Managing Partner, Novo Seeds, Novo</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w w:val="98"/>
              </w:rPr>
              <w:t>Denmark</w:t>
            </w: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Managing Partner, Novo Seeds</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2840 Holte</w:t>
            </w: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Holdings A/S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Denmark</w:t>
            </w:r>
          </w:p>
        </w:tc>
        <w:tc>
          <w:tcPr>
            <w:tcW w:w="1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ectPr>
          <w:pgSz w:w="11900" w:h="16838" w:orient="portrait"/>
          <w:cols w:equalWidth="0" w:num="1">
            <w:col w:w="11000"/>
          </w:cols>
          <w:pgMar w:left="440" w:top="270" w:right="4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Novo Nordisk Foundation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Name, Title</w:t>
            </w:r>
          </w:p>
        </w:tc>
        <w:tc>
          <w:tcPr>
            <w:tcW w:w="1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Address</w:t>
            </w:r>
          </w:p>
        </w:tc>
        <w:tc>
          <w:tcPr>
            <w:tcW w:w="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Principal Occupation</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Citizenship</w:t>
            </w:r>
          </w:p>
        </w:tc>
      </w:tr>
      <w:tr>
        <w:trPr>
          <w:trHeight w:val="411"/>
        </w:trPr>
        <w:tc>
          <w:tcPr>
            <w:tcW w:w="3400" w:type="dxa"/>
            <w:vAlign w:val="bottom"/>
            <w:gridSpan w:val="3"/>
          </w:tcPr>
          <w:p>
            <w:pPr>
              <w:spacing w:after="0"/>
              <w:rPr>
                <w:sz w:val="20"/>
                <w:szCs w:val="20"/>
                <w:color w:val="auto"/>
              </w:rPr>
            </w:pPr>
            <w:r>
              <w:rPr>
                <w:rFonts w:ascii="Arial" w:cs="Arial" w:eastAsia="Arial" w:hAnsi="Arial"/>
                <w:sz w:val="18"/>
                <w:szCs w:val="18"/>
                <w:color w:val="auto"/>
              </w:rPr>
              <w:t>Lars Rebien Sørensen,</w:t>
            </w: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Christianholms Tværvej 27</w:t>
            </w:r>
          </w:p>
        </w:tc>
        <w:tc>
          <w:tcPr>
            <w:tcW w:w="3840" w:type="dxa"/>
            <w:vAlign w:val="bottom"/>
            <w:gridSpan w:val="3"/>
          </w:tcPr>
          <w:p>
            <w:pPr>
              <w:ind w:left="680"/>
              <w:spacing w:after="0"/>
              <w:rPr>
                <w:sz w:val="20"/>
                <w:szCs w:val="20"/>
                <w:color w:val="auto"/>
              </w:rPr>
            </w:pPr>
            <w:r>
              <w:rPr>
                <w:rFonts w:ascii="Arial" w:cs="Arial" w:eastAsia="Arial" w:hAnsi="Arial"/>
                <w:sz w:val="18"/>
                <w:szCs w:val="18"/>
                <w:color w:val="auto"/>
              </w:rPr>
              <w:t>Professional Board Director</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w w:val="98"/>
              </w:rPr>
              <w:t>Denmark</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Chairman of the Board</w:t>
            </w: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2930 Klampenborg</w:t>
            </w:r>
          </w:p>
        </w:tc>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Denmark</w:t>
            </w:r>
          </w:p>
        </w:tc>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1"/>
        </w:trPr>
        <w:tc>
          <w:tcPr>
            <w:tcW w:w="3400" w:type="dxa"/>
            <w:vAlign w:val="bottom"/>
            <w:gridSpan w:val="3"/>
          </w:tcPr>
          <w:p>
            <w:pPr>
              <w:spacing w:after="0"/>
              <w:rPr>
                <w:sz w:val="20"/>
                <w:szCs w:val="20"/>
                <w:color w:val="auto"/>
              </w:rPr>
            </w:pPr>
            <w:r>
              <w:rPr>
                <w:rFonts w:ascii="Arial" w:cs="Arial" w:eastAsia="Arial" w:hAnsi="Arial"/>
                <w:sz w:val="18"/>
                <w:szCs w:val="18"/>
                <w:color w:val="auto"/>
              </w:rPr>
              <w:t>Marianne Philip,</w:t>
            </w: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Tranegårdsvej 5</w:t>
            </w:r>
          </w:p>
        </w:tc>
        <w:tc>
          <w:tcPr>
            <w:tcW w:w="3840" w:type="dxa"/>
            <w:vAlign w:val="bottom"/>
            <w:gridSpan w:val="3"/>
          </w:tcPr>
          <w:p>
            <w:pPr>
              <w:ind w:left="680"/>
              <w:spacing w:after="0"/>
              <w:rPr>
                <w:sz w:val="20"/>
                <w:szCs w:val="20"/>
                <w:color w:val="auto"/>
              </w:rPr>
            </w:pPr>
            <w:r>
              <w:rPr>
                <w:rFonts w:ascii="Arial" w:cs="Arial" w:eastAsia="Arial" w:hAnsi="Arial"/>
                <w:sz w:val="18"/>
                <w:szCs w:val="18"/>
                <w:color w:val="auto"/>
              </w:rPr>
              <w:t>Attorney</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w w:val="98"/>
              </w:rPr>
              <w:t>Denmark</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Vice Chairman of the Board</w:t>
            </w: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2900 Hellerup</w:t>
            </w:r>
          </w:p>
        </w:tc>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Denmark</w:t>
            </w:r>
          </w:p>
        </w:tc>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1"/>
        </w:trPr>
        <w:tc>
          <w:tcPr>
            <w:tcW w:w="3400" w:type="dxa"/>
            <w:vAlign w:val="bottom"/>
            <w:gridSpan w:val="3"/>
          </w:tcPr>
          <w:p>
            <w:pPr>
              <w:spacing w:after="0"/>
              <w:rPr>
                <w:sz w:val="20"/>
                <w:szCs w:val="20"/>
                <w:color w:val="auto"/>
              </w:rPr>
            </w:pPr>
            <w:r>
              <w:rPr>
                <w:rFonts w:ascii="Arial" w:cs="Arial" w:eastAsia="Arial" w:hAnsi="Arial"/>
                <w:sz w:val="18"/>
                <w:szCs w:val="18"/>
                <w:color w:val="auto"/>
              </w:rPr>
              <w:t>Steen Riisgaard,</w:t>
            </w: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Hestetangsvej 155</w:t>
            </w:r>
          </w:p>
        </w:tc>
        <w:tc>
          <w:tcPr>
            <w:tcW w:w="3840" w:type="dxa"/>
            <w:vAlign w:val="bottom"/>
            <w:gridSpan w:val="3"/>
          </w:tcPr>
          <w:p>
            <w:pPr>
              <w:ind w:left="680"/>
              <w:spacing w:after="0"/>
              <w:rPr>
                <w:sz w:val="20"/>
                <w:szCs w:val="20"/>
                <w:color w:val="auto"/>
              </w:rPr>
            </w:pPr>
            <w:r>
              <w:rPr>
                <w:rFonts w:ascii="Arial" w:cs="Arial" w:eastAsia="Arial" w:hAnsi="Arial"/>
                <w:sz w:val="18"/>
                <w:szCs w:val="18"/>
                <w:color w:val="auto"/>
              </w:rPr>
              <w:t>Professional Board Director</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w w:val="98"/>
              </w:rPr>
              <w:t>Denmark</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3520 Farum</w:t>
            </w:r>
          </w:p>
        </w:tc>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Denmark</w:t>
            </w:r>
          </w:p>
        </w:tc>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3400" w:type="dxa"/>
            <w:vAlign w:val="bottom"/>
            <w:gridSpan w:val="3"/>
          </w:tcPr>
          <w:p>
            <w:pPr>
              <w:spacing w:after="0"/>
              <w:rPr>
                <w:sz w:val="20"/>
                <w:szCs w:val="20"/>
                <w:color w:val="auto"/>
              </w:rPr>
            </w:pPr>
            <w:r>
              <w:rPr>
                <w:rFonts w:ascii="Arial" w:cs="Arial" w:eastAsia="Arial" w:hAnsi="Arial"/>
                <w:sz w:val="18"/>
                <w:szCs w:val="18"/>
                <w:color w:val="auto"/>
              </w:rPr>
              <w:t>Birgitte Nauntofte, Chief Executive Officer</w:t>
            </w: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Engbakkevej 24</w:t>
            </w:r>
          </w:p>
        </w:tc>
        <w:tc>
          <w:tcPr>
            <w:tcW w:w="3840" w:type="dxa"/>
            <w:vAlign w:val="bottom"/>
            <w:gridSpan w:val="3"/>
          </w:tcPr>
          <w:p>
            <w:pPr>
              <w:ind w:left="680"/>
              <w:spacing w:after="0"/>
              <w:rPr>
                <w:sz w:val="20"/>
                <w:szCs w:val="20"/>
                <w:color w:val="auto"/>
              </w:rPr>
            </w:pPr>
            <w:r>
              <w:rPr>
                <w:rFonts w:ascii="Arial" w:cs="Arial" w:eastAsia="Arial" w:hAnsi="Arial"/>
                <w:sz w:val="18"/>
                <w:szCs w:val="18"/>
                <w:color w:val="auto"/>
              </w:rPr>
              <w:t>Chief Executive Officer, Novo Nordisk</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w w:val="98"/>
              </w:rPr>
              <w:t>Denmark</w:t>
            </w:r>
          </w:p>
        </w:tc>
      </w:tr>
      <w:tr>
        <w:trPr>
          <w:trHeight w:val="216"/>
        </w:trPr>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2920 Charlottenlund</w:t>
            </w:r>
          </w:p>
        </w:tc>
        <w:tc>
          <w:tcPr>
            <w:tcW w:w="3840" w:type="dxa"/>
            <w:vAlign w:val="bottom"/>
            <w:gridSpan w:val="3"/>
          </w:tcPr>
          <w:p>
            <w:pPr>
              <w:ind w:left="680"/>
              <w:spacing w:after="0"/>
              <w:rPr>
                <w:sz w:val="20"/>
                <w:szCs w:val="20"/>
                <w:color w:val="auto"/>
              </w:rPr>
            </w:pPr>
            <w:r>
              <w:rPr>
                <w:rFonts w:ascii="Arial" w:cs="Arial" w:eastAsia="Arial" w:hAnsi="Arial"/>
                <w:sz w:val="18"/>
                <w:szCs w:val="18"/>
                <w:color w:val="auto"/>
              </w:rPr>
              <w:t>Foundation</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Denmark</w:t>
            </w:r>
          </w:p>
        </w:tc>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1"/>
        </w:trPr>
        <w:tc>
          <w:tcPr>
            <w:tcW w:w="3400" w:type="dxa"/>
            <w:vAlign w:val="bottom"/>
            <w:gridSpan w:val="3"/>
          </w:tcPr>
          <w:p>
            <w:pPr>
              <w:spacing w:after="0"/>
              <w:rPr>
                <w:sz w:val="20"/>
                <w:szCs w:val="20"/>
                <w:color w:val="auto"/>
              </w:rPr>
            </w:pPr>
            <w:r>
              <w:rPr>
                <w:rFonts w:ascii="Arial" w:cs="Arial" w:eastAsia="Arial" w:hAnsi="Arial"/>
                <w:sz w:val="18"/>
                <w:szCs w:val="18"/>
                <w:color w:val="auto"/>
              </w:rPr>
              <w:t>Niels Peder Nielsen, Deputy CEO</w:t>
            </w: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Winthersvej 10, 3480</w:t>
            </w:r>
          </w:p>
        </w:tc>
        <w:tc>
          <w:tcPr>
            <w:tcW w:w="3840" w:type="dxa"/>
            <w:vAlign w:val="bottom"/>
            <w:gridSpan w:val="3"/>
          </w:tcPr>
          <w:p>
            <w:pPr>
              <w:ind w:left="680"/>
              <w:spacing w:after="0"/>
              <w:rPr>
                <w:sz w:val="20"/>
                <w:szCs w:val="20"/>
                <w:color w:val="auto"/>
              </w:rPr>
            </w:pPr>
            <w:r>
              <w:rPr>
                <w:rFonts w:ascii="Arial" w:cs="Arial" w:eastAsia="Arial" w:hAnsi="Arial"/>
                <w:sz w:val="18"/>
                <w:szCs w:val="18"/>
                <w:color w:val="auto"/>
                <w:w w:val="99"/>
              </w:rPr>
              <w:t>Deputy CEO, Novo Nordisk Foundation</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w w:val="98"/>
              </w:rPr>
              <w:t>Denmark</w:t>
            </w:r>
          </w:p>
        </w:tc>
      </w:tr>
      <w:tr>
        <w:trPr>
          <w:trHeight w:val="216"/>
        </w:trPr>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Fredensborg</w:t>
            </w:r>
          </w:p>
        </w:tc>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Denmark</w:t>
            </w:r>
          </w:p>
        </w:tc>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1"/>
        </w:trPr>
        <w:tc>
          <w:tcPr>
            <w:tcW w:w="3400" w:type="dxa"/>
            <w:vAlign w:val="bottom"/>
            <w:gridSpan w:val="3"/>
          </w:tcPr>
          <w:p>
            <w:pPr>
              <w:spacing w:after="0"/>
              <w:rPr>
                <w:sz w:val="20"/>
                <w:szCs w:val="20"/>
                <w:color w:val="auto"/>
              </w:rPr>
            </w:pPr>
            <w:r>
              <w:rPr>
                <w:rFonts w:ascii="Arial" w:cs="Arial" w:eastAsia="Arial" w:hAnsi="Arial"/>
                <w:sz w:val="18"/>
                <w:szCs w:val="18"/>
                <w:color w:val="auto"/>
              </w:rPr>
              <w:t>Anne Marie Kverneland,</w:t>
            </w: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Nybrovej 216</w:t>
            </w:r>
          </w:p>
        </w:tc>
        <w:tc>
          <w:tcPr>
            <w:tcW w:w="3840" w:type="dxa"/>
            <w:vAlign w:val="bottom"/>
            <w:gridSpan w:val="3"/>
          </w:tcPr>
          <w:p>
            <w:pPr>
              <w:ind w:left="680"/>
              <w:spacing w:after="0"/>
              <w:rPr>
                <w:sz w:val="20"/>
                <w:szCs w:val="20"/>
                <w:color w:val="auto"/>
              </w:rPr>
            </w:pPr>
            <w:r>
              <w:rPr>
                <w:rFonts w:ascii="Arial" w:cs="Arial" w:eastAsia="Arial" w:hAnsi="Arial"/>
                <w:sz w:val="18"/>
                <w:szCs w:val="18"/>
                <w:color w:val="auto"/>
                <w:w w:val="96"/>
              </w:rPr>
              <w:t>Laboratory technician, Novo Nordisk A/S</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w w:val="98"/>
              </w:rPr>
              <w:t>Denmark</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2800 Kgs. Lyngby</w:t>
            </w:r>
          </w:p>
        </w:tc>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Denmark</w:t>
            </w:r>
          </w:p>
        </w:tc>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1"/>
        </w:trPr>
        <w:tc>
          <w:tcPr>
            <w:tcW w:w="3400" w:type="dxa"/>
            <w:vAlign w:val="bottom"/>
            <w:gridSpan w:val="3"/>
          </w:tcPr>
          <w:p>
            <w:pPr>
              <w:spacing w:after="0"/>
              <w:rPr>
                <w:sz w:val="20"/>
                <w:szCs w:val="20"/>
                <w:color w:val="auto"/>
              </w:rPr>
            </w:pPr>
            <w:r>
              <w:rPr>
                <w:rFonts w:ascii="Arial" w:cs="Arial" w:eastAsia="Arial" w:hAnsi="Arial"/>
                <w:sz w:val="18"/>
                <w:szCs w:val="18"/>
                <w:color w:val="auto"/>
              </w:rPr>
              <w:t>Lars Bo Køppler,</w:t>
            </w: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Anemonevej 7</w:t>
            </w:r>
          </w:p>
        </w:tc>
        <w:tc>
          <w:tcPr>
            <w:tcW w:w="3840" w:type="dxa"/>
            <w:vAlign w:val="bottom"/>
            <w:gridSpan w:val="3"/>
          </w:tcPr>
          <w:p>
            <w:pPr>
              <w:ind w:left="680"/>
              <w:spacing w:after="0"/>
              <w:rPr>
                <w:sz w:val="20"/>
                <w:szCs w:val="20"/>
                <w:color w:val="auto"/>
              </w:rPr>
            </w:pPr>
            <w:r>
              <w:rPr>
                <w:rFonts w:ascii="Arial" w:cs="Arial" w:eastAsia="Arial" w:hAnsi="Arial"/>
                <w:sz w:val="18"/>
                <w:szCs w:val="18"/>
                <w:color w:val="auto"/>
              </w:rPr>
              <w:t>Technician, Novozymes A/S</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w w:val="98"/>
              </w:rPr>
              <w:t>Denmark</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3550 Slangerup</w:t>
            </w:r>
          </w:p>
        </w:tc>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Denmark</w:t>
            </w:r>
          </w:p>
        </w:tc>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1"/>
        </w:trPr>
        <w:tc>
          <w:tcPr>
            <w:tcW w:w="3400" w:type="dxa"/>
            <w:vAlign w:val="bottom"/>
            <w:gridSpan w:val="3"/>
          </w:tcPr>
          <w:p>
            <w:pPr>
              <w:spacing w:after="0"/>
              <w:rPr>
                <w:sz w:val="20"/>
                <w:szCs w:val="20"/>
                <w:color w:val="auto"/>
              </w:rPr>
            </w:pPr>
            <w:r>
              <w:rPr>
                <w:rFonts w:ascii="Arial" w:cs="Arial" w:eastAsia="Arial" w:hAnsi="Arial"/>
                <w:sz w:val="18"/>
                <w:szCs w:val="18"/>
                <w:color w:val="auto"/>
              </w:rPr>
              <w:t>Lars Fugger,</w:t>
            </w: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72 Staunton Road,</w:t>
            </w:r>
          </w:p>
        </w:tc>
        <w:tc>
          <w:tcPr>
            <w:tcW w:w="3840" w:type="dxa"/>
            <w:vAlign w:val="bottom"/>
            <w:gridSpan w:val="3"/>
          </w:tcPr>
          <w:p>
            <w:pPr>
              <w:ind w:left="680"/>
              <w:spacing w:after="0"/>
              <w:rPr>
                <w:sz w:val="20"/>
                <w:szCs w:val="20"/>
                <w:color w:val="auto"/>
              </w:rPr>
            </w:pPr>
            <w:r>
              <w:rPr>
                <w:rFonts w:ascii="Arial" w:cs="Arial" w:eastAsia="Arial" w:hAnsi="Arial"/>
                <w:sz w:val="18"/>
                <w:szCs w:val="18"/>
                <w:color w:val="auto"/>
              </w:rPr>
              <w:t>Professor, John Radcliffe Hospital,</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w w:val="98"/>
              </w:rPr>
              <w:t>Denmark</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Headington</w:t>
            </w:r>
          </w:p>
        </w:tc>
        <w:tc>
          <w:tcPr>
            <w:tcW w:w="3840" w:type="dxa"/>
            <w:vAlign w:val="bottom"/>
            <w:gridSpan w:val="3"/>
          </w:tcPr>
          <w:p>
            <w:pPr>
              <w:ind w:left="680"/>
              <w:spacing w:after="0"/>
              <w:rPr>
                <w:sz w:val="20"/>
                <w:szCs w:val="20"/>
                <w:color w:val="auto"/>
              </w:rPr>
            </w:pPr>
            <w:r>
              <w:rPr>
                <w:rFonts w:ascii="Arial" w:cs="Arial" w:eastAsia="Arial" w:hAnsi="Arial"/>
                <w:sz w:val="18"/>
                <w:szCs w:val="18"/>
                <w:color w:val="auto"/>
              </w:rPr>
              <w:t>University of Oxford, Oxford, Great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OX3 7TP</w:t>
            </w:r>
          </w:p>
        </w:tc>
        <w:tc>
          <w:tcPr>
            <w:tcW w:w="3840" w:type="dxa"/>
            <w:vAlign w:val="bottom"/>
            <w:gridSpan w:val="3"/>
          </w:tcPr>
          <w:p>
            <w:pPr>
              <w:ind w:left="680"/>
              <w:spacing w:after="0"/>
              <w:rPr>
                <w:sz w:val="20"/>
                <w:szCs w:val="20"/>
                <w:color w:val="auto"/>
              </w:rPr>
            </w:pPr>
            <w:r>
              <w:rPr>
                <w:rFonts w:ascii="Arial" w:cs="Arial" w:eastAsia="Arial" w:hAnsi="Arial"/>
                <w:sz w:val="18"/>
                <w:szCs w:val="18"/>
                <w:color w:val="auto"/>
              </w:rPr>
              <w:t>Britain</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Great Britain</w:t>
            </w:r>
          </w:p>
        </w:tc>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1"/>
        </w:trPr>
        <w:tc>
          <w:tcPr>
            <w:tcW w:w="3400" w:type="dxa"/>
            <w:vAlign w:val="bottom"/>
            <w:gridSpan w:val="3"/>
          </w:tcPr>
          <w:p>
            <w:pPr>
              <w:spacing w:after="0"/>
              <w:rPr>
                <w:sz w:val="20"/>
                <w:szCs w:val="20"/>
                <w:color w:val="auto"/>
              </w:rPr>
            </w:pPr>
            <w:r>
              <w:rPr>
                <w:rFonts w:ascii="Arial" w:cs="Arial" w:eastAsia="Arial" w:hAnsi="Arial"/>
                <w:sz w:val="18"/>
                <w:szCs w:val="18"/>
                <w:color w:val="auto"/>
              </w:rPr>
              <w:t>Lars Henrik Munch,</w:t>
            </w: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Galionsvej 46</w:t>
            </w:r>
          </w:p>
        </w:tc>
        <w:tc>
          <w:tcPr>
            <w:tcW w:w="3840" w:type="dxa"/>
            <w:vAlign w:val="bottom"/>
            <w:gridSpan w:val="3"/>
          </w:tcPr>
          <w:p>
            <w:pPr>
              <w:ind w:left="680"/>
              <w:spacing w:after="0"/>
              <w:rPr>
                <w:sz w:val="20"/>
                <w:szCs w:val="20"/>
                <w:color w:val="auto"/>
              </w:rPr>
            </w:pPr>
            <w:r>
              <w:rPr>
                <w:rFonts w:ascii="Arial" w:cs="Arial" w:eastAsia="Arial" w:hAnsi="Arial"/>
                <w:sz w:val="18"/>
                <w:szCs w:val="18"/>
                <w:color w:val="auto"/>
              </w:rPr>
              <w:t>Professional Board Director</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w w:val="98"/>
              </w:rPr>
              <w:t>Denmark</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1437 København K</w:t>
            </w:r>
          </w:p>
        </w:tc>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Denmark</w:t>
            </w:r>
          </w:p>
        </w:tc>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1"/>
        </w:trPr>
        <w:tc>
          <w:tcPr>
            <w:tcW w:w="3400" w:type="dxa"/>
            <w:vAlign w:val="bottom"/>
            <w:gridSpan w:val="3"/>
          </w:tcPr>
          <w:p>
            <w:pPr>
              <w:spacing w:after="0"/>
              <w:rPr>
                <w:sz w:val="20"/>
                <w:szCs w:val="20"/>
                <w:color w:val="auto"/>
              </w:rPr>
            </w:pPr>
            <w:r>
              <w:rPr>
                <w:rFonts w:ascii="Arial" w:cs="Arial" w:eastAsia="Arial" w:hAnsi="Arial"/>
                <w:sz w:val="18"/>
                <w:szCs w:val="18"/>
                <w:color w:val="auto"/>
              </w:rPr>
              <w:t>Mads Boritz Grøn,</w:t>
            </w: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Horsevænget 4</w:t>
            </w:r>
          </w:p>
        </w:tc>
        <w:tc>
          <w:tcPr>
            <w:tcW w:w="3840" w:type="dxa"/>
            <w:vAlign w:val="bottom"/>
            <w:gridSpan w:val="3"/>
          </w:tcPr>
          <w:p>
            <w:pPr>
              <w:ind w:left="680"/>
              <w:spacing w:after="0"/>
              <w:rPr>
                <w:sz w:val="20"/>
                <w:szCs w:val="20"/>
                <w:color w:val="auto"/>
              </w:rPr>
            </w:pPr>
            <w:r>
              <w:rPr>
                <w:rFonts w:ascii="Arial" w:cs="Arial" w:eastAsia="Arial" w:hAnsi="Arial"/>
                <w:sz w:val="18"/>
                <w:szCs w:val="18"/>
                <w:color w:val="auto"/>
              </w:rPr>
              <w:t>Senior Lead Auditor</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w w:val="98"/>
              </w:rPr>
              <w:t>Denmark</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3400 Hillerød</w:t>
            </w:r>
          </w:p>
        </w:tc>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Denmark</w:t>
            </w:r>
          </w:p>
        </w:tc>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1"/>
        </w:trPr>
        <w:tc>
          <w:tcPr>
            <w:tcW w:w="3400" w:type="dxa"/>
            <w:vAlign w:val="bottom"/>
            <w:gridSpan w:val="3"/>
          </w:tcPr>
          <w:p>
            <w:pPr>
              <w:spacing w:after="0"/>
              <w:rPr>
                <w:sz w:val="20"/>
                <w:szCs w:val="20"/>
                <w:color w:val="auto"/>
              </w:rPr>
            </w:pPr>
            <w:r>
              <w:rPr>
                <w:rFonts w:ascii="Arial" w:cs="Arial" w:eastAsia="Arial" w:hAnsi="Arial"/>
                <w:sz w:val="18"/>
                <w:szCs w:val="18"/>
                <w:color w:val="auto"/>
              </w:rPr>
              <w:t>Liselotte Højgaard,</w:t>
            </w: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Grønningen 21</w:t>
            </w:r>
          </w:p>
        </w:tc>
        <w:tc>
          <w:tcPr>
            <w:tcW w:w="3840" w:type="dxa"/>
            <w:vAlign w:val="bottom"/>
            <w:gridSpan w:val="3"/>
          </w:tcPr>
          <w:p>
            <w:pPr>
              <w:ind w:left="680"/>
              <w:spacing w:after="0"/>
              <w:rPr>
                <w:sz w:val="20"/>
                <w:szCs w:val="20"/>
                <w:color w:val="auto"/>
              </w:rPr>
            </w:pPr>
            <w:r>
              <w:rPr>
                <w:rFonts w:ascii="Arial" w:cs="Arial" w:eastAsia="Arial" w:hAnsi="Arial"/>
                <w:sz w:val="18"/>
                <w:szCs w:val="18"/>
                <w:color w:val="auto"/>
              </w:rPr>
              <w:t>Professor</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w w:val="98"/>
              </w:rPr>
              <w:t>Denmark</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1270 København K</w:t>
            </w:r>
          </w:p>
        </w:tc>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80" w:type="dxa"/>
            <w:vAlign w:val="bottom"/>
            <w:gridSpan w:val="3"/>
          </w:tcPr>
          <w:p>
            <w:pPr>
              <w:ind w:left="260"/>
              <w:spacing w:after="0"/>
              <w:rPr>
                <w:sz w:val="20"/>
                <w:szCs w:val="20"/>
                <w:color w:val="auto"/>
              </w:rPr>
            </w:pPr>
            <w:r>
              <w:rPr>
                <w:rFonts w:ascii="Arial" w:cs="Arial" w:eastAsia="Arial" w:hAnsi="Arial"/>
                <w:sz w:val="18"/>
                <w:szCs w:val="18"/>
                <w:color w:val="auto"/>
              </w:rPr>
              <w:t>Denmark</w:t>
            </w:r>
          </w:p>
        </w:tc>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12"/>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2019-12-03T16:59:17Z</dcterms:created>
  <dcterms:modified xsi:type="dcterms:W3CDTF">2019-12-03T16:59:17Z</dcterms:modified>
</cp:coreProperties>
</file>