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5305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3054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717"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Austwick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10/07/2025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717"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71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2"/>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D</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12,712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39"/>
              <w:spacing w:after="0"/>
              <w:rPr>
                <w:sz w:val="20"/>
                <w:szCs w:val="20"/>
                <w:color w:val="auto"/>
              </w:rPr>
            </w:pPr>
            <w:r>
              <w:rPr>
                <w:rFonts w:ascii="Times New Roman" w:cs="Times New Roman" w:eastAsia="Times New Roman" w:hAnsi="Times New Roman"/>
                <w:sz w:val="11"/>
                <w:szCs w:val="11"/>
                <w:color w:val="008000"/>
              </w:rPr>
              <w:t>(2)(3)</w:t>
            </w:r>
          </w:p>
        </w:tc>
        <w:tc>
          <w:tcPr>
            <w:tcW w:w="720" w:type="dxa"/>
            <w:vAlign w:val="bottom"/>
            <w:tcBorders>
              <w:bottom w:val="single" w:sz="8" w:color="2C2C2C"/>
            </w:tcBorders>
            <w:gridSpan w:val="2"/>
          </w:tcPr>
          <w:p>
            <w:pPr>
              <w:jc w:val="center"/>
              <w:ind w:left="535"/>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72,000</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19"/>
              <w:spacing w:after="0"/>
              <w:rPr>
                <w:sz w:val="20"/>
                <w:szCs w:val="20"/>
                <w:color w:val="auto"/>
              </w:rPr>
            </w:pPr>
            <w:r>
              <w:rPr>
                <w:rFonts w:ascii="Times New Roman" w:cs="Times New Roman" w:eastAsia="Times New Roman" w:hAnsi="Times New Roman"/>
                <w:sz w:val="11"/>
                <w:szCs w:val="11"/>
                <w:color w:val="008000"/>
                <w:w w:val="93"/>
              </w:rPr>
              <w:t>(4)</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72,000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D</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72,000</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19"/>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tcBorders>
              <w:bottom w:val="single" w:sz="8" w:color="2C2C2C"/>
            </w:tcBorders>
            <w:gridSpan w:val="2"/>
          </w:tcPr>
          <w:p>
            <w:pPr>
              <w:jc w:val="center"/>
              <w:ind w:left="535"/>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jc w:val="right"/>
              <w:ind w:right="59"/>
              <w:spacing w:after="0"/>
              <w:rPr>
                <w:sz w:val="20"/>
                <w:szCs w:val="20"/>
                <w:color w:val="auto"/>
              </w:rPr>
            </w:pPr>
            <w:r>
              <w:rPr>
                <w:rFonts w:ascii="Times New Roman" w:cs="Times New Roman" w:eastAsia="Times New Roman" w:hAnsi="Times New Roman"/>
                <w:sz w:val="17"/>
                <w:szCs w:val="17"/>
                <w:color w:val="0000FF"/>
              </w:rPr>
              <w:t>72,000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10/07/2025</w:t>
            </w:r>
          </w:p>
        </w:tc>
        <w:tc>
          <w:tcPr>
            <w:tcW w:w="1080" w:type="dxa"/>
            <w:vAlign w:val="bottom"/>
          </w:tcPr>
          <w:p>
            <w:pPr>
              <w:spacing w:after="0"/>
              <w:rPr>
                <w:sz w:val="5"/>
                <w:szCs w:val="5"/>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right"/>
              <w:ind w:right="102"/>
              <w:spacing w:after="0"/>
              <w:rPr>
                <w:sz w:val="20"/>
                <w:szCs w:val="20"/>
                <w:color w:val="auto"/>
              </w:rPr>
            </w:pPr>
            <w:r>
              <w:rPr>
                <w:rFonts w:ascii="Times New Roman" w:cs="Times New Roman" w:eastAsia="Times New Roman" w:hAnsi="Times New Roman"/>
                <w:sz w:val="13"/>
                <w:szCs w:val="13"/>
                <w:color w:val="0000FF"/>
              </w:rPr>
              <w:t>72,000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5"/>
                <w:szCs w:val="5"/>
                <w:color w:val="auto"/>
              </w:rPr>
            </w:pPr>
          </w:p>
        </w:tc>
        <w:tc>
          <w:tcPr>
            <w:tcW w:w="480" w:type="dxa"/>
            <w:vAlign w:val="bottom"/>
            <w:vMerge w:val="restart"/>
          </w:tcPr>
          <w:p>
            <w:pPr>
              <w:jc w:val="right"/>
              <w:ind w:right="234"/>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60" w:type="dxa"/>
            <w:vAlign w:val="bottom"/>
            <w:gridSpan w:val="2"/>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8"/>
                <w:szCs w:val="18"/>
                <w:color w:val="008000"/>
                <w:vertAlign w:val="superscript"/>
              </w:rPr>
              <w:t>(1)</w:t>
            </w:r>
          </w:p>
        </w:tc>
        <w:tc>
          <w:tcPr>
            <w:tcW w:w="6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00" w:type="dxa"/>
            <w:vAlign w:val="bottom"/>
            <w:gridSpan w:val="2"/>
          </w:tcPr>
          <w:p>
            <w:pPr>
              <w:jc w:val="right"/>
              <w:ind w:right="214"/>
              <w:spacing w:after="0" w:line="81" w:lineRule="exact"/>
              <w:rPr>
                <w:sz w:val="20"/>
                <w:szCs w:val="20"/>
                <w:color w:val="auto"/>
              </w:rPr>
            </w:pPr>
            <w:r>
              <w:rPr>
                <w:rFonts w:ascii="Times New Roman" w:cs="Times New Roman" w:eastAsia="Times New Roman" w:hAnsi="Times New Roman"/>
                <w:sz w:val="8"/>
                <w:szCs w:val="8"/>
                <w:color w:val="008000"/>
              </w:rPr>
              <w:t>(5)</w:t>
            </w:r>
          </w:p>
        </w:tc>
        <w:tc>
          <w:tcPr>
            <w:tcW w:w="7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ind w:righ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2.2938</w:t>
            </w:r>
          </w:p>
        </w:tc>
        <w:tc>
          <w:tcPr>
            <w:tcW w:w="10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right"/>
              <w:ind w:right="62"/>
              <w:spacing w:after="0"/>
              <w:rPr>
                <w:sz w:val="20"/>
                <w:szCs w:val="20"/>
                <w:color w:val="auto"/>
              </w:rPr>
            </w:pPr>
            <w:r>
              <w:rPr>
                <w:rFonts w:ascii="Times New Roman" w:cs="Times New Roman" w:eastAsia="Times New Roman" w:hAnsi="Times New Roman"/>
                <w:sz w:val="13"/>
                <w:szCs w:val="13"/>
                <w:color w:val="0000FF"/>
              </w:rPr>
              <w:t>144,000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01/31/2034</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right"/>
              <w:ind w:right="19"/>
              <w:spacing w:after="0"/>
              <w:rPr>
                <w:sz w:val="20"/>
                <w:szCs w:val="20"/>
                <w:color w:val="auto"/>
              </w:rPr>
            </w:pPr>
            <w:r>
              <w:rPr>
                <w:rFonts w:ascii="Times New Roman" w:cs="Times New Roman" w:eastAsia="Times New Roman" w:hAnsi="Times New Roman"/>
                <w:sz w:val="17"/>
                <w:szCs w:val="17"/>
                <w:color w:val="0000FF"/>
                <w:w w:val="94"/>
              </w:rPr>
              <w:t>144,000</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(1)</w:t>
            </w: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jc w:val="both"/>
        <w:ind w:left="40" w:right="2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Ordinary Shares of the Issuer acquired from the Reporting Person by means of a scheme of arrangement (the "Scheme of Arrangement") under Part 26 of the UK Companies Act 2006, pursuant to a transaction agreement, dated as of July 8, 2025 (the "Transaction Agreement"), by and among the Issuer, Merck Sharp &amp; Dohme LLC, a New Jersey limited liability company ("Parent") and Vol Holdings LLC, a Delaware limited liability company and wholly owned subsidiary of Parent ("Bidco").</w:t>
      </w:r>
    </w:p>
    <w:p>
      <w:pPr>
        <w:spacing w:after="0" w:line="26"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of the Scheme of Arrangement (the "Effective Time"), each holder of the Scheme Shares (as defined in the Scheme of Arrangement) became entitled to receive $13.375 in cash per Scheme Share, without interest and net of any applicable withholding taxes. Because each ADS represents a beneficial ownership interest in eight (8) Ordinary Shares of the Issuer, holders of ADSs as of the Effective Time became entitled to receive eight (8) times the foregoing cash amount, or $107 in cash, without interest and net of any applicable withholding taxes, per ADS (the "ADS Consideration").</w:t>
      </w:r>
    </w:p>
    <w:p>
      <w:pPr>
        <w:spacing w:after="0" w:line="26" w:lineRule="exact"/>
        <w:rPr>
          <w:rFonts w:ascii="Times New Roman" w:cs="Times New Roman" w:eastAsia="Times New Roman" w:hAnsi="Times New Roman"/>
          <w:sz w:val="13"/>
          <w:szCs w:val="13"/>
          <w:color w:val="008000"/>
        </w:rPr>
      </w:pPr>
    </w:p>
    <w:p>
      <w:pPr>
        <w:ind w:left="40" w:right="4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Transaction Agreement, immediately prior to the Effective Time, each outstanding time-based restricted share unit award ("RSU Award"), unless agreed otherwise, became fully vested, and at the Effective Time, was automatically converted into the right to receive an amount in cash (without interest and subject to all required withholding taxes) equal to the product of (i) the aggregate number of ADSs underlying such RSU Award and (ii) the ADS Consideration.</w:t>
      </w:r>
    </w:p>
    <w:p>
      <w:pPr>
        <w:spacing w:after="0" w:line="26"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9"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Transaction Agreement, immediately prior to the Effective Time, each outstanding share option became fully vested, to the extent unvested, and at the Effective Time, each share option that had an exercise price less than the ADS Consideration was automatically converted into the right to receive an amount in cash equal to the product of (i) the aggregate number of ADSs underlying such share option and (ii) the excess, if any, of (a) an amount equal to the ADS Consideration over (b) the exercise price of such share option.</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Andrew Fisher, Attorney-in-  </w:t>
      </w:r>
      <w:r>
        <w:rPr>
          <w:rFonts w:ascii="Times New Roman" w:cs="Times New Roman" w:eastAsia="Times New Roman" w:hAnsi="Times New Roman"/>
          <w:sz w:val="31"/>
          <w:szCs w:val="31"/>
          <w:color w:val="0000FF"/>
          <w:vertAlign w:val="subscript"/>
        </w:rPr>
        <w:t>10/08/2025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Michael Austwick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106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61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09903"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2025-10-08T15:43:23Z</dcterms:created>
  <dcterms:modified xsi:type="dcterms:W3CDTF">2025-10-08T15:43:23Z</dcterms:modified>
</cp:coreProperties>
</file>