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Ullman Anders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357,712</w:t>
            </w:r>
            <w:r>
              <w:rPr>
                <w:rFonts w:ascii="Arial" w:cs="Arial" w:eastAsia="Arial" w:hAnsi="Arial"/>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58,000 Ordinary Shares underlying Restricted Share Units, each of which represents a contingent right to receive one (1) Ordinary Share of the Issuer (which may be represented by 7,250 American Depositary Shares ("ADSs")); and (ii) 299,712 Ordinary Shares underlying 37,464 ADSs.</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each of which represents eight (8) Ordinary Shares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8"/>
              </w:rPr>
              <w:t>in-fact for Anders Ullman</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December,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Anders Ullman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 Name:Anders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15875</wp:posOffset>
            </wp:positionV>
            <wp:extent cx="2887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-145415</wp:posOffset>
            </wp:positionV>
            <wp:extent cx="28873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36816"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2021-01-04T19:29:51Z</dcterms:created>
  <dcterms:modified xsi:type="dcterms:W3CDTF">2021-01-04T19:29:51Z</dcterms:modified>
</cp:coreProperties>
</file>