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001-39067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37"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299"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1209675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August 5, 2021, Verona Pharma plc (the “Company”) announced its financial results for the quarter ended June 30, 2021. The full text of the press release issued in connection with the announcement is furnished as Exhibit 99.1 to this Current Report on Form 8-K.</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rFonts w:ascii="Arial" w:cs="Arial" w:eastAsia="Arial" w:hAnsi="Arial"/>
          <w:sz w:val="15"/>
          <w:szCs w:val="15"/>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hyperlink w:anchor="page5">
        <w:r>
          <w:rPr>
            <w:rFonts w:ascii="Arial" w:cs="Arial" w:eastAsia="Arial" w:hAnsi="Arial"/>
            <w:sz w:val="15"/>
            <w:szCs w:val="15"/>
            <w:color w:val="0000FF"/>
          </w:rPr>
          <w:t>Press Release issued on August 5, 2021</w:t>
        </w:r>
      </w:hyperlink>
    </w:p>
    <w:p>
      <w:pPr>
        <w:spacing w:after="0" w:line="63"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20" w:type="dxa"/>
            <w:vAlign w:val="bottom"/>
            <w:gridSpan w:val="2"/>
          </w:tcPr>
          <w:p>
            <w:pPr>
              <w:ind w:left="206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600" w:type="dxa"/>
            <w:vAlign w:val="bottom"/>
          </w:tcPr>
          <w:p>
            <w:pPr>
              <w:spacing w:after="0"/>
              <w:rPr>
                <w:sz w:val="20"/>
                <w:szCs w:val="20"/>
                <w:color w:val="auto"/>
              </w:rPr>
            </w:pPr>
            <w:r>
              <w:rPr>
                <w:rFonts w:ascii="Arial" w:cs="Arial" w:eastAsia="Arial" w:hAnsi="Arial"/>
                <w:sz w:val="18"/>
                <w:szCs w:val="18"/>
                <w:color w:val="auto"/>
              </w:rPr>
              <w:t>Date: August 5, 2021</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740" w:type="dxa"/>
            <w:vAlign w:val="bottom"/>
            <w:vMerge w:val="restart"/>
          </w:tcPr>
          <w:p>
            <w:pPr>
              <w:ind w:left="206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Verona Pharma Reports Second Quarter 2021 Financial Results and Provides Corporate Update</w:t>
      </w:r>
    </w:p>
    <w:p>
      <w:pPr>
        <w:spacing w:after="0" w:line="122" w:lineRule="exact"/>
        <w:rPr>
          <w:sz w:val="20"/>
          <w:szCs w:val="20"/>
          <w:color w:val="auto"/>
        </w:rPr>
      </w:pPr>
    </w:p>
    <w:p>
      <w:pPr>
        <w:jc w:val="center"/>
        <w:spacing w:after="0" w:line="359" w:lineRule="auto"/>
        <w:rPr>
          <w:sz w:val="20"/>
          <w:szCs w:val="20"/>
          <w:color w:val="auto"/>
        </w:rPr>
      </w:pPr>
      <w:r>
        <w:rPr>
          <w:rFonts w:ascii="Arial" w:cs="Arial" w:eastAsia="Arial" w:hAnsi="Arial"/>
          <w:sz w:val="22"/>
          <w:szCs w:val="22"/>
          <w:i w:val="1"/>
          <w:iCs w:val="1"/>
          <w:color w:val="auto"/>
        </w:rPr>
        <w:t>ENHANCE Phase 3 program on track to report top-line data in 2022 Up to $219 million strategic collaboration with Nuance Pharma in Greater China Conference call today at 8:30 a.m. EDT / 1:30 p.m. BST</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LONDON and RALEIGH, N.C., August 5, 2021 </w:t>
      </w:r>
      <w:r>
        <w:rPr>
          <w:rFonts w:ascii="Arial" w:cs="Arial" w:eastAsia="Arial" w:hAnsi="Arial"/>
          <w:sz w:val="20"/>
          <w:szCs w:val="20"/>
          <w:color w:val="auto"/>
        </w:rPr>
        <w:t>– Verona Pharma plc (Nasdaq: VRNA) (“Verona Pharma” or the “Company”),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focused on respiratory diseases, announces its financial results for the three months ended June 30, 2021, and provides a corporate update.</w:t>
      </w:r>
    </w:p>
    <w:p>
      <w:pPr>
        <w:spacing w:after="0" w:line="87" w:lineRule="exact"/>
        <w:rPr>
          <w:sz w:val="20"/>
          <w:szCs w:val="20"/>
          <w:color w:val="auto"/>
        </w:rPr>
      </w:pPr>
    </w:p>
    <w:p>
      <w:pPr>
        <w:jc w:val="both"/>
        <w:spacing w:after="0"/>
        <w:rPr>
          <w:sz w:val="20"/>
          <w:szCs w:val="20"/>
          <w:color w:val="auto"/>
        </w:rPr>
      </w:pPr>
      <w:r>
        <w:rPr>
          <w:rFonts w:ascii="Arial" w:cs="Arial" w:eastAsia="Arial" w:hAnsi="Arial"/>
          <w:sz w:val="20"/>
          <w:szCs w:val="20"/>
          <w:color w:val="auto"/>
        </w:rPr>
        <w:t>“During the second quarter, we continued steady progress on patient recruitment in our Phase 3 ENHANCE (“Ensifentrine as a Novel inHAled Nebulized COPD thErapy”) clinical program,” said David Zaccardelli, Pharm. D., President and Chief Executive Officer. “Patient enrollment in both ENHANCE-1 and ENHANCE-2 continues across our international clinical trial sites. Over the past quarter, numerous COVID-19 related challenges, including new variants and increased infection and hospitalization rates across a number of countries, have put pressure on our recruitment timelines. We have implemented various mitigation strategies to address these challenges. Based on our current models, our projections for reporting top-line data are in-line with previous guidance, with ENHANCE-2 expected to report in the first half of 2022 and ENHANCE-1 in the second half of 2022. Should COVID-19 related challenges continue to increase, we predict top-line data would be expected in the third quarter of 2022 from ENHANCE-2 and the fourth quarter of 2022 from ENHANCE-1.</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our clinical progress, we are pleased to have executed on our strategy to partner ensifentrine outside the US. In June, we announced a strategic collaboration with Nuance Pharma, a Shanghai-based specialty pharmaceutical company, with a potential value of up to $219 million, to which we granted the rights to develop and commercialize ensifentrine in Greater China. The collaboration highlights ensifentrine’s potential clinical value to respiratory patients globally and provides us with additional funds to support our efforts to develop and bring ensifentrine to patients in need. Nuance Pharma intends to meet with China’s National Medical Products Administration to develop a plan to file an Investigational New Drug application for the treatment of COPD and we look forward to reporting on the progress.”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of the end of July, ENHANCE-2 had 63% of patients randomized into the study. Including those patients currently entered in the run-in period, we expect ENHANCE-2 to be approximately 70% enrolled by the end of August. Additionally, at the end of July, the 48-week subset in ENHANCE-1 had 70% of patients randomized into the study. Including those patients currently entered in the run-in period, we expect the 48-week subset in ENHANCE-1 to be approximately 80% enrolled by the end of August. Completing recruitment of the 48-week subset in ENHANCE-1 is a critical driver of the timeline for reporting top-line data from the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The Company’s near-term milestones include:</w:t>
      </w:r>
    </w:p>
    <w:p>
      <w:pPr>
        <w:spacing w:after="0" w:line="108" w:lineRule="exact"/>
        <w:rPr>
          <w:sz w:val="20"/>
          <w:szCs w:val="20"/>
          <w:color w:val="auto"/>
        </w:rPr>
      </w:pPr>
    </w:p>
    <w:p>
      <w:pPr>
        <w:jc w:val="both"/>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September, the Company will present an abstract describing the results of a study that assessed the effect of fluconazole on the pharmacokinetics of ensifentrine in healthy individuals at the European Respiratory Society International Congress (“ERS”) 2021.</w:t>
      </w:r>
    </w:p>
    <w:p>
      <w:pPr>
        <w:spacing w:after="0" w:line="97" w:lineRule="exact"/>
        <w:rPr>
          <w:rFonts w:ascii="Arial" w:cs="Arial" w:eastAsia="Arial" w:hAnsi="Arial"/>
          <w:sz w:val="20"/>
          <w:szCs w:val="20"/>
          <w:color w:val="auto"/>
        </w:rPr>
      </w:pPr>
    </w:p>
    <w:p>
      <w:pPr>
        <w:jc w:val="both"/>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October, the Company will present an abstract at CHEST Annual Meeting 2021: a follow-up from Verona Pharma’s Phase 2 trial investigating the pressurized metered-dose inhaler (“pMDI”) formulation of ensifentrine in COPD, which was reported in February 2021.</w:t>
      </w:r>
    </w:p>
    <w:p>
      <w:pPr>
        <w:spacing w:after="0" w:line="97"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Based on our current models of forecasted recruitment and study progress, ENHANCE-2 is expected to report top-line data in the first half of 2022 and ENHANCE-1 in the second half of 2022. Should COVID-19 related challenges continue to increase, our models predict top-line data would be expected in the third quarter of 2022 from ENHANCE-2 and the fourth quarter of 2022 from ENHANCE-1. With the COVID-19 pandemic and government and other measures continuing to impact a number of clinical trial activities, the Company continues to closely monitor these timelines.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232323"/>
        </w:rPr>
        <w:t>Second Quarter and Recent Highlights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132" w:lineRule="exact"/>
        <w:rPr>
          <w:sz w:val="20"/>
          <w:szCs w:val="20"/>
          <w:color w:val="auto"/>
        </w:rPr>
      </w:pPr>
    </w:p>
    <w:p>
      <w:pPr>
        <w:jc w:val="both"/>
        <w:ind w:left="660" w:hanging="328"/>
        <w:spacing w:after="0"/>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In May 2021, three abstracts highlighting new analyses from Phase 2b clinical trials with nebulized ensifentrine for the treatment of COPD were presented at the American Thoracic Society International Conference (“ATS”) 2021. The abstracts were published on the ATS website and in the peer reviewed publication, </w:t>
      </w:r>
      <w:r>
        <w:rPr>
          <w:rFonts w:ascii="Arial" w:cs="Arial" w:eastAsia="Arial" w:hAnsi="Arial"/>
          <w:sz w:val="20"/>
          <w:szCs w:val="20"/>
          <w:i w:val="1"/>
          <w:iCs w:val="1"/>
          <w:color w:val="auto"/>
        </w:rPr>
        <w:t>American Journal of Respiratory and</w:t>
      </w:r>
      <w:r>
        <w:rPr>
          <w:rFonts w:ascii="Arial" w:cs="Arial" w:eastAsia="Arial" w:hAnsi="Arial"/>
          <w:sz w:val="20"/>
          <w:szCs w:val="20"/>
          <w:color w:val="auto"/>
        </w:rPr>
        <w:t xml:space="preserve"> </w:t>
      </w:r>
      <w:r>
        <w:rPr>
          <w:rFonts w:ascii="Arial" w:cs="Arial" w:eastAsia="Arial" w:hAnsi="Arial"/>
          <w:sz w:val="20"/>
          <w:szCs w:val="20"/>
          <w:i w:val="1"/>
          <w:iCs w:val="1"/>
          <w:color w:val="auto"/>
        </w:rPr>
        <w:t>Critical Care Medicine</w:t>
      </w:r>
      <w:r>
        <w:rPr>
          <w:rFonts w:ascii="Arial" w:cs="Arial" w:eastAsia="Arial" w:hAnsi="Arial"/>
          <w:sz w:val="20"/>
          <w:szCs w:val="20"/>
          <w:color w:val="auto"/>
        </w:rPr>
        <w:t>. The new subgroup analysis demonstrated the positive effect of ensifentrine on severe and</w:t>
      </w:r>
      <w:r>
        <w:rPr>
          <w:rFonts w:ascii="Arial" w:cs="Arial" w:eastAsia="Arial" w:hAnsi="Arial"/>
          <w:sz w:val="20"/>
          <w:szCs w:val="20"/>
          <w:i w:val="1"/>
          <w:iCs w:val="1"/>
          <w:color w:val="auto"/>
        </w:rPr>
        <w:t xml:space="preserve"> </w:t>
      </w:r>
      <w:r>
        <w:rPr>
          <w:rFonts w:ascii="Arial" w:cs="Arial" w:eastAsia="Arial" w:hAnsi="Arial"/>
          <w:sz w:val="20"/>
          <w:szCs w:val="20"/>
          <w:color w:val="auto"/>
        </w:rPr>
        <w:t>moderate COPD subgroups from the 4-week Phase 2b study first reported by the Company in January 2020 with nebulized ensifentrine as a maintenance treatment for COPD</w:t>
      </w:r>
      <w:r>
        <w:rPr>
          <w:rFonts w:ascii="Arial" w:cs="Arial" w:eastAsia="Arial" w:hAnsi="Arial"/>
          <w:sz w:val="20"/>
          <w:szCs w:val="20"/>
          <w:color w:val="232323"/>
        </w:rPr>
        <w:t>.</w:t>
      </w:r>
    </w:p>
    <w:p>
      <w:pPr>
        <w:spacing w:after="0" w:line="105" w:lineRule="exact"/>
        <w:rPr>
          <w:rFonts w:ascii="Arial" w:cs="Arial" w:eastAsia="Arial" w:hAnsi="Arial"/>
          <w:sz w:val="20"/>
          <w:szCs w:val="20"/>
          <w:color w:val="auto"/>
        </w:rPr>
      </w:pPr>
    </w:p>
    <w:p>
      <w:pPr>
        <w:jc w:val="both"/>
        <w:ind w:left="660" w:hanging="328"/>
        <w:spacing w:after="0"/>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232323"/>
        </w:rPr>
        <w:t xml:space="preserve">In April 2021, the Company published its Phase 2b clinical results with nebulized ensifentrine added on to maintenance bronchodilator therapy in symptomatic COPD patients in the peer reviewed journal, </w:t>
      </w:r>
      <w:r>
        <w:rPr>
          <w:rFonts w:ascii="Arial" w:cs="Arial" w:eastAsia="Arial" w:hAnsi="Arial"/>
          <w:sz w:val="20"/>
          <w:szCs w:val="20"/>
          <w:i w:val="1"/>
          <w:iCs w:val="1"/>
          <w:color w:val="232323"/>
        </w:rPr>
        <w:t>International Journal of Chronic</w:t>
      </w:r>
      <w:r>
        <w:rPr>
          <w:rFonts w:ascii="Arial" w:cs="Arial" w:eastAsia="Arial" w:hAnsi="Arial"/>
          <w:sz w:val="20"/>
          <w:szCs w:val="20"/>
          <w:color w:val="232323"/>
        </w:rPr>
        <w:t xml:space="preserve"> </w:t>
      </w:r>
      <w:r>
        <w:rPr>
          <w:rFonts w:ascii="Arial" w:cs="Arial" w:eastAsia="Arial" w:hAnsi="Arial"/>
          <w:sz w:val="20"/>
          <w:szCs w:val="20"/>
          <w:i w:val="1"/>
          <w:iCs w:val="1"/>
          <w:color w:val="232323"/>
        </w:rPr>
        <w:t>Obstructive Pulmonary Disease</w:t>
      </w:r>
      <w:r>
        <w:rPr>
          <w:rFonts w:ascii="Arial" w:cs="Arial" w:eastAsia="Arial" w:hAnsi="Arial"/>
          <w:sz w:val="20"/>
          <w:szCs w:val="20"/>
          <w:color w:val="232323"/>
        </w:rPr>
        <w:t>. The 416-patient study, reported in January 2020, was the second of two large Phase 2b</w:t>
      </w:r>
      <w:r>
        <w:rPr>
          <w:rFonts w:ascii="Arial" w:cs="Arial" w:eastAsia="Arial" w:hAnsi="Arial"/>
          <w:sz w:val="20"/>
          <w:szCs w:val="20"/>
          <w:i w:val="1"/>
          <w:iCs w:val="1"/>
          <w:color w:val="232323"/>
        </w:rPr>
        <w:t xml:space="preserve"> </w:t>
      </w:r>
      <w:r>
        <w:rPr>
          <w:rFonts w:ascii="Arial" w:cs="Arial" w:eastAsia="Arial" w:hAnsi="Arial"/>
          <w:sz w:val="20"/>
          <w:szCs w:val="20"/>
          <w:color w:val="232323"/>
        </w:rPr>
        <w:t>trials with nebulized ensifentrine for this indication. The study met its primary endpoint demonstrating that ensifentrine produced clinically and statistically significant dose-dependent improvements in lung function at all doses. In addition, clinically relevant secondary endpoints were met including statistically significant and clinically meaningful improvements in quality of life.</w:t>
      </w:r>
    </w:p>
    <w:p>
      <w:pPr>
        <w:spacing w:after="0" w:line="104"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April 2021, the Company reported results from its pilot study in patients hospitalized with COVID-19 with a pMDI formulation of ensifentrine demonstrating ensifentrine added on to standard of care was well tolerated. The study was not powered to identify statistically significant efficacy outcomes and no clinical efficacy benefit with ensifentrine added on to standard of care was observed. The Company does not plan to conduct further studies of ensifentrine in the treatment of COVID-19.</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Corporate</w:t>
      </w:r>
    </w:p>
    <w:p>
      <w:pPr>
        <w:spacing w:after="0" w:line="132" w:lineRule="exact"/>
        <w:rPr>
          <w:sz w:val="20"/>
          <w:szCs w:val="20"/>
          <w:color w:val="auto"/>
        </w:rPr>
      </w:pPr>
    </w:p>
    <w:p>
      <w:pPr>
        <w:jc w:val="both"/>
        <w:ind w:left="66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In June 2021, Verona Pharma and Nuance Pharma entered into a $219.0 million strategic collaboration to develop and commercialize ensifentrine in Greater China. Under the terms of the agreement, </w:t>
      </w:r>
      <w:r>
        <w:rPr>
          <w:rFonts w:ascii="Arial" w:cs="Arial" w:eastAsia="Arial" w:hAnsi="Arial"/>
          <w:sz w:val="20"/>
          <w:szCs w:val="20"/>
          <w:color w:val="232323"/>
        </w:rPr>
        <w:t>Verona Pharma granted Nuance</w:t>
      </w:r>
      <w:r>
        <w:rPr>
          <w:rFonts w:ascii="Arial" w:cs="Arial" w:eastAsia="Arial" w:hAnsi="Arial"/>
          <w:sz w:val="20"/>
          <w:szCs w:val="20"/>
          <w:color w:val="auto"/>
        </w:rPr>
        <w:t xml:space="preserve"> </w:t>
      </w:r>
      <w:r>
        <w:rPr>
          <w:rFonts w:ascii="Arial" w:cs="Arial" w:eastAsia="Arial" w:hAnsi="Arial"/>
          <w:sz w:val="20"/>
          <w:szCs w:val="20"/>
          <w:color w:val="232323"/>
        </w:rPr>
        <w:t>Pharma the exclusive rights to develop and commercialize ensifentrine in Greater China. In return, Verona Pharma received an aggregate $40.0 million upfront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6" w:name="page7"/>
    <w:bookmarkEnd w:id="6"/>
    <w:p>
      <w:pPr>
        <w:jc w:val="both"/>
        <w:ind w:left="660"/>
        <w:spacing w:after="0" w:line="241" w:lineRule="auto"/>
        <w:rPr>
          <w:sz w:val="20"/>
          <w:szCs w:val="20"/>
          <w:color w:val="auto"/>
        </w:rPr>
      </w:pPr>
      <w:r>
        <w:rPr>
          <w:rFonts w:ascii="Arial" w:cs="Arial" w:eastAsia="Arial" w:hAnsi="Arial"/>
          <w:sz w:val="20"/>
          <w:szCs w:val="20"/>
          <w:color w:val="232323"/>
        </w:rPr>
        <w:t>consisting of $25.0 million in cash and an equity interest valued at $15.0 million in Nuance Biotech, the parent company of Nuance Pharma, as of June 9, 2021. Verona Pharma is eligible to receive future milestone payments of up to $179.0 million, triggered upon achievement of certain clinical, regulatory, and commercial milestones as well as tiered double-digit royalties on net sales in Greater China.</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108" w:lineRule="exact"/>
        <w:rPr>
          <w:sz w:val="20"/>
          <w:szCs w:val="20"/>
          <w:color w:val="auto"/>
        </w:rPr>
      </w:pPr>
    </w:p>
    <w:p>
      <w:pPr>
        <w:jc w:val="both"/>
        <w:ind w:left="660" w:hanging="328"/>
        <w:spacing w:after="0" w:line="24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June 30, 2021, were $146.0 million (March 31, 2021: $169.6 million). In</w:t>
      </w:r>
      <w:r>
        <w:rPr>
          <w:rFonts w:ascii="Arial" w:cs="Arial" w:eastAsia="Arial" w:hAnsi="Arial"/>
          <w:sz w:val="20"/>
          <w:szCs w:val="20"/>
          <w:b w:val="1"/>
          <w:bCs w:val="1"/>
          <w:color w:val="auto"/>
        </w:rPr>
        <w:t xml:space="preserve"> </w:t>
      </w:r>
      <w:r>
        <w:rPr>
          <w:rFonts w:ascii="Arial" w:cs="Arial" w:eastAsia="Arial" w:hAnsi="Arial"/>
          <w:sz w:val="20"/>
          <w:szCs w:val="20"/>
          <w:color w:val="auto"/>
        </w:rPr>
        <w:t>July 2021, the Company received the $25.0 million upfront payment from Nuance Pharma and $8.0 million in a U.K. tax credit. The Company believes our cash and cash equivalents at June 30, 2021, together with the recently received $25.0 million Nuance payment, the recent and anticipated future receipts from the U.K. tax credit program and funding expected to become available under the $30.0 million debt financing facility secured in November 2020 will enable us to fund our planned operating expenses and capital expenditure requirements through at least 2023.</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$20.6 million for the second quarter ended June</w:t>
      </w:r>
    </w:p>
    <w:p>
      <w:pPr>
        <w:spacing w:after="0" w:line="2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20"/>
          <w:szCs w:val="20"/>
          <w:color w:val="auto"/>
        </w:rPr>
        <w:t>30, 2021 (Q2 2020: R&amp;D expenses $7.8 million). The increase of $12.8 million was primarily due to costs associated with the Phase 3 ENHANCE program as well as an increase in share-based compensation charges.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b w:val="1"/>
          <w:bCs w:val="1"/>
          <w:color w:val="auto"/>
        </w:rPr>
        <w:t xml:space="preserve">G&amp;A Expenses: </w:t>
      </w:r>
      <w:r>
        <w:rPr>
          <w:rFonts w:ascii="Arial" w:cs="Arial" w:eastAsia="Arial" w:hAnsi="Arial"/>
          <w:sz w:val="19"/>
          <w:szCs w:val="19"/>
          <w:color w:val="auto"/>
        </w:rPr>
        <w:t>General and administrative expenses (“G&amp;A”) were $8.0 million for the second quarter ended June 30,</w:t>
      </w:r>
    </w:p>
    <w:p>
      <w:pPr>
        <w:spacing w:after="0" w:line="35" w:lineRule="exact"/>
        <w:rPr>
          <w:rFonts w:ascii="Arial" w:cs="Arial" w:eastAsia="Arial" w:hAnsi="Arial"/>
          <w:sz w:val="17"/>
          <w:szCs w:val="17"/>
          <w:color w:val="auto"/>
        </w:rPr>
      </w:pPr>
    </w:p>
    <w:p>
      <w:pPr>
        <w:ind w:left="660"/>
        <w:spacing w:after="0" w:line="246" w:lineRule="auto"/>
        <w:rPr>
          <w:rFonts w:ascii="Arial" w:cs="Arial" w:eastAsia="Arial" w:hAnsi="Arial"/>
          <w:sz w:val="17"/>
          <w:szCs w:val="17"/>
          <w:color w:val="auto"/>
        </w:rPr>
      </w:pPr>
      <w:r>
        <w:rPr>
          <w:rFonts w:ascii="Arial" w:cs="Arial" w:eastAsia="Arial" w:hAnsi="Arial"/>
          <w:sz w:val="20"/>
          <w:szCs w:val="20"/>
          <w:color w:val="auto"/>
        </w:rPr>
        <w:t>2021 (Q2 2020: G&amp;A expenses $3.2 million). This increase of $4.8 million was driven primarily by an increase in share-based compensation charges, partially offset by executive change costs in 2020.</w:t>
      </w:r>
    </w:p>
    <w:p>
      <w:pPr>
        <w:spacing w:after="0" w:line="71" w:lineRule="exact"/>
        <w:rPr>
          <w:rFonts w:ascii="Arial" w:cs="Arial" w:eastAsia="Arial" w:hAnsi="Arial"/>
          <w:sz w:val="17"/>
          <w:szCs w:val="17"/>
          <w:color w:val="auto"/>
        </w:rPr>
      </w:pPr>
    </w:p>
    <w:p>
      <w:pPr>
        <w:ind w:left="660" w:hanging="328"/>
        <w:spacing w:after="0" w:line="27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$22.1 million for the second quarter ended June 30, 2021 (Q2 2020: net loss $9.0 million)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net cash used in operating activities for the quarter was $20.2 million.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Conference Call and Webcast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Verona Pharma will host an investment community conference call at 8:30 a.m. EDT /</w:t>
      </w:r>
    </w:p>
    <w:p>
      <w:pPr>
        <w:spacing w:after="0"/>
        <w:rPr>
          <w:sz w:val="20"/>
          <w:szCs w:val="20"/>
          <w:color w:val="auto"/>
        </w:rPr>
      </w:pPr>
      <w:r>
        <w:rPr>
          <w:rFonts w:ascii="Arial" w:cs="Arial" w:eastAsia="Arial" w:hAnsi="Arial"/>
          <w:sz w:val="20"/>
          <w:szCs w:val="20"/>
          <w:color w:val="auto"/>
        </w:rPr>
        <w:t>1:30 p.m. BST on Thursday, August 5, 2021 to discuss the second quarter 2021 financial results and the corporate update.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Analysts and investors may participate by dialing one of the following numbers and reference conference ID 8333487:</w:t>
      </w:r>
    </w:p>
    <w:p>
      <w:pPr>
        <w:spacing w:after="0" w:line="135" w:lineRule="exact"/>
        <w:rPr>
          <w:sz w:val="20"/>
          <w:szCs w:val="20"/>
          <w:color w:val="auto"/>
        </w:rPr>
      </w:pPr>
    </w:p>
    <w:p>
      <w:pPr>
        <w:ind w:left="460" w:hanging="128"/>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1 +1-888-317-6003 for callers in the United States</w:t>
      </w:r>
    </w:p>
    <w:p>
      <w:pPr>
        <w:spacing w:after="0" w:line="40" w:lineRule="exact"/>
        <w:rPr>
          <w:rFonts w:ascii="Arial" w:cs="Arial" w:eastAsia="Arial" w:hAnsi="Arial"/>
          <w:sz w:val="20"/>
          <w:szCs w:val="20"/>
          <w:color w:val="auto"/>
        </w:rPr>
      </w:pPr>
    </w:p>
    <w:p>
      <w:pPr>
        <w:ind w:left="460" w:hanging="128"/>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2 +1-412-317-6061 for international callers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second quarter 2021 results press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7" w:name="page8"/>
    <w:bookmarkEnd w:id="7"/>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60" w:type="dxa"/>
            <w:vAlign w:val="bottom"/>
            <w:tcBorders>
              <w:left w:val="single" w:sz="8" w:color="F2F2F2"/>
              <w:bottom w:val="single" w:sz="8" w:color="CFCFCF"/>
            </w:tcBorders>
            <w:shd w:val="clear" w:color="auto" w:fill="F2F2F2"/>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220" w:type="dxa"/>
            <w:vAlign w:val="bottom"/>
            <w:tcBorders>
              <w:bottom w:val="single" w:sz="8" w:color="CFCFCF"/>
            </w:tcBorders>
          </w:tcPr>
          <w:p>
            <w:pPr>
              <w:spacing w:after="0"/>
              <w:rPr>
                <w:sz w:val="23"/>
                <w:szCs w:val="23"/>
                <w:color w:val="auto"/>
              </w:rPr>
            </w:pPr>
          </w:p>
        </w:tc>
        <w:tc>
          <w:tcPr>
            <w:tcW w:w="200" w:type="dxa"/>
            <w:vAlign w:val="bottom"/>
            <w:tcBorders>
              <w:bottom w:val="single" w:sz="8" w:color="CFCFCF"/>
            </w:tcBorders>
          </w:tcPr>
          <w:p>
            <w:pPr>
              <w:spacing w:after="0"/>
              <w:rPr>
                <w:sz w:val="23"/>
                <w:szCs w:val="23"/>
                <w:color w:val="auto"/>
              </w:rPr>
            </w:pPr>
          </w:p>
        </w:tc>
        <w:tc>
          <w:tcPr>
            <w:tcW w:w="220" w:type="dxa"/>
            <w:vAlign w:val="bottom"/>
            <w:tcBorders>
              <w:bottom w:val="single" w:sz="8" w:color="CFCFCF"/>
            </w:tcBorders>
          </w:tcPr>
          <w:p>
            <w:pPr>
              <w:spacing w:after="0"/>
              <w:rPr>
                <w:sz w:val="23"/>
                <w:szCs w:val="23"/>
                <w:color w:val="auto"/>
              </w:rPr>
            </w:pPr>
          </w:p>
        </w:tc>
        <w:tc>
          <w:tcPr>
            <w:tcW w:w="2540" w:type="dxa"/>
            <w:vAlign w:val="bottom"/>
            <w:tcBorders>
              <w:bottom w:val="single" w:sz="8" w:color="CFCFCF"/>
            </w:tcBorders>
          </w:tcPr>
          <w:p>
            <w:pPr>
              <w:spacing w:after="0"/>
              <w:rPr>
                <w:sz w:val="23"/>
                <w:szCs w:val="23"/>
                <w:color w:val="auto"/>
              </w:rPr>
            </w:pPr>
          </w:p>
        </w:tc>
      </w:tr>
      <w:tr>
        <w:trPr>
          <w:trHeight w:val="246"/>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Verona Pharma plc</w:t>
            </w:r>
          </w:p>
        </w:tc>
        <w:tc>
          <w:tcPr>
            <w:tcW w:w="5300" w:type="dxa"/>
            <w:vAlign w:val="bottom"/>
            <w:tcBorders>
              <w:left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US Tel: +1-833-417-0262</w:t>
            </w:r>
          </w:p>
        </w:tc>
      </w:tr>
      <w:tr>
        <w:trPr>
          <w:trHeight w:val="237"/>
        </w:trPr>
        <w:tc>
          <w:tcPr>
            <w:tcW w:w="5960" w:type="dxa"/>
            <w:vAlign w:val="bottom"/>
            <w:tcBorders>
              <w:left w:val="single" w:sz="8" w:color="CFCFCF"/>
            </w:tcBorders>
          </w:tcPr>
          <w:p>
            <w:pPr>
              <w:spacing w:after="0"/>
              <w:rPr>
                <w:sz w:val="20"/>
                <w:szCs w:val="20"/>
                <w:color w:val="auto"/>
              </w:rPr>
            </w:pPr>
          </w:p>
        </w:tc>
        <w:tc>
          <w:tcPr>
            <w:tcW w:w="5300" w:type="dxa"/>
            <w:vAlign w:val="bottom"/>
            <w:tcBorders>
              <w:left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UK Tel: +44 (0)203 283 4200</w:t>
            </w: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220" w:type="dxa"/>
            <w:vAlign w:val="bottom"/>
            <w:tcBorders>
              <w:bottom w:val="single" w:sz="8" w:color="CFCFCF"/>
            </w:tcBorders>
          </w:tcPr>
          <w:p>
            <w:pPr>
              <w:spacing w:after="0"/>
              <w:rPr>
                <w:sz w:val="2"/>
                <w:szCs w:val="2"/>
                <w:color w:val="auto"/>
              </w:rPr>
            </w:pPr>
          </w:p>
        </w:tc>
        <w:tc>
          <w:tcPr>
            <w:tcW w:w="20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2540" w:type="dxa"/>
            <w:vAlign w:val="bottom"/>
            <w:tcBorders>
              <w:bottom w:val="single" w:sz="8" w:color="CFCFCF"/>
              <w:right w:val="single" w:sz="8" w:color="CFCFCF"/>
            </w:tcBorders>
          </w:tcPr>
          <w:p>
            <w:pPr>
              <w:spacing w:after="0"/>
              <w:rPr>
                <w:sz w:val="2"/>
                <w:szCs w:val="2"/>
                <w:color w:val="auto"/>
              </w:rPr>
            </w:pPr>
          </w:p>
        </w:tc>
      </w:tr>
      <w:tr>
        <w:trPr>
          <w:trHeight w:val="209"/>
        </w:trPr>
        <w:tc>
          <w:tcPr>
            <w:tcW w:w="5960" w:type="dxa"/>
            <w:vAlign w:val="bottom"/>
            <w:tcBorders>
              <w:left w:val="single" w:sz="8" w:color="CFCFCF"/>
            </w:tcBorders>
          </w:tcPr>
          <w:p>
            <w:pPr>
              <w:ind w:left="120"/>
              <w:spacing w:after="0" w:line="196" w:lineRule="exact"/>
              <w:rPr>
                <w:sz w:val="20"/>
                <w:szCs w:val="20"/>
                <w:color w:val="auto"/>
              </w:rPr>
            </w:pPr>
            <w:r>
              <w:rPr>
                <w:rFonts w:ascii="Arial" w:cs="Arial" w:eastAsia="Arial" w:hAnsi="Arial"/>
                <w:sz w:val="20"/>
                <w:szCs w:val="20"/>
                <w:color w:val="auto"/>
              </w:rPr>
              <w:t>Victoria Stewart, Director of Investor Relations and</w:t>
            </w:r>
          </w:p>
        </w:tc>
        <w:tc>
          <w:tcPr>
            <w:tcW w:w="5300" w:type="dxa"/>
            <w:vAlign w:val="bottom"/>
            <w:tcBorders>
              <w:left w:val="single" w:sz="8" w:color="CFCFCF"/>
              <w:right w:val="single" w:sz="8" w:color="CFCFCF"/>
            </w:tcBorders>
            <w:gridSpan w:val="5"/>
          </w:tcPr>
          <w:p>
            <w:pPr>
              <w:ind w:left="120"/>
              <w:spacing w:after="0" w:line="196" w:lineRule="exact"/>
              <w:rPr>
                <w:sz w:val="20"/>
                <w:szCs w:val="20"/>
                <w:color w:val="auto"/>
              </w:rPr>
            </w:pPr>
            <w:r>
              <w:rPr>
                <w:rFonts w:ascii="Arial" w:cs="Arial" w:eastAsia="Arial" w:hAnsi="Arial"/>
                <w:sz w:val="20"/>
                <w:szCs w:val="20"/>
                <w:color w:val="auto"/>
              </w:rPr>
              <w:t>info@veronapharma.com</w:t>
            </w:r>
          </w:p>
        </w:tc>
      </w:tr>
      <w:tr>
        <w:trPr>
          <w:trHeight w:val="281"/>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Communications</w:t>
            </w:r>
          </w:p>
        </w:tc>
        <w:tc>
          <w:tcPr>
            <w:tcW w:w="120" w:type="dxa"/>
            <w:vAlign w:val="bottom"/>
            <w:tcBorders>
              <w:left w:val="single" w:sz="8" w:color="CFCFCF"/>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right w:val="single" w:sz="8" w:color="CFCFCF"/>
            </w:tcBorders>
          </w:tcPr>
          <w:p>
            <w:pPr>
              <w:spacing w:after="0"/>
              <w:rPr>
                <w:sz w:val="24"/>
                <w:szCs w:val="24"/>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220" w:type="dxa"/>
            <w:vAlign w:val="bottom"/>
            <w:tcBorders>
              <w:bottom w:val="single" w:sz="8" w:color="CFCFCF"/>
            </w:tcBorders>
          </w:tcPr>
          <w:p>
            <w:pPr>
              <w:spacing w:after="0"/>
              <w:rPr>
                <w:sz w:val="2"/>
                <w:szCs w:val="2"/>
                <w:color w:val="auto"/>
              </w:rPr>
            </w:pPr>
          </w:p>
        </w:tc>
        <w:tc>
          <w:tcPr>
            <w:tcW w:w="20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2540" w:type="dxa"/>
            <w:vAlign w:val="bottom"/>
            <w:tcBorders>
              <w:bottom w:val="single" w:sz="8" w:color="CFCFCF"/>
              <w:right w:val="single" w:sz="8" w:color="CFCFCF"/>
            </w:tcBorders>
          </w:tcPr>
          <w:p>
            <w:pPr>
              <w:spacing w:after="0"/>
              <w:rPr>
                <w:sz w:val="2"/>
                <w:szCs w:val="2"/>
                <w:color w:val="auto"/>
              </w:rPr>
            </w:pPr>
          </w:p>
        </w:tc>
      </w:tr>
      <w:tr>
        <w:trPr>
          <w:trHeight w:val="142"/>
        </w:trPr>
        <w:tc>
          <w:tcPr>
            <w:tcW w:w="5960" w:type="dxa"/>
            <w:vAlign w:val="bottom"/>
            <w:tcBorders>
              <w:left w:val="single" w:sz="8" w:color="CFCFCF"/>
              <w:bottom w:val="single" w:sz="8" w:color="CFCFCF"/>
            </w:tcBorders>
          </w:tcPr>
          <w:p>
            <w:pPr>
              <w:spacing w:after="0"/>
              <w:rPr>
                <w:sz w:val="12"/>
                <w:szCs w:val="12"/>
                <w:color w:val="auto"/>
              </w:rPr>
            </w:pPr>
          </w:p>
        </w:tc>
        <w:tc>
          <w:tcPr>
            <w:tcW w:w="120" w:type="dxa"/>
            <w:vAlign w:val="bottom"/>
            <w:tcBorders>
              <w:left w:val="single" w:sz="8" w:color="CFCFCF"/>
              <w:bottom w:val="single" w:sz="8" w:color="CFCFCF"/>
            </w:tcBorders>
          </w:tcPr>
          <w:p>
            <w:pPr>
              <w:spacing w:after="0"/>
              <w:rPr>
                <w:sz w:val="12"/>
                <w:szCs w:val="12"/>
                <w:color w:val="auto"/>
              </w:rPr>
            </w:pPr>
          </w:p>
        </w:tc>
        <w:tc>
          <w:tcPr>
            <w:tcW w:w="2220" w:type="dxa"/>
            <w:vAlign w:val="bottom"/>
            <w:tcBorders>
              <w:bottom w:val="single" w:sz="8" w:color="CFCFCF"/>
            </w:tcBorders>
          </w:tcPr>
          <w:p>
            <w:pPr>
              <w:spacing w:after="0"/>
              <w:rPr>
                <w:sz w:val="12"/>
                <w:szCs w:val="12"/>
                <w:color w:val="auto"/>
              </w:rPr>
            </w:pPr>
          </w:p>
        </w:tc>
        <w:tc>
          <w:tcPr>
            <w:tcW w:w="200" w:type="dxa"/>
            <w:vAlign w:val="bottom"/>
            <w:tcBorders>
              <w:bottom w:val="single" w:sz="8" w:color="CFCFCF"/>
            </w:tcBorders>
          </w:tcPr>
          <w:p>
            <w:pPr>
              <w:spacing w:after="0"/>
              <w:rPr>
                <w:sz w:val="12"/>
                <w:szCs w:val="12"/>
                <w:color w:val="auto"/>
              </w:rPr>
            </w:pPr>
          </w:p>
        </w:tc>
        <w:tc>
          <w:tcPr>
            <w:tcW w:w="220" w:type="dxa"/>
            <w:vAlign w:val="bottom"/>
            <w:tcBorders>
              <w:bottom w:val="single" w:sz="8" w:color="CFCFCF"/>
            </w:tcBorders>
          </w:tcPr>
          <w:p>
            <w:pPr>
              <w:spacing w:after="0"/>
              <w:rPr>
                <w:sz w:val="12"/>
                <w:szCs w:val="12"/>
                <w:color w:val="auto"/>
              </w:rPr>
            </w:pPr>
          </w:p>
        </w:tc>
        <w:tc>
          <w:tcPr>
            <w:tcW w:w="2540" w:type="dxa"/>
            <w:vAlign w:val="bottom"/>
            <w:tcBorders>
              <w:bottom w:val="single" w:sz="8" w:color="CFCFCF"/>
              <w:right w:val="single" w:sz="8" w:color="CFCFCF"/>
            </w:tcBorders>
          </w:tcPr>
          <w:p>
            <w:pPr>
              <w:spacing w:after="0"/>
              <w:rPr>
                <w:sz w:val="12"/>
                <w:szCs w:val="12"/>
                <w:color w:val="auto"/>
              </w:rPr>
            </w:pPr>
          </w:p>
        </w:tc>
      </w:tr>
      <w:tr>
        <w:trPr>
          <w:trHeight w:val="246"/>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Argot Partners</w:t>
            </w:r>
          </w:p>
        </w:tc>
        <w:tc>
          <w:tcPr>
            <w:tcW w:w="5300" w:type="dxa"/>
            <w:vAlign w:val="bottom"/>
            <w:tcBorders>
              <w:left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Tel: +1-212-600-1902</w:t>
            </w:r>
          </w:p>
        </w:tc>
      </w:tr>
      <w:tr>
        <w:trPr>
          <w:trHeight w:val="193"/>
        </w:trPr>
        <w:tc>
          <w:tcPr>
            <w:tcW w:w="5960" w:type="dxa"/>
            <w:vAlign w:val="bottom"/>
            <w:tcBorders>
              <w:left w:val="single" w:sz="8" w:color="CFCFCF"/>
            </w:tcBorders>
          </w:tcPr>
          <w:p>
            <w:pPr>
              <w:ind w:left="120"/>
              <w:spacing w:after="0" w:line="193" w:lineRule="exact"/>
              <w:rPr>
                <w:sz w:val="20"/>
                <w:szCs w:val="20"/>
                <w:color w:val="auto"/>
              </w:rPr>
            </w:pPr>
            <w:r>
              <w:rPr>
                <w:rFonts w:ascii="Arial" w:cs="Arial" w:eastAsia="Arial" w:hAnsi="Arial"/>
                <w:sz w:val="20"/>
                <w:szCs w:val="20"/>
                <w:color w:val="auto"/>
              </w:rPr>
              <w:t>(US Investor Enquiries)</w:t>
            </w:r>
          </w:p>
        </w:tc>
        <w:tc>
          <w:tcPr>
            <w:tcW w:w="5300" w:type="dxa"/>
            <w:vAlign w:val="bottom"/>
            <w:tcBorders>
              <w:left w:val="single" w:sz="8" w:color="CFCFCF"/>
              <w:right w:val="single" w:sz="8" w:color="CFCFCF"/>
            </w:tcBorders>
            <w:gridSpan w:val="5"/>
          </w:tcPr>
          <w:p>
            <w:pPr>
              <w:ind w:left="120"/>
              <w:spacing w:after="0" w:line="193" w:lineRule="exact"/>
              <w:rPr>
                <w:sz w:val="20"/>
                <w:szCs w:val="20"/>
                <w:color w:val="auto"/>
              </w:rPr>
            </w:pPr>
            <w:r>
              <w:rPr>
                <w:rFonts w:ascii="Arial" w:cs="Arial" w:eastAsia="Arial" w:hAnsi="Arial"/>
                <w:sz w:val="20"/>
                <w:szCs w:val="20"/>
                <w:color w:val="auto"/>
              </w:rPr>
              <w:t>verona@argotpartners.com</w:t>
            </w:r>
          </w:p>
        </w:tc>
      </w:tr>
      <w:tr>
        <w:trPr>
          <w:trHeight w:val="48"/>
        </w:trPr>
        <w:tc>
          <w:tcPr>
            <w:tcW w:w="5960" w:type="dxa"/>
            <w:vAlign w:val="bottom"/>
            <w:tcBorders>
              <w:left w:val="single" w:sz="8" w:color="CFCFCF"/>
              <w:bottom w:val="single" w:sz="8" w:color="CFCFCF"/>
            </w:tcBorders>
          </w:tcPr>
          <w:p>
            <w:pPr>
              <w:spacing w:after="0"/>
              <w:rPr>
                <w:sz w:val="4"/>
                <w:szCs w:val="4"/>
                <w:color w:val="auto"/>
              </w:rPr>
            </w:pPr>
          </w:p>
        </w:tc>
        <w:tc>
          <w:tcPr>
            <w:tcW w:w="120" w:type="dxa"/>
            <w:vAlign w:val="bottom"/>
            <w:tcBorders>
              <w:left w:val="single" w:sz="8" w:color="CFCFCF"/>
              <w:bottom w:val="single" w:sz="8" w:color="CFCFCF"/>
            </w:tcBorders>
          </w:tcPr>
          <w:p>
            <w:pPr>
              <w:spacing w:after="0"/>
              <w:rPr>
                <w:sz w:val="4"/>
                <w:szCs w:val="4"/>
                <w:color w:val="auto"/>
              </w:rPr>
            </w:pPr>
          </w:p>
        </w:tc>
        <w:tc>
          <w:tcPr>
            <w:tcW w:w="2220" w:type="dxa"/>
            <w:vAlign w:val="bottom"/>
            <w:tcBorders>
              <w:top w:val="single" w:sz="8" w:color="auto"/>
              <w:bottom w:val="single" w:sz="8" w:color="CFCFCF"/>
            </w:tcBorders>
          </w:tcPr>
          <w:p>
            <w:pPr>
              <w:spacing w:after="0"/>
              <w:rPr>
                <w:sz w:val="4"/>
                <w:szCs w:val="4"/>
                <w:color w:val="auto"/>
              </w:rPr>
            </w:pPr>
          </w:p>
        </w:tc>
        <w:tc>
          <w:tcPr>
            <w:tcW w:w="200" w:type="dxa"/>
            <w:vAlign w:val="bottom"/>
            <w:tcBorders>
              <w:top w:val="single" w:sz="8" w:color="auto"/>
              <w:bottom w:val="single" w:sz="8" w:color="CFCFCF"/>
            </w:tcBorders>
          </w:tcPr>
          <w:p>
            <w:pPr>
              <w:spacing w:after="0"/>
              <w:rPr>
                <w:sz w:val="4"/>
                <w:szCs w:val="4"/>
                <w:color w:val="auto"/>
              </w:rPr>
            </w:pPr>
          </w:p>
        </w:tc>
        <w:tc>
          <w:tcPr>
            <w:tcW w:w="220" w:type="dxa"/>
            <w:vAlign w:val="bottom"/>
            <w:tcBorders>
              <w:bottom w:val="single" w:sz="8" w:color="CFCFCF"/>
            </w:tcBorders>
          </w:tcPr>
          <w:p>
            <w:pPr>
              <w:spacing w:after="0"/>
              <w:rPr>
                <w:sz w:val="4"/>
                <w:szCs w:val="4"/>
                <w:color w:val="auto"/>
              </w:rPr>
            </w:pPr>
          </w:p>
        </w:tc>
        <w:tc>
          <w:tcPr>
            <w:tcW w:w="2540" w:type="dxa"/>
            <w:vAlign w:val="bottom"/>
            <w:tcBorders>
              <w:bottom w:val="single" w:sz="8" w:color="CFCFCF"/>
              <w:right w:val="single" w:sz="8" w:color="CFCFCF"/>
            </w:tcBorders>
          </w:tcPr>
          <w:p>
            <w:pPr>
              <w:spacing w:after="0"/>
              <w:rPr>
                <w:sz w:val="4"/>
                <w:szCs w:val="4"/>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Kimberly Minarovich / Michael Barron</w:t>
            </w:r>
          </w:p>
        </w:tc>
        <w:tc>
          <w:tcPr>
            <w:tcW w:w="120" w:type="dxa"/>
            <w:vAlign w:val="bottom"/>
            <w:tcBorders>
              <w:left w:val="single" w:sz="8" w:color="CFCFCF"/>
            </w:tcBorders>
          </w:tcPr>
          <w:p>
            <w:pPr>
              <w:spacing w:after="0"/>
              <w:rPr>
                <w:sz w:val="23"/>
                <w:szCs w:val="23"/>
                <w:color w:val="auto"/>
              </w:rPr>
            </w:pPr>
          </w:p>
        </w:tc>
        <w:tc>
          <w:tcPr>
            <w:tcW w:w="2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220" w:type="dxa"/>
            <w:vAlign w:val="bottom"/>
            <w:tcBorders>
              <w:bottom w:val="single" w:sz="8" w:color="CFCFCF"/>
            </w:tcBorders>
          </w:tcPr>
          <w:p>
            <w:pPr>
              <w:spacing w:after="0"/>
              <w:rPr>
                <w:sz w:val="2"/>
                <w:szCs w:val="2"/>
                <w:color w:val="auto"/>
              </w:rPr>
            </w:pPr>
          </w:p>
        </w:tc>
        <w:tc>
          <w:tcPr>
            <w:tcW w:w="20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2540" w:type="dxa"/>
            <w:vAlign w:val="bottom"/>
            <w:tcBorders>
              <w:bottom w:val="single" w:sz="8" w:color="CFCFCF"/>
              <w:right w:val="single" w:sz="8" w:color="CFCFCF"/>
            </w:tcBorders>
          </w:tcPr>
          <w:p>
            <w:pPr>
              <w:spacing w:after="0"/>
              <w:rPr>
                <w:sz w:val="2"/>
                <w:szCs w:val="2"/>
                <w:color w:val="auto"/>
              </w:rPr>
            </w:pPr>
          </w:p>
        </w:tc>
      </w:tr>
      <w:tr>
        <w:trPr>
          <w:trHeight w:val="128"/>
        </w:trPr>
        <w:tc>
          <w:tcPr>
            <w:tcW w:w="5960" w:type="dxa"/>
            <w:vAlign w:val="bottom"/>
            <w:tcBorders>
              <w:left w:val="single" w:sz="8" w:color="CFCFCF"/>
              <w:bottom w:val="single" w:sz="8" w:color="CFCFCF"/>
            </w:tcBorders>
          </w:tcPr>
          <w:p>
            <w:pPr>
              <w:spacing w:after="0"/>
              <w:rPr>
                <w:sz w:val="11"/>
                <w:szCs w:val="11"/>
                <w:color w:val="auto"/>
              </w:rPr>
            </w:pPr>
          </w:p>
        </w:tc>
        <w:tc>
          <w:tcPr>
            <w:tcW w:w="120" w:type="dxa"/>
            <w:vAlign w:val="bottom"/>
            <w:tcBorders>
              <w:left w:val="single" w:sz="8" w:color="CFCFCF"/>
              <w:bottom w:val="single" w:sz="8" w:color="CFCFCF"/>
            </w:tcBorders>
          </w:tcPr>
          <w:p>
            <w:pPr>
              <w:spacing w:after="0"/>
              <w:rPr>
                <w:sz w:val="11"/>
                <w:szCs w:val="11"/>
                <w:color w:val="auto"/>
              </w:rPr>
            </w:pPr>
          </w:p>
        </w:tc>
        <w:tc>
          <w:tcPr>
            <w:tcW w:w="2220" w:type="dxa"/>
            <w:vAlign w:val="bottom"/>
            <w:tcBorders>
              <w:bottom w:val="single" w:sz="8" w:color="CFCFCF"/>
            </w:tcBorders>
          </w:tcPr>
          <w:p>
            <w:pPr>
              <w:spacing w:after="0"/>
              <w:rPr>
                <w:sz w:val="11"/>
                <w:szCs w:val="11"/>
                <w:color w:val="auto"/>
              </w:rPr>
            </w:pPr>
          </w:p>
        </w:tc>
        <w:tc>
          <w:tcPr>
            <w:tcW w:w="200" w:type="dxa"/>
            <w:vAlign w:val="bottom"/>
            <w:tcBorders>
              <w:bottom w:val="single" w:sz="8" w:color="CFCFCF"/>
            </w:tcBorders>
          </w:tcPr>
          <w:p>
            <w:pPr>
              <w:spacing w:after="0"/>
              <w:rPr>
                <w:sz w:val="11"/>
                <w:szCs w:val="11"/>
                <w:color w:val="auto"/>
              </w:rPr>
            </w:pPr>
          </w:p>
        </w:tc>
        <w:tc>
          <w:tcPr>
            <w:tcW w:w="220" w:type="dxa"/>
            <w:vAlign w:val="bottom"/>
            <w:tcBorders>
              <w:bottom w:val="single" w:sz="8" w:color="CFCFCF"/>
            </w:tcBorders>
          </w:tcPr>
          <w:p>
            <w:pPr>
              <w:spacing w:after="0"/>
              <w:rPr>
                <w:sz w:val="11"/>
                <w:szCs w:val="11"/>
                <w:color w:val="auto"/>
              </w:rPr>
            </w:pPr>
          </w:p>
        </w:tc>
        <w:tc>
          <w:tcPr>
            <w:tcW w:w="2540" w:type="dxa"/>
            <w:vAlign w:val="bottom"/>
            <w:tcBorders>
              <w:bottom w:val="single" w:sz="8" w:color="CFCFCF"/>
              <w:right w:val="single" w:sz="8" w:color="CFCFCF"/>
            </w:tcBorders>
          </w:tcPr>
          <w:p>
            <w:pPr>
              <w:spacing w:after="0"/>
              <w:rPr>
                <w:sz w:val="11"/>
                <w:szCs w:val="11"/>
                <w:color w:val="auto"/>
              </w:rPr>
            </w:pPr>
          </w:p>
        </w:tc>
      </w:tr>
      <w:tr>
        <w:trPr>
          <w:trHeight w:val="246"/>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Optimum Strategic Communications</w:t>
            </w:r>
          </w:p>
        </w:tc>
        <w:tc>
          <w:tcPr>
            <w:tcW w:w="5300" w:type="dxa"/>
            <w:vAlign w:val="bottom"/>
            <w:tcBorders>
              <w:left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Tel: +44 (0)203 950 9144</w:t>
            </w:r>
          </w:p>
        </w:tc>
      </w:tr>
      <w:tr>
        <w:trPr>
          <w:trHeight w:val="193"/>
        </w:trPr>
        <w:tc>
          <w:tcPr>
            <w:tcW w:w="5960" w:type="dxa"/>
            <w:vAlign w:val="bottom"/>
            <w:tcBorders>
              <w:left w:val="single" w:sz="8" w:color="CFCFCF"/>
            </w:tcBorders>
          </w:tcPr>
          <w:p>
            <w:pPr>
              <w:ind w:left="120"/>
              <w:spacing w:after="0" w:line="193" w:lineRule="exact"/>
              <w:rPr>
                <w:sz w:val="20"/>
                <w:szCs w:val="20"/>
                <w:color w:val="auto"/>
              </w:rPr>
            </w:pPr>
            <w:r>
              <w:rPr>
                <w:rFonts w:ascii="Arial" w:cs="Arial" w:eastAsia="Arial" w:hAnsi="Arial"/>
                <w:sz w:val="20"/>
                <w:szCs w:val="20"/>
                <w:color w:val="auto"/>
              </w:rPr>
              <w:t>(International Media and European Investor Enquiries)</w:t>
            </w:r>
          </w:p>
        </w:tc>
        <w:tc>
          <w:tcPr>
            <w:tcW w:w="5300" w:type="dxa"/>
            <w:vAlign w:val="bottom"/>
            <w:tcBorders>
              <w:left w:val="single" w:sz="8" w:color="CFCFCF"/>
              <w:right w:val="single" w:sz="8" w:color="CFCFCF"/>
            </w:tcBorders>
            <w:gridSpan w:val="5"/>
          </w:tcPr>
          <w:p>
            <w:pPr>
              <w:ind w:left="120"/>
              <w:spacing w:after="0" w:line="193" w:lineRule="exact"/>
              <w:rPr>
                <w:sz w:val="20"/>
                <w:szCs w:val="20"/>
                <w:color w:val="auto"/>
              </w:rPr>
            </w:pPr>
            <w:r>
              <w:rPr>
                <w:rFonts w:ascii="Arial" w:cs="Arial" w:eastAsia="Arial" w:hAnsi="Arial"/>
                <w:sz w:val="20"/>
                <w:szCs w:val="20"/>
                <w:color w:val="auto"/>
              </w:rPr>
              <w:t>verona@optimumcomms.com</w:t>
            </w:r>
          </w:p>
        </w:tc>
      </w:tr>
      <w:tr>
        <w:trPr>
          <w:trHeight w:val="48"/>
        </w:trPr>
        <w:tc>
          <w:tcPr>
            <w:tcW w:w="5960" w:type="dxa"/>
            <w:vAlign w:val="bottom"/>
            <w:tcBorders>
              <w:left w:val="single" w:sz="8" w:color="CFCFCF"/>
              <w:bottom w:val="single" w:sz="8" w:color="CFCFCF"/>
            </w:tcBorders>
          </w:tcPr>
          <w:p>
            <w:pPr>
              <w:spacing w:after="0"/>
              <w:rPr>
                <w:sz w:val="4"/>
                <w:szCs w:val="4"/>
                <w:color w:val="auto"/>
              </w:rPr>
            </w:pPr>
          </w:p>
        </w:tc>
        <w:tc>
          <w:tcPr>
            <w:tcW w:w="120" w:type="dxa"/>
            <w:vAlign w:val="bottom"/>
            <w:tcBorders>
              <w:left w:val="single" w:sz="8" w:color="CFCFCF"/>
              <w:bottom w:val="single" w:sz="8" w:color="CFCFCF"/>
            </w:tcBorders>
          </w:tcPr>
          <w:p>
            <w:pPr>
              <w:spacing w:after="0"/>
              <w:rPr>
                <w:sz w:val="4"/>
                <w:szCs w:val="4"/>
                <w:color w:val="auto"/>
              </w:rPr>
            </w:pPr>
          </w:p>
        </w:tc>
        <w:tc>
          <w:tcPr>
            <w:tcW w:w="2220" w:type="dxa"/>
            <w:vAlign w:val="bottom"/>
            <w:tcBorders>
              <w:top w:val="single" w:sz="8" w:color="auto"/>
              <w:bottom w:val="single" w:sz="8" w:color="CFCFCF"/>
            </w:tcBorders>
          </w:tcPr>
          <w:p>
            <w:pPr>
              <w:spacing w:after="0"/>
              <w:rPr>
                <w:sz w:val="4"/>
                <w:szCs w:val="4"/>
                <w:color w:val="auto"/>
              </w:rPr>
            </w:pPr>
          </w:p>
        </w:tc>
        <w:tc>
          <w:tcPr>
            <w:tcW w:w="200" w:type="dxa"/>
            <w:vAlign w:val="bottom"/>
            <w:tcBorders>
              <w:top w:val="single" w:sz="8" w:color="auto"/>
              <w:bottom w:val="single" w:sz="8" w:color="CFCFCF"/>
            </w:tcBorders>
          </w:tcPr>
          <w:p>
            <w:pPr>
              <w:spacing w:after="0"/>
              <w:rPr>
                <w:sz w:val="4"/>
                <w:szCs w:val="4"/>
                <w:color w:val="auto"/>
              </w:rPr>
            </w:pPr>
          </w:p>
        </w:tc>
        <w:tc>
          <w:tcPr>
            <w:tcW w:w="220" w:type="dxa"/>
            <w:vAlign w:val="bottom"/>
            <w:tcBorders>
              <w:top w:val="single" w:sz="8" w:color="auto"/>
              <w:bottom w:val="single" w:sz="8" w:color="CFCFCF"/>
            </w:tcBorders>
          </w:tcPr>
          <w:p>
            <w:pPr>
              <w:spacing w:after="0"/>
              <w:rPr>
                <w:sz w:val="4"/>
                <w:szCs w:val="4"/>
                <w:color w:val="auto"/>
              </w:rPr>
            </w:pPr>
          </w:p>
        </w:tc>
        <w:tc>
          <w:tcPr>
            <w:tcW w:w="2540" w:type="dxa"/>
            <w:vAlign w:val="bottom"/>
            <w:tcBorders>
              <w:bottom w:val="single" w:sz="8" w:color="CFCFCF"/>
              <w:right w:val="single" w:sz="8" w:color="CFCFCF"/>
            </w:tcBorders>
          </w:tcPr>
          <w:p>
            <w:pPr>
              <w:spacing w:after="0"/>
              <w:rPr>
                <w:sz w:val="4"/>
                <w:szCs w:val="4"/>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Mary Clark / Karl Hard / Elakiya Rangarajah</w:t>
            </w:r>
          </w:p>
        </w:tc>
        <w:tc>
          <w:tcPr>
            <w:tcW w:w="120" w:type="dxa"/>
            <w:vAlign w:val="bottom"/>
            <w:tcBorders>
              <w:left w:val="single" w:sz="8" w:color="CFCFCF"/>
            </w:tcBorders>
          </w:tcPr>
          <w:p>
            <w:pPr>
              <w:spacing w:after="0"/>
              <w:rPr>
                <w:sz w:val="23"/>
                <w:szCs w:val="23"/>
                <w:color w:val="auto"/>
              </w:rPr>
            </w:pPr>
          </w:p>
        </w:tc>
        <w:tc>
          <w:tcPr>
            <w:tcW w:w="2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220" w:type="dxa"/>
            <w:vAlign w:val="bottom"/>
            <w:tcBorders>
              <w:bottom w:val="single" w:sz="8" w:color="CFCFCF"/>
            </w:tcBorders>
          </w:tcPr>
          <w:p>
            <w:pPr>
              <w:spacing w:after="0"/>
              <w:rPr>
                <w:sz w:val="2"/>
                <w:szCs w:val="2"/>
                <w:color w:val="auto"/>
              </w:rPr>
            </w:pPr>
          </w:p>
        </w:tc>
        <w:tc>
          <w:tcPr>
            <w:tcW w:w="200" w:type="dxa"/>
            <w:vAlign w:val="bottom"/>
            <w:tcBorders>
              <w:bottom w:val="single" w:sz="8" w:color="CFCFCF"/>
            </w:tcBorders>
          </w:tcPr>
          <w:p>
            <w:pPr>
              <w:spacing w:after="0"/>
              <w:rPr>
                <w:sz w:val="2"/>
                <w:szCs w:val="2"/>
                <w:color w:val="auto"/>
              </w:rPr>
            </w:pPr>
          </w:p>
        </w:tc>
        <w:tc>
          <w:tcPr>
            <w:tcW w:w="220" w:type="dxa"/>
            <w:vAlign w:val="bottom"/>
            <w:tcBorders>
              <w:bottom w:val="single" w:sz="8" w:color="CFCFCF"/>
            </w:tcBorders>
          </w:tcPr>
          <w:p>
            <w:pPr>
              <w:spacing w:after="0"/>
              <w:rPr>
                <w:sz w:val="2"/>
                <w:szCs w:val="2"/>
                <w:color w:val="auto"/>
              </w:rPr>
            </w:pPr>
          </w:p>
        </w:tc>
        <w:tc>
          <w:tcPr>
            <w:tcW w:w="2540" w:type="dxa"/>
            <w:vAlign w:val="bottom"/>
            <w:tcBorders>
              <w:bottom w:val="single" w:sz="8" w:color="CFCFCF"/>
              <w:right w:val="single" w:sz="8" w:color="CFCFCF"/>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32"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19"/>
          <w:szCs w:val="19"/>
          <w:u w:val="single" w:color="auto"/>
          <w:color w:val="auto"/>
        </w:rPr>
        <w:t>www.veronapharma.com</w:t>
      </w:r>
      <w:r>
        <w:rPr>
          <w:rFonts w:ascii="Arial" w:cs="Arial" w:eastAsia="Arial" w:hAnsi="Arial"/>
          <w:sz w:val="19"/>
          <w:szCs w:val="19"/>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13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Verona Pharma is closely monitoring the potential impact of the COVID-19 pandemic on its operations and clinical trials, in particular the timelines and costs of its Phase 3 ENHANCE clinical program.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10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To help protect the health and safety of the patients,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10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Verona Pharma is closely monitoring activities at the Company’s contract manufacturers associated with clinical supply for the ongoing clinical trials, and is satisfied that appropriate plans and procedures are in place to ensure uninterrupted future supply of ensifentrine to the clinical trial sites, subject to potential limitations on their operations and on the supply chain due to the COVID-19 pandemic. The Company is continuing to monitor this situation and will provide an update if it becomes aware of any meaningful disruption caused by the pandemic to the clinical supply of ensifentrine for its clinical trials.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40" w:right="319" w:bottom="1440" w:gutter="0" w:footer="0" w:header="0"/>
        </w:sectPr>
      </w:pPr>
    </w:p>
    <w:bookmarkStart w:id="8" w:name="page9"/>
    <w:bookmarkEnd w:id="8"/>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assumptions underlying the Company’s models on clinical trial recruitment and progress, including the potential impact of the COVID-19 pandemic on such progress and on our business and operations and the Company’s future financial results,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the timing of Nuance Pharma filing an Investigational New Drug application with China’s National Medical Products Administration and the funding we expect to receive from the strategic collaboration with Nuance Pharma, the funding we expect to become available under the $30.0 million debt financing facility and from cash receipts from U.K. tax credits, and the sufficiency of cash and cash equivalents.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our Quarterly Report on Form 10-Q for the quarterly period ended June 30, 2021, and our other reports filed with the SEC,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9" w:name="page10"/>
    <w:bookmarkEnd w:id="9"/>
    <w:p>
      <w:pPr>
        <w:jc w:val="both"/>
        <w:ind w:right="20"/>
        <w:spacing w:after="0" w:line="241" w:lineRule="auto"/>
        <w:rPr>
          <w:sz w:val="20"/>
          <w:szCs w:val="20"/>
          <w:color w:val="auto"/>
        </w:rPr>
      </w:pPr>
      <w:r>
        <w:rPr>
          <w:rFonts w:ascii="Arial" w:cs="Arial" w:eastAsia="Arial" w:hAnsi="Arial"/>
          <w:sz w:val="20"/>
          <w:szCs w:val="20"/>
          <w:color w:val="auto"/>
        </w:rPr>
        <w:t>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80" w:type="dxa"/>
            <w:vAlign w:val="bottom"/>
            <w:tcBorders>
              <w:top w:val="single" w:sz="8" w:color="auto"/>
              <w:left w:val="single" w:sz="8" w:color="auto"/>
            </w:tcBorders>
          </w:tcPr>
          <w:p>
            <w:pPr>
              <w:spacing w:after="0"/>
              <w:rPr>
                <w:sz w:val="22"/>
                <w:szCs w:val="22"/>
                <w:color w:val="auto"/>
              </w:rPr>
            </w:pPr>
          </w:p>
        </w:tc>
        <w:tc>
          <w:tcPr>
            <w:tcW w:w="4980" w:type="dxa"/>
            <w:vAlign w:val="bottom"/>
            <w:tcBorders>
              <w:top w:val="single" w:sz="8" w:color="auto"/>
              <w:right w:val="single" w:sz="8" w:color="auto"/>
            </w:tcBorders>
            <w:gridSpan w:val="3"/>
          </w:tcPr>
          <w:p>
            <w:pPr>
              <w:jc w:val="right"/>
              <w:ind w:right="1210"/>
              <w:spacing w:after="0"/>
              <w:rPr>
                <w:sz w:val="20"/>
                <w:szCs w:val="20"/>
                <w:color w:val="auto"/>
              </w:rPr>
            </w:pPr>
            <w:r>
              <w:rPr>
                <w:rFonts w:ascii="Arial" w:cs="Arial" w:eastAsia="Arial" w:hAnsi="Arial"/>
                <w:sz w:val="18"/>
                <w:szCs w:val="18"/>
                <w:color w:val="auto"/>
              </w:rPr>
              <w:t>Three months ended June 30,</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spacing w:after="0"/>
              <w:rPr>
                <w:sz w:val="23"/>
                <w:szCs w:val="23"/>
                <w:color w:val="auto"/>
              </w:rPr>
            </w:pPr>
          </w:p>
        </w:tc>
        <w:tc>
          <w:tcPr>
            <w:tcW w:w="2320" w:type="dxa"/>
            <w:vAlign w:val="bottom"/>
          </w:tcPr>
          <w:p>
            <w:pPr>
              <w:jc w:val="right"/>
              <w:ind w:right="87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Operating expenses</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tcBorders>
              <w:left w:val="single" w:sz="8" w:color="auto"/>
            </w:tcBorders>
            <w:vMerge w:val="continue"/>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Research and development</w:t>
            </w:r>
          </w:p>
        </w:tc>
        <w:tc>
          <w:tcPr>
            <w:tcW w:w="2320" w:type="dxa"/>
            <w:vAlign w:val="bottom"/>
          </w:tcPr>
          <w:p>
            <w:pPr>
              <w:jc w:val="right"/>
              <w:spacing w:after="0"/>
              <w:rPr>
                <w:sz w:val="20"/>
                <w:szCs w:val="20"/>
                <w:color w:val="auto"/>
              </w:rPr>
            </w:pPr>
            <w:r>
              <w:rPr>
                <w:rFonts w:ascii="Arial" w:cs="Arial" w:eastAsia="Arial" w:hAnsi="Arial"/>
                <w:sz w:val="18"/>
                <w:szCs w:val="18"/>
                <w:color w:val="auto"/>
              </w:rPr>
              <w:t>$ 20,563</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$ 7,811</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jc w:val="right"/>
              <w:spacing w:after="0"/>
              <w:rPr>
                <w:sz w:val="20"/>
                <w:szCs w:val="20"/>
                <w:color w:val="auto"/>
              </w:rPr>
            </w:pPr>
            <w:r>
              <w:rPr>
                <w:rFonts w:ascii="Arial" w:cs="Arial" w:eastAsia="Arial" w:hAnsi="Arial"/>
                <w:sz w:val="18"/>
                <w:szCs w:val="18"/>
                <w:color w:val="auto"/>
              </w:rPr>
              <w:t>7,985</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Total operating expenses</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left w:val="single" w:sz="8" w:color="auto"/>
            </w:tcBorders>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28,548</w:t>
            </w:r>
          </w:p>
        </w:tc>
        <w:tc>
          <w:tcPr>
            <w:tcW w:w="300" w:type="dxa"/>
            <w:vAlign w:val="bottom"/>
          </w:tcPr>
          <w:p>
            <w:pPr>
              <w:spacing w:after="0"/>
              <w:rPr>
                <w:sz w:val="20"/>
                <w:szCs w:val="20"/>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Operating loss</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left w:val="single" w:sz="8" w:color="auto"/>
            </w:tcBorders>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(28,548)</w:t>
            </w:r>
          </w:p>
        </w:tc>
        <w:tc>
          <w:tcPr>
            <w:tcW w:w="300" w:type="dxa"/>
            <w:vAlign w:val="bottom"/>
          </w:tcPr>
          <w:p>
            <w:pPr>
              <w:spacing w:after="0"/>
              <w:rPr>
                <w:sz w:val="20"/>
                <w:szCs w:val="20"/>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Other income / (expense)</w:t>
            </w:r>
          </w:p>
        </w:tc>
        <w:tc>
          <w:tcPr>
            <w:tcW w:w="2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Benefit from R&amp;D tax credit</w:t>
            </w:r>
          </w:p>
        </w:tc>
        <w:tc>
          <w:tcPr>
            <w:tcW w:w="2320" w:type="dxa"/>
            <w:vAlign w:val="bottom"/>
          </w:tcPr>
          <w:p>
            <w:pPr>
              <w:jc w:val="right"/>
              <w:spacing w:after="0"/>
              <w:rPr>
                <w:sz w:val="20"/>
                <w:szCs w:val="20"/>
                <w:color w:val="auto"/>
              </w:rPr>
            </w:pPr>
            <w:r>
              <w:rPr>
                <w:rFonts w:ascii="Arial" w:cs="Arial" w:eastAsia="Arial" w:hAnsi="Arial"/>
                <w:sz w:val="18"/>
                <w:szCs w:val="18"/>
                <w:color w:val="auto"/>
              </w:rPr>
              <w:t>3,836</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Interest income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Interest expense</w:t>
            </w:r>
          </w:p>
        </w:tc>
        <w:tc>
          <w:tcPr>
            <w:tcW w:w="23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Fair value movement on warrants</w:t>
            </w:r>
          </w:p>
        </w:tc>
        <w:tc>
          <w:tcPr>
            <w:tcW w:w="2320" w:type="dxa"/>
            <w:vAlign w:val="bottom"/>
          </w:tcPr>
          <w:p>
            <w:pPr>
              <w:jc w:val="right"/>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Foreign exchange gain / (loss)</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Total other income, net</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left w:val="single" w:sz="8" w:color="auto"/>
            </w:tcBorders>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6,505</w:t>
            </w:r>
          </w:p>
        </w:tc>
        <w:tc>
          <w:tcPr>
            <w:tcW w:w="300" w:type="dxa"/>
            <w:vAlign w:val="bottom"/>
          </w:tcPr>
          <w:p>
            <w:pPr>
              <w:spacing w:after="0"/>
              <w:rPr>
                <w:sz w:val="20"/>
                <w:szCs w:val="20"/>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Loss before income taxes</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left w:val="single" w:sz="8" w:color="auto"/>
            </w:tcBorders>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(22,043)</w:t>
            </w:r>
          </w:p>
        </w:tc>
        <w:tc>
          <w:tcPr>
            <w:tcW w:w="300" w:type="dxa"/>
            <w:vAlign w:val="bottom"/>
          </w:tcPr>
          <w:p>
            <w:pPr>
              <w:spacing w:after="0"/>
              <w:rPr>
                <w:sz w:val="20"/>
                <w:szCs w:val="20"/>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Income tax expense</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Net loss</w:t>
            </w: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left w:val="single" w:sz="8" w:color="auto"/>
            </w:tcBorders>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 (22,068)</w:t>
            </w:r>
          </w:p>
        </w:tc>
        <w:tc>
          <w:tcPr>
            <w:tcW w:w="300" w:type="dxa"/>
            <w:vAlign w:val="bottom"/>
          </w:tcPr>
          <w:p>
            <w:pPr>
              <w:spacing w:after="0"/>
              <w:rPr>
                <w:sz w:val="20"/>
                <w:szCs w:val="20"/>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(9,038)</w:t>
            </w:r>
          </w:p>
        </w:tc>
        <w:tc>
          <w:tcPr>
            <w:tcW w:w="0" w:type="dxa"/>
            <w:vAlign w:val="bottom"/>
          </w:tcPr>
          <w:p>
            <w:pPr>
              <w:spacing w:after="0"/>
              <w:rPr>
                <w:sz w:val="1"/>
                <w:szCs w:val="1"/>
                <w:color w:val="auto"/>
              </w:rPr>
            </w:pPr>
          </w:p>
        </w:tc>
      </w:tr>
      <w:tr>
        <w:trPr>
          <w:trHeight w:val="34"/>
        </w:trPr>
        <w:tc>
          <w:tcPr>
            <w:tcW w:w="6280" w:type="dxa"/>
            <w:vAlign w:val="bottom"/>
            <w:tcBorders>
              <w:lef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Weighted average shares outstanding</w:t>
            </w:r>
          </w:p>
        </w:tc>
        <w:tc>
          <w:tcPr>
            <w:tcW w:w="2320" w:type="dxa"/>
            <w:vAlign w:val="bottom"/>
          </w:tcPr>
          <w:p>
            <w:pPr>
              <w:jc w:val="right"/>
              <w:spacing w:after="0"/>
              <w:rPr>
                <w:sz w:val="20"/>
                <w:szCs w:val="20"/>
                <w:color w:val="auto"/>
              </w:rPr>
            </w:pPr>
            <w:r>
              <w:rPr>
                <w:rFonts w:ascii="Arial" w:cs="Arial" w:eastAsia="Arial" w:hAnsi="Arial"/>
                <w:sz w:val="18"/>
                <w:szCs w:val="18"/>
                <w:color w:val="auto"/>
              </w:rPr>
              <w:t>470,786,767</w:t>
            </w:r>
          </w:p>
        </w:tc>
        <w:tc>
          <w:tcPr>
            <w:tcW w:w="300" w:type="dxa"/>
            <w:vAlign w:val="bottom"/>
          </w:tcPr>
          <w:p>
            <w:pPr>
              <w:spacing w:after="0"/>
              <w:rPr>
                <w:sz w:val="24"/>
                <w:szCs w:val="24"/>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106,360,580</w:t>
            </w:r>
          </w:p>
        </w:tc>
        <w:tc>
          <w:tcPr>
            <w:tcW w:w="0" w:type="dxa"/>
            <w:vAlign w:val="bottom"/>
          </w:tcPr>
          <w:p>
            <w:pPr>
              <w:spacing w:after="0"/>
              <w:rPr>
                <w:sz w:val="1"/>
                <w:szCs w:val="1"/>
                <w:color w:val="auto"/>
              </w:rPr>
            </w:pPr>
          </w:p>
        </w:tc>
      </w:tr>
      <w:tr>
        <w:trPr>
          <w:trHeight w:val="526"/>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Loss per ordinary share — basic and diluted</w:t>
            </w:r>
          </w:p>
        </w:tc>
        <w:tc>
          <w:tcPr>
            <w:tcW w:w="2320" w:type="dxa"/>
            <w:vAlign w:val="bottom"/>
          </w:tcPr>
          <w:p>
            <w:pPr>
              <w:jc w:val="right"/>
              <w:spacing w:after="0"/>
              <w:rPr>
                <w:sz w:val="20"/>
                <w:szCs w:val="20"/>
                <w:color w:val="auto"/>
              </w:rPr>
            </w:pPr>
            <w:r>
              <w:rPr>
                <w:rFonts w:ascii="Arial" w:cs="Arial" w:eastAsia="Arial" w:hAnsi="Arial"/>
                <w:sz w:val="18"/>
                <w:szCs w:val="18"/>
                <w:color w:val="auto"/>
              </w:rPr>
              <w:t>$ (0.05)</w:t>
            </w:r>
          </w:p>
        </w:tc>
        <w:tc>
          <w:tcPr>
            <w:tcW w:w="300" w:type="dxa"/>
            <w:vAlign w:val="bottom"/>
          </w:tcPr>
          <w:p>
            <w:pPr>
              <w:spacing w:after="0"/>
              <w:rPr>
                <w:sz w:val="24"/>
                <w:szCs w:val="24"/>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(0.08)</w:t>
            </w:r>
          </w:p>
        </w:tc>
        <w:tc>
          <w:tcPr>
            <w:tcW w:w="0" w:type="dxa"/>
            <w:vAlign w:val="bottom"/>
          </w:tcPr>
          <w:p>
            <w:pPr>
              <w:spacing w:after="0"/>
              <w:rPr>
                <w:sz w:val="1"/>
                <w:szCs w:val="1"/>
                <w:color w:val="auto"/>
              </w:rPr>
            </w:pPr>
          </w:p>
        </w:tc>
      </w:tr>
      <w:tr>
        <w:trPr>
          <w:trHeight w:val="34"/>
        </w:trPr>
        <w:tc>
          <w:tcPr>
            <w:tcW w:w="6280" w:type="dxa"/>
            <w:vAlign w:val="bottom"/>
            <w:tcBorders>
              <w:lef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6280" w:type="dxa"/>
            <w:vAlign w:val="bottom"/>
            <w:tcBorders>
              <w:left w:val="single" w:sz="8" w:color="auto"/>
            </w:tcBorders>
          </w:tcPr>
          <w:p>
            <w:pPr>
              <w:spacing w:after="0"/>
              <w:rPr>
                <w:sz w:val="24"/>
                <w:szCs w:val="24"/>
                <w:color w:val="auto"/>
              </w:rPr>
            </w:pPr>
          </w:p>
        </w:tc>
        <w:tc>
          <w:tcPr>
            <w:tcW w:w="2620" w:type="dxa"/>
            <w:vAlign w:val="bottom"/>
            <w:gridSpan w:val="2"/>
          </w:tcPr>
          <w:p>
            <w:pPr>
              <w:ind w:left="840"/>
              <w:spacing w:after="0"/>
              <w:rPr>
                <w:sz w:val="20"/>
                <w:szCs w:val="20"/>
                <w:color w:val="auto"/>
              </w:rPr>
            </w:pPr>
            <w:r>
              <w:rPr>
                <w:rFonts w:ascii="Arial" w:cs="Arial" w:eastAsia="Arial" w:hAnsi="Arial"/>
                <w:sz w:val="18"/>
                <w:szCs w:val="18"/>
                <w:color w:val="auto"/>
              </w:rPr>
              <w:t>June 30</w:t>
            </w:r>
          </w:p>
        </w:tc>
        <w:tc>
          <w:tcPr>
            <w:tcW w:w="23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spacing w:after="0"/>
              <w:rPr>
                <w:sz w:val="23"/>
                <w:szCs w:val="23"/>
                <w:color w:val="auto"/>
              </w:rPr>
            </w:pPr>
          </w:p>
        </w:tc>
        <w:tc>
          <w:tcPr>
            <w:tcW w:w="2320" w:type="dxa"/>
            <w:vAlign w:val="bottom"/>
          </w:tcPr>
          <w:p>
            <w:pPr>
              <w:jc w:val="right"/>
              <w:ind w:right="87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ind w:right="8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6280" w:type="dxa"/>
            <w:vAlign w:val="bottom"/>
            <w:tcBorders>
              <w:lef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Cash, cash equivalents and short term investments</w:t>
            </w:r>
          </w:p>
        </w:tc>
        <w:tc>
          <w:tcPr>
            <w:tcW w:w="2320" w:type="dxa"/>
            <w:vAlign w:val="bottom"/>
          </w:tcPr>
          <w:p>
            <w:pPr>
              <w:jc w:val="right"/>
              <w:spacing w:after="0"/>
              <w:rPr>
                <w:sz w:val="20"/>
                <w:szCs w:val="20"/>
                <w:color w:val="auto"/>
              </w:rPr>
            </w:pPr>
            <w:r>
              <w:rPr>
                <w:rFonts w:ascii="Arial" w:cs="Arial" w:eastAsia="Arial" w:hAnsi="Arial"/>
                <w:sz w:val="18"/>
                <w:szCs w:val="18"/>
                <w:color w:val="auto"/>
              </w:rPr>
              <w:t>$ 146,035</w:t>
            </w:r>
          </w:p>
        </w:tc>
        <w:tc>
          <w:tcPr>
            <w:tcW w:w="300" w:type="dxa"/>
            <w:vAlign w:val="bottom"/>
          </w:tcPr>
          <w:p>
            <w:pPr>
              <w:spacing w:after="0"/>
              <w:rPr>
                <w:sz w:val="24"/>
                <w:szCs w:val="24"/>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$ 187,986</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Total assets</w:t>
            </w:r>
          </w:p>
        </w:tc>
        <w:tc>
          <w:tcPr>
            <w:tcW w:w="2320" w:type="dxa"/>
            <w:vAlign w:val="bottom"/>
          </w:tcPr>
          <w:p>
            <w:pPr>
              <w:jc w:val="right"/>
              <w:spacing w:after="0"/>
              <w:rPr>
                <w:sz w:val="20"/>
                <w:szCs w:val="20"/>
                <w:color w:val="auto"/>
              </w:rPr>
            </w:pPr>
            <w:r>
              <w:rPr>
                <w:rFonts w:ascii="Arial" w:cs="Arial" w:eastAsia="Arial" w:hAnsi="Arial"/>
                <w:sz w:val="18"/>
                <w:szCs w:val="18"/>
                <w:color w:val="auto"/>
              </w:rPr>
              <w:t>$ 218,502</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$ 204,206</w:t>
            </w:r>
          </w:p>
        </w:tc>
        <w:tc>
          <w:tcPr>
            <w:tcW w:w="0" w:type="dxa"/>
            <w:vAlign w:val="bottom"/>
          </w:tcPr>
          <w:p>
            <w:pPr>
              <w:spacing w:after="0"/>
              <w:rPr>
                <w:sz w:val="1"/>
                <w:szCs w:val="1"/>
                <w:color w:val="auto"/>
              </w:rPr>
            </w:pPr>
          </w:p>
        </w:tc>
      </w:tr>
      <w:tr>
        <w:trPr>
          <w:trHeight w:val="270"/>
        </w:trPr>
        <w:tc>
          <w:tcPr>
            <w:tcW w:w="6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Equity</w:t>
            </w:r>
          </w:p>
        </w:tc>
        <w:tc>
          <w:tcPr>
            <w:tcW w:w="2320" w:type="dxa"/>
            <w:vAlign w:val="bottom"/>
          </w:tcPr>
          <w:p>
            <w:pPr>
              <w:jc w:val="right"/>
              <w:spacing w:after="0"/>
              <w:rPr>
                <w:sz w:val="20"/>
                <w:szCs w:val="20"/>
                <w:color w:val="auto"/>
              </w:rPr>
            </w:pPr>
            <w:r>
              <w:rPr>
                <w:rFonts w:ascii="Arial" w:cs="Arial" w:eastAsia="Arial" w:hAnsi="Arial"/>
                <w:sz w:val="18"/>
                <w:szCs w:val="18"/>
                <w:color w:val="auto"/>
              </w:rPr>
              <w:t>$ 154,397</w:t>
            </w:r>
          </w:p>
        </w:tc>
        <w:tc>
          <w:tcPr>
            <w:tcW w:w="300" w:type="dxa"/>
            <w:vAlign w:val="bottom"/>
          </w:tcPr>
          <w:p>
            <w:pPr>
              <w:spacing w:after="0"/>
              <w:rPr>
                <w:sz w:val="23"/>
                <w:szCs w:val="23"/>
                <w:color w:val="auto"/>
              </w:rPr>
            </w:pPr>
          </w:p>
        </w:tc>
        <w:tc>
          <w:tcPr>
            <w:tcW w:w="2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$ 184,854</w:t>
            </w:r>
          </w:p>
        </w:tc>
        <w:tc>
          <w:tcPr>
            <w:tcW w:w="0" w:type="dxa"/>
            <w:vAlign w:val="bottom"/>
          </w:tcPr>
          <w:p>
            <w:pPr>
              <w:spacing w:after="0"/>
              <w:rPr>
                <w:sz w:val="1"/>
                <w:szCs w:val="1"/>
                <w:color w:val="auto"/>
              </w:rPr>
            </w:pPr>
          </w:p>
        </w:tc>
      </w:tr>
      <w:tr>
        <w:trPr>
          <w:trHeight w:val="297"/>
        </w:trPr>
        <w:tc>
          <w:tcPr>
            <w:tcW w:w="6280" w:type="dxa"/>
            <w:vAlign w:val="bottom"/>
            <w:tcBorders>
              <w:left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3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1260"/>
      </w:cols>
      <w:pgMar w:left="320" w:top="143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2021-08-05T16:12:49Z</dcterms:created>
  <dcterms:modified xsi:type="dcterms:W3CDTF">2021-08-05T16:12:49Z</dcterms:modified>
</cp:coreProperties>
</file>