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Rickard Kathleen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09/26/2022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800,000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3,176,040</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award of Restricted Share Units ("RSUs"), each of which represents a contingent right to receive one (1) Ordinary Share of the Issuer. The RSUs vest over four years, with 200,000 RSUs vesting on November 1, 2023 and the balance vesting in 12 equal quarterly installments thereafter.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2,333,576 Ordinary Shares underlying RSUs (which are represented by 291,697 ADSs); and (ii) 842,464 Ordinary Shares underlying 105,308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Claire Poll, Attorney-in-</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09/28/2022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2022-09-28T15:30:06Z</dcterms:created>
  <dcterms:modified xsi:type="dcterms:W3CDTF">2022-09-28T15:30:06Z</dcterms:modified>
</cp:coreProperties>
</file>