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296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0001055951</w:t>
      </w:r>
    </w:p>
    <w:p>
      <w:pPr>
        <w:spacing w:after="0" w:line="44" w:lineRule="exact"/>
        <w:rPr>
          <w:sz w:val="24"/>
          <w:szCs w:val="24"/>
          <w:color w:val="auto"/>
        </w:rPr>
      </w:pPr>
    </w:p>
    <w:p>
      <w:pPr>
        <w:ind w:left="40"/>
        <w:spacing w:after="0"/>
        <w:tabs>
          <w:tab w:leader="none" w:pos="296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001-38067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3 More London Riverside</w:t>
      </w:r>
    </w:p>
    <w:p>
      <w:pPr>
        <w:spacing w:after="0" w:line="238" w:lineRule="auto"/>
        <w:rPr>
          <w:sz w:val="20"/>
          <w:szCs w:val="20"/>
          <w:color w:val="auto"/>
        </w:rPr>
      </w:pPr>
      <w:r>
        <w:rPr>
          <w:rFonts w:ascii="Arial" w:cs="Arial" w:eastAsia="Arial" w:hAnsi="Arial"/>
          <w:sz w:val="22"/>
          <w:szCs w:val="22"/>
          <w:color w:val="auto"/>
        </w:rPr>
        <w:t>London</w:t>
      </w:r>
    </w:p>
    <w:p>
      <w:pPr>
        <w:spacing w:after="0" w:line="230" w:lineRule="auto"/>
        <w:rPr>
          <w:sz w:val="20"/>
          <w:szCs w:val="20"/>
          <w:color w:val="auto"/>
        </w:rPr>
      </w:pPr>
      <w:r>
        <w:rPr>
          <w:rFonts w:ascii="Arial" w:cs="Arial" w:eastAsia="Arial" w:hAnsi="Arial"/>
          <w:sz w:val="22"/>
          <w:szCs w:val="22"/>
          <w:color w:val="auto"/>
        </w:rPr>
        <w:t>UNITED KINGDOM</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SE1 2RE</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44-203-283-4200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OrbiMed Private Investments VI, LP</w:t>
      </w:r>
    </w:p>
    <w:p>
      <w:pPr>
        <w:spacing w:after="0" w:line="79" w:lineRule="exact"/>
        <w:rPr>
          <w:sz w:val="24"/>
          <w:szCs w:val="24"/>
          <w:color w:val="auto"/>
        </w:rPr>
      </w:pPr>
    </w:p>
    <w:p>
      <w:pPr>
        <w:sectPr>
          <w:pgSz w:w="11900" w:h="16838" w:orient="portrait"/>
          <w:cols w:equalWidth="0" w:num="2">
            <w:col w:w="6280" w:space="720"/>
            <w:col w:w="42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8"/>
          <w:szCs w:val="18"/>
          <w:color w:val="auto"/>
        </w:rPr>
        <w:t>Shareholder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Ordinary Shares</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10 Town Square</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Suite 100</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2"/>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4"/>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4"/>
              </w:rPr>
              <w:t>Other Units Market Value 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160" w:type="dxa"/>
            <w:vAlign w:val="bottom"/>
            <w:vMerge w:val="restart"/>
          </w:tcPr>
          <w:p>
            <w:pPr>
              <w:jc w:val="right"/>
              <w:ind w:right="292"/>
              <w:spacing w:after="0"/>
              <w:rPr>
                <w:sz w:val="20"/>
                <w:szCs w:val="20"/>
                <w:color w:val="auto"/>
              </w:rPr>
            </w:pPr>
            <w:r>
              <w:rPr>
                <w:rFonts w:ascii="Arial" w:cs="Arial" w:eastAsia="Arial" w:hAnsi="Arial"/>
                <w:sz w:val="22"/>
                <w:szCs w:val="22"/>
                <w:color w:val="auto"/>
                <w:w w:val="86"/>
              </w:rPr>
              <w:t>2575811</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w w:val="91"/>
              </w:rPr>
              <w:t>60351251.73</w:t>
            </w:r>
          </w:p>
        </w:tc>
        <w:tc>
          <w:tcPr>
            <w:tcW w:w="1300" w:type="dxa"/>
            <w:vAlign w:val="bottom"/>
            <w:vMerge w:val="restart"/>
          </w:tcPr>
          <w:p>
            <w:pPr>
              <w:jc w:val="right"/>
              <w:ind w:right="232"/>
              <w:spacing w:after="0"/>
              <w:rPr>
                <w:sz w:val="20"/>
                <w:szCs w:val="20"/>
                <w:color w:val="auto"/>
              </w:rPr>
            </w:pPr>
            <w:r>
              <w:rPr>
                <w:rFonts w:ascii="Arial" w:cs="Arial" w:eastAsia="Arial" w:hAnsi="Arial"/>
                <w:sz w:val="22"/>
                <w:szCs w:val="22"/>
                <w:color w:val="auto"/>
                <w:w w:val="96"/>
              </w:rPr>
              <w:t>79458413</w:t>
            </w:r>
          </w:p>
        </w:tc>
        <w:tc>
          <w:tcPr>
            <w:tcW w:w="1280" w:type="dxa"/>
            <w:vAlign w:val="bottom"/>
            <w:vMerge w:val="restart"/>
          </w:tcPr>
          <w:p>
            <w:pPr>
              <w:ind w:left="40"/>
              <w:spacing w:after="0"/>
              <w:rPr>
                <w:sz w:val="20"/>
                <w:szCs w:val="20"/>
                <w:color w:val="auto"/>
              </w:rPr>
            </w:pPr>
            <w:r>
              <w:rPr>
                <w:rFonts w:ascii="Arial" w:cs="Arial" w:eastAsia="Arial" w:hAnsi="Arial"/>
                <w:sz w:val="22"/>
                <w:szCs w:val="22"/>
                <w:color w:val="auto"/>
              </w:rPr>
              <w:t>05/11/2023</w:t>
            </w:r>
          </w:p>
        </w:tc>
        <w:tc>
          <w:tcPr>
            <w:tcW w:w="128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53"/>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color w:val="auto"/>
                <w:w w:val="91"/>
              </w:rPr>
              <w:t>Global 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1140" w:type="dxa"/>
            <w:vAlign w:val="bottom"/>
          </w:tcPr>
          <w:p>
            <w:pPr>
              <w:jc w:val="center"/>
              <w:ind w:right="52"/>
              <w:spacing w:after="0"/>
              <w:rPr>
                <w:sz w:val="20"/>
                <w:szCs w:val="20"/>
                <w:color w:val="auto"/>
              </w:rPr>
            </w:pPr>
            <w:r>
              <w:rPr>
                <w:rFonts w:ascii="Arial" w:cs="Arial" w:eastAsia="Arial" w:hAnsi="Arial"/>
                <w:sz w:val="22"/>
                <w:szCs w:val="22"/>
                <w:b w:val="1"/>
                <w:bCs w:val="1"/>
                <w:color w:val="auto"/>
                <w:w w:val="88"/>
              </w:rPr>
              <w:t>Title of the</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ind w:left="12"/>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00" w:type="dxa"/>
            <w:vAlign w:val="bottom"/>
          </w:tcPr>
          <w:p>
            <w:pPr>
              <w:jc w:val="center"/>
              <w:ind w:left="13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4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40" w:type="dxa"/>
            <w:vAlign w:val="bottom"/>
          </w:tcPr>
          <w:p>
            <w:pPr>
              <w:ind w:left="18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3"/>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0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0"/>
              </w:rPr>
              <w:t>Payment *</w:t>
            </w:r>
          </w:p>
        </w:tc>
      </w:tr>
      <w:tr>
        <w:trPr>
          <w:trHeight w:val="280"/>
        </w:trPr>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40"/>
        <w:spacing w:after="0"/>
        <w:tabs>
          <w:tab w:leader="none" w:pos="34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4280" w:val="left"/>
          <w:tab w:leader="none" w:pos="8520" w:val="left"/>
        </w:tabs>
        <w:rPr>
          <w:sz w:val="20"/>
          <w:szCs w:val="20"/>
          <w:color w:val="auto"/>
        </w:rPr>
      </w:pPr>
      <w:r>
        <w:rPr>
          <w:rFonts w:ascii="Arial" w:cs="Arial" w:eastAsia="Arial" w:hAnsi="Arial"/>
          <w:sz w:val="22"/>
          <w:szCs w:val="22"/>
          <w:color w:val="auto"/>
        </w:rPr>
        <w:t>Ordinary Shares 07/17/2020 Private placement</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2575811</w:t>
      </w:r>
      <w:r>
        <w:rPr>
          <w:sz w:val="20"/>
          <w:szCs w:val="20"/>
          <w:color w:val="auto"/>
        </w:rPr>
        <w:tab/>
      </w:r>
      <w:r>
        <w:rPr>
          <w:rFonts w:ascii="Arial" w:cs="Arial" w:eastAsia="Arial" w:hAnsi="Arial"/>
          <w:sz w:val="18"/>
          <w:szCs w:val="18"/>
          <w:color w:val="auto"/>
        </w:rPr>
        <w:t>07/17/2020 Cash</w:t>
      </w:r>
    </w:p>
    <w:p>
      <w:pPr>
        <w:spacing w:after="0" w:line="274"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1"/>
          <w:szCs w:val="21"/>
          <w:color w:val="auto"/>
        </w:rPr>
        <w:t>Date of Notice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OrbiMed Capital GP VI LLC is the general partner of OrbiMed Private Investments VI, LP. OrbiMed Advisors LLC is the managing member of OrbiMed Capital GP VI LLC.</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05/11/2023</w:t>
      </w:r>
    </w:p>
    <w:p>
      <w:pPr>
        <w:spacing w:after="0" w:line="497" w:lineRule="exact"/>
        <w:rPr>
          <w:sz w:val="20"/>
          <w:szCs w:val="20"/>
          <w:color w:val="auto"/>
        </w:rPr>
      </w:pPr>
    </w:p>
    <w:p>
      <w:pPr>
        <w:sectPr>
          <w:pgSz w:w="11900" w:h="16838" w:orient="portrait"/>
          <w:cols w:equalWidth="0" w:num="2">
            <w:col w:w="1380" w:space="140"/>
            <w:col w:w="97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1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60" w:type="dxa"/>
            <w:vAlign w:val="bottom"/>
          </w:tcPr>
          <w:p>
            <w:pPr>
              <w:ind w:left="340"/>
              <w:spacing w:after="0" w:line="246" w:lineRule="exact"/>
              <w:rPr>
                <w:sz w:val="20"/>
                <w:szCs w:val="20"/>
                <w:color w:val="auto"/>
              </w:rPr>
            </w:pPr>
            <w:r>
              <w:rPr>
                <w:rFonts w:ascii="Arial" w:cs="Arial" w:eastAsia="Arial" w:hAnsi="Arial"/>
                <w:sz w:val="22"/>
                <w:szCs w:val="22"/>
                <w:color w:val="auto"/>
                <w:w w:val="88"/>
              </w:rPr>
              <w:t>/s/ Douglas Coon, Chief Compliance Officer, OrbiMed Advisors LLC, managing member of the general partner</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Arial" w:cs="Arial" w:eastAsia="Arial" w:hAnsi="Arial"/>
                <w:sz w:val="22"/>
                <w:szCs w:val="22"/>
                <w:color w:val="auto"/>
              </w:rPr>
              <w:t>of OrbiMed Private Investments VI, LP</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2023-05-11T17:20:25Z</dcterms:created>
  <dcterms:modified xsi:type="dcterms:W3CDTF">2023-05-11T17:20:25Z</dcterms:modified>
</cp:coreProperties>
</file>