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1263015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United Kingdom</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0"/>
              </w:rPr>
              <w:t>001-39067</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98-1489389</w:t>
            </w:r>
          </w:p>
        </w:tc>
      </w:tr>
      <w:tr>
        <w:trPr>
          <w:trHeight w:val="252"/>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0"/>
              </w:rPr>
              <w:t>(State or other jurisdiction</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9"/>
              </w:rPr>
              <w:t>(Commission</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of incorporation)</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Identification No.)</w:t>
            </w:r>
          </w:p>
        </w:tc>
      </w:tr>
      <w:tr>
        <w:trPr>
          <w:trHeight w:val="643"/>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United Kingdom</w:t>
            </w:r>
          </w:p>
        </w:tc>
        <w:tc>
          <w:tcPr>
            <w:tcW w:w="286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28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+44 203 283 4200</w:t>
            </w:r>
          </w:p>
        </w:tc>
        <w:tc>
          <w:tcPr>
            <w:tcW w:w="28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8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rPr>
              <w:t>N/A</w:t>
            </w:r>
          </w:p>
        </w:tc>
        <w:tc>
          <w:tcPr>
            <w:tcW w:w="28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7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37"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440" w:right="339" w:bottom="191"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42"/>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VRNA</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30"/>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ind w:right="480" w:firstLine="8"/>
        <w:spacing w:after="0" w:line="277" w:lineRule="auto"/>
        <w:tabs>
          <w:tab w:leader="none" w:pos="13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1209675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3, 2022, Verona Pharma plc announced its financial results for the quarter and year ended December 31, 2021. The full text of the press release issued in connection with the announcement is furnished as Exhibit 99.1 to this Current Report on Form 8-K.</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12" w:lineRule="exact"/>
        <w:rPr>
          <w:sz w:val="20"/>
          <w:szCs w:val="20"/>
          <w:color w:val="auto"/>
        </w:rPr>
      </w:pPr>
    </w:p>
    <w:p>
      <w:pPr>
        <w:ind w:left="320"/>
        <w:spacing w:after="0"/>
        <w:tabs>
          <w:tab w:leader="none" w:pos="1060" w:val="left"/>
        </w:tabs>
        <w:rPr>
          <w:rFonts w:ascii="Arial" w:cs="Arial" w:eastAsia="Arial" w:hAnsi="Arial"/>
          <w:sz w:val="15"/>
          <w:szCs w:val="15"/>
          <w:u w:val="single" w:color="auto"/>
          <w:color w:val="0000FF"/>
        </w:rPr>
      </w:pPr>
      <w:hyperlink w:anchor="page5">
        <w:r>
          <w:rPr>
            <w:rFonts w:ascii="Arial" w:cs="Arial" w:eastAsia="Arial" w:hAnsi="Arial"/>
            <w:sz w:val="18"/>
            <w:szCs w:val="18"/>
            <w:color w:val="0000FF"/>
          </w:rPr>
          <w:t>99.1</w:t>
        </w:r>
      </w:hyperlink>
      <w:r>
        <w:rPr>
          <w:rFonts w:ascii="Arial" w:cs="Arial" w:eastAsia="Arial" w:hAnsi="Arial"/>
          <w:sz w:val="18"/>
          <w:szCs w:val="18"/>
          <w:color w:val="0000FF"/>
        </w:rPr>
        <w:tab/>
      </w:r>
      <w:hyperlink w:anchor="page5">
        <w:r>
          <w:rPr>
            <w:rFonts w:ascii="Arial" w:cs="Arial" w:eastAsia="Arial" w:hAnsi="Arial"/>
            <w:sz w:val="15"/>
            <w:szCs w:val="15"/>
            <w:u w:val="single" w:color="auto"/>
            <w:color w:val="0000FF"/>
          </w:rPr>
          <w:t xml:space="preserve">Press </w:t>
        </w:r>
      </w:hyperlink>
      <w:r>
        <w:rPr>
          <w:rFonts w:ascii="Arial" w:cs="Arial" w:eastAsia="Arial" w:hAnsi="Arial"/>
          <w:sz w:val="15"/>
          <w:szCs w:val="15"/>
          <w:u w:val="single" w:color="auto"/>
          <w:color w:val="0000FF"/>
        </w:rPr>
        <w:t xml:space="preserve">Release </w:t>
      </w:r>
      <w:hyperlink w:anchor="page5">
        <w:r>
          <w:rPr>
            <w:rFonts w:ascii="Arial" w:cs="Arial" w:eastAsia="Arial" w:hAnsi="Arial"/>
            <w:sz w:val="15"/>
            <w:szCs w:val="15"/>
            <w:u w:val="single" w:color="auto"/>
            <w:color w:val="0000FF"/>
          </w:rPr>
          <w:t>issued on March 3, 2022</w:t>
        </w:r>
      </w:hyperlink>
    </w:p>
    <w:p>
      <w:pPr>
        <w:spacing w:after="0" w:line="63" w:lineRule="exact"/>
        <w:rPr>
          <w:rFonts w:ascii="Arial" w:cs="Arial" w:eastAsia="Arial" w:hAnsi="Arial"/>
          <w:sz w:val="18"/>
          <w:szCs w:val="18"/>
          <w:color w:val="0000FF"/>
        </w:rPr>
      </w:pPr>
    </w:p>
    <w:p>
      <w:pPr>
        <w:ind w:left="36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XBRL tags are embedded within the Inline XBRL document)</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1330960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40" w:type="dxa"/>
            <w:vAlign w:val="bottom"/>
            <w:gridSpan w:val="2"/>
          </w:tcPr>
          <w:p>
            <w:pPr>
              <w:ind w:left="2080"/>
              <w:spacing w:after="0"/>
              <w:rPr>
                <w:sz w:val="20"/>
                <w:szCs w:val="20"/>
                <w:color w:val="auto"/>
              </w:rPr>
            </w:pPr>
            <w:r>
              <w:rPr>
                <w:rFonts w:ascii="Arial" w:cs="Arial" w:eastAsia="Arial" w:hAnsi="Arial"/>
                <w:sz w:val="18"/>
                <w:szCs w:val="18"/>
                <w:b w:val="1"/>
                <w:bCs w:val="1"/>
                <w:color w:val="auto"/>
              </w:rPr>
              <w:t>VERONA PHARMA PLC</w:t>
            </w:r>
          </w:p>
        </w:tc>
        <w:tc>
          <w:tcPr>
            <w:tcW w:w="0" w:type="dxa"/>
            <w:vAlign w:val="bottom"/>
          </w:tcPr>
          <w:p>
            <w:pPr>
              <w:spacing w:after="0"/>
              <w:rPr>
                <w:sz w:val="1"/>
                <w:szCs w:val="1"/>
                <w:color w:val="auto"/>
              </w:rPr>
            </w:pPr>
          </w:p>
        </w:tc>
      </w:tr>
      <w:tr>
        <w:trPr>
          <w:trHeight w:val="540"/>
        </w:trPr>
        <w:tc>
          <w:tcPr>
            <w:tcW w:w="3580" w:type="dxa"/>
            <w:vAlign w:val="bottom"/>
          </w:tcPr>
          <w:p>
            <w:pPr>
              <w:spacing w:after="0"/>
              <w:rPr>
                <w:sz w:val="20"/>
                <w:szCs w:val="20"/>
                <w:color w:val="auto"/>
              </w:rPr>
            </w:pPr>
            <w:r>
              <w:rPr>
                <w:rFonts w:ascii="Arial" w:cs="Arial" w:eastAsia="Arial" w:hAnsi="Arial"/>
                <w:sz w:val="18"/>
                <w:szCs w:val="18"/>
                <w:color w:val="auto"/>
              </w:rPr>
              <w:t>Date: March 3, 2022</w:t>
            </w:r>
          </w:p>
        </w:tc>
        <w:tc>
          <w:tcPr>
            <w:tcW w:w="2760" w:type="dxa"/>
            <w:vAlign w:val="bottom"/>
          </w:tcPr>
          <w:p>
            <w:pPr>
              <w:ind w:left="2080"/>
              <w:spacing w:after="0"/>
              <w:rPr>
                <w:sz w:val="20"/>
                <w:szCs w:val="20"/>
                <w:color w:val="auto"/>
              </w:rPr>
            </w:pPr>
            <w:r>
              <w:rPr>
                <w:rFonts w:ascii="Arial" w:cs="Arial" w:eastAsia="Arial" w:hAnsi="Arial"/>
                <w:sz w:val="18"/>
                <w:szCs w:val="18"/>
                <w:color w:val="auto"/>
              </w:rPr>
              <w:t>By:</w:t>
            </w:r>
          </w:p>
        </w:tc>
        <w:tc>
          <w:tcPr>
            <w:tcW w:w="4880" w:type="dxa"/>
            <w:vAlign w:val="bottom"/>
          </w:tcPr>
          <w:p>
            <w:pPr>
              <w:ind w:left="60"/>
              <w:spacing w:after="0"/>
              <w:rPr>
                <w:sz w:val="20"/>
                <w:szCs w:val="20"/>
                <w:color w:val="auto"/>
              </w:rPr>
            </w:pPr>
            <w:r>
              <w:rPr>
                <w:rFonts w:ascii="Arial" w:cs="Arial" w:eastAsia="Arial" w:hAnsi="Arial"/>
                <w:sz w:val="18"/>
                <w:szCs w:val="18"/>
                <w:color w:val="auto"/>
              </w:rPr>
              <w:t>/s/ David Zaccardelli, Pharm. D.</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760" w:type="dxa"/>
            <w:vAlign w:val="bottom"/>
            <w:vMerge w:val="restart"/>
          </w:tcPr>
          <w:p>
            <w:pPr>
              <w:ind w:left="2080"/>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David Zaccardelli, Pharm. D.</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760" w:type="dxa"/>
            <w:vAlign w:val="bottom"/>
          </w:tcPr>
          <w:p>
            <w:pPr>
              <w:ind w:left="2080"/>
              <w:spacing w:after="0"/>
              <w:rPr>
                <w:sz w:val="20"/>
                <w:szCs w:val="20"/>
                <w:color w:val="auto"/>
              </w:rPr>
            </w:pPr>
            <w:r>
              <w:rPr>
                <w:rFonts w:ascii="Arial" w:cs="Arial" w:eastAsia="Arial" w:hAnsi="Arial"/>
                <w:sz w:val="18"/>
                <w:szCs w:val="18"/>
                <w:color w:val="auto"/>
              </w:rPr>
              <w:t>Title:</w:t>
            </w:r>
          </w:p>
        </w:tc>
        <w:tc>
          <w:tcPr>
            <w:tcW w:w="48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9900" cy="848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3990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Verona Pharma Reports Fourth Quarter and Full Year 2021 Financial Results and Provides Corporate Update</w:t>
      </w:r>
    </w:p>
    <w:p>
      <w:pPr>
        <w:spacing w:after="0" w:line="179" w:lineRule="exact"/>
        <w:rPr>
          <w:sz w:val="20"/>
          <w:szCs w:val="20"/>
          <w:color w:val="auto"/>
        </w:rPr>
      </w:pPr>
    </w:p>
    <w:p>
      <w:pPr>
        <w:ind w:left="2340"/>
        <w:spacing w:after="0"/>
        <w:rPr>
          <w:sz w:val="20"/>
          <w:szCs w:val="20"/>
          <w:color w:val="auto"/>
        </w:rPr>
      </w:pPr>
      <w:r>
        <w:rPr>
          <w:rFonts w:ascii="Arial" w:cs="Arial" w:eastAsia="Arial" w:hAnsi="Arial"/>
          <w:sz w:val="20"/>
          <w:szCs w:val="20"/>
          <w:i w:val="1"/>
          <w:iCs w:val="1"/>
          <w:color w:val="auto"/>
        </w:rPr>
        <w:t>Phase 3 ENHANCE program on track to report top-line COPD data in 2022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Conference call today at 9:00 a.m. EST / 2:00 p.m. GMT</w:t>
      </w:r>
    </w:p>
    <w:p>
      <w:pPr>
        <w:spacing w:after="0" w:line="31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LONDON and RALEIGH, N.C., March 3, 2022 </w:t>
      </w:r>
      <w:r>
        <w:rPr>
          <w:rFonts w:ascii="Arial" w:cs="Arial" w:eastAsia="Arial" w:hAnsi="Arial"/>
          <w:sz w:val="20"/>
          <w:szCs w:val="20"/>
          <w:color w:val="auto"/>
        </w:rPr>
        <w:t>– Verona Pharma plc (Nasdaq: VRNA) (“Verona Pharma” or the “Company”),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focused on respiratory diseases, announces its financial results for the fourth quarter and full year ended December 31, 2021, and provides a corporate update.</w:t>
      </w:r>
    </w:p>
    <w:p>
      <w:pPr>
        <w:spacing w:after="0" w:line="8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2021, we made substantial progress towards completing enrollment in our Phase 3 ENHANCE (“Ensifentrine as a Novel inHAled Nebulized COPD thErapy”) clinical program,” said David Zaccardelli, Pharm. D., President and Chief Executive Officer. “In December, we completed enrollment of approximately 400 subjects in the 48-week subset of ENHANCE-1 and, in January 2022, we completed enrollment of more than 800 subjects in ENHANCE-2. Achieving our recruitment targets is a significant accomplishment during the ongoing pandemic and brings us closer to delivering ensifentrine to patients with chronic obstructive pulmonary disease (“COPD”).</w:t>
      </w:r>
    </w:p>
    <w:p>
      <w:pPr>
        <w:spacing w:after="0" w:line="8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“Additionally, we successfully completed a thorough QT (“TQT”) study where ensifentrine met all safety objectives and was shown not to impact the TQT interval or measures of cardiac conduction. The FDA requires a TQT study for most New Drug Applications and these data will support the planned submission for ensifentrine in the first half of 2023. Assisting future development for ensifentrine, we reported positive Phase 2 results with the pressurized metered-dose inhaler (“pMDI”) formulation of ensifentrine in moderate to severe COPD patients.</w:t>
      </w:r>
    </w:p>
    <w:p>
      <w:pPr>
        <w:spacing w:after="0" w:line="9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“Alongside our clinical progress in 2021, we advanced our global partnering strategy through a strategic collaboration with Nuance Pharma, a Shanghai-based specialty pharmaceutical company. This provides a tiered double digit royalty and potential milestone payments of up to $179 million in addition to the $40 million in cash and equity received at execution of the agreement. Nuance Pharma is responsible for developing and commercializing ensifentrine in Greater China and we look forward to providing future updates on progress.</w:t>
      </w:r>
    </w:p>
    <w:p>
      <w:pPr>
        <w:spacing w:after="0" w:line="9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“2022 is expected to be a pivotal year for Verona Pharma. We are close to completing enrollment in the ENHANCE program and excited about reporting top-line data. We expect to complete enrollment in the 24-week subset of ENHANCE-1 around the end of the second quarter of 2022, which is the final step in completing enrollment in the program. Top-line data is expected from ENHANCE-2 in the third quarter of 2022 and from ENHANCE-1 around the end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 w:name="page6"/>
    <w:bookmarkEnd w:id="5"/>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Updates and Key Milestones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As of March 2, 2022, ENHANCE-1 had approximately 80% of subjects randomized into the study.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Based on current models of forecasted recruitment and study progress, the Company’s near-term milestones include:</w:t>
      </w:r>
    </w:p>
    <w:p>
      <w:pPr>
        <w:spacing w:after="0" w:line="94" w:lineRule="exact"/>
        <w:rPr>
          <w:sz w:val="20"/>
          <w:szCs w:val="20"/>
          <w:color w:val="auto"/>
        </w:rPr>
      </w:pPr>
    </w:p>
    <w:p>
      <w:pPr>
        <w:ind w:left="660" w:hanging="328"/>
        <w:spacing w:after="0" w:line="23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Completing enrollment of approximately 400 subjects randomized in the 24-week subset of ENHANCE-1 around the end of the second quarter of 2022. This would complete enrollment in the Phase 3 ENHANCE program.</w:t>
      </w:r>
    </w:p>
    <w:p>
      <w:pPr>
        <w:spacing w:after="0" w:line="87"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Reporting top-line data from ENHANCE-2 in the third quarter of 2022 and from ENHANCE-1 around the end of 2022.</w:t>
      </w:r>
    </w:p>
    <w:p>
      <w:pPr>
        <w:spacing w:after="0" w:line="94" w:lineRule="exact"/>
        <w:rPr>
          <w:rFonts w:ascii="Arial" w:cs="Arial" w:eastAsia="Arial" w:hAnsi="Arial"/>
          <w:sz w:val="20"/>
          <w:szCs w:val="20"/>
          <w:color w:val="auto"/>
        </w:rPr>
      </w:pPr>
    </w:p>
    <w:p>
      <w:pPr>
        <w:ind w:left="660" w:hanging="328"/>
        <w:spacing w:after="0" w:line="23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Conditional upon positive results, the Company expects to submit a New Drug Application (“NDA”) to the US Food and Drug Administration (“FDA”) in the first half of 2023.</w:t>
      </w:r>
    </w:p>
    <w:p>
      <w:pPr>
        <w:spacing w:after="0" w:line="88"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With the recent sanctions and other restrictions imposed on Russia and the COVID-19 pandemic and government and other measures continuing to impact a number of clinical trial activities, the Company continues to closely monitor these timelines.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Fourth Quarter and Recent Highlights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Clinical</w:t>
      </w:r>
    </w:p>
    <w:p>
      <w:pPr>
        <w:spacing w:after="0" w:line="11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January 2022, the Company completed enrollment in ENHANCE-2 with more than 800 subjects randomized.</w:t>
      </w:r>
    </w:p>
    <w:p>
      <w:pPr>
        <w:spacing w:after="0" w:line="94" w:lineRule="exact"/>
        <w:rPr>
          <w:rFonts w:ascii="Arial" w:cs="Arial" w:eastAsia="Arial" w:hAnsi="Arial"/>
          <w:sz w:val="20"/>
          <w:szCs w:val="20"/>
          <w:color w:val="auto"/>
        </w:rPr>
      </w:pPr>
    </w:p>
    <w:p>
      <w:pPr>
        <w:ind w:left="660" w:hanging="328"/>
        <w:spacing w:after="0" w:line="23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December 2021, the Company completed enrollment in the 48-week subset of ENHANCE-1 with approximately 400 subjects randomized.</w:t>
      </w:r>
    </w:p>
    <w:p>
      <w:pPr>
        <w:spacing w:after="0" w:line="87" w:lineRule="exact"/>
        <w:rPr>
          <w:rFonts w:ascii="Arial" w:cs="Arial" w:eastAsia="Arial" w:hAnsi="Arial"/>
          <w:sz w:val="20"/>
          <w:szCs w:val="20"/>
          <w:color w:val="auto"/>
        </w:rPr>
      </w:pPr>
    </w:p>
    <w:p>
      <w:pPr>
        <w:jc w:val="both"/>
        <w:ind w:left="660" w:hanging="328"/>
        <w:spacing w:after="0" w:line="232"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December 2021, the Company reported ensifentrine successfully met all safety objectives in a TQT study designed to evaluate the effect, if any, of ensifentrine on measures of the TQT interval and cardiac conduction in 32 healthy volunteers. Ensifentrine was shown not to prolong the QT interval or impact other cardiac conduction parameters.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2021 Financial Results</w:t>
      </w:r>
    </w:p>
    <w:p>
      <w:pPr>
        <w:spacing w:after="0" w:line="94" w:lineRule="exact"/>
        <w:rPr>
          <w:sz w:val="20"/>
          <w:szCs w:val="20"/>
          <w:color w:val="auto"/>
        </w:rPr>
      </w:pPr>
    </w:p>
    <w:p>
      <w:pPr>
        <w:jc w:val="both"/>
        <w:ind w:left="660" w:hanging="328"/>
        <w:spacing w:after="0" w:line="23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at December 31, 2021, were $148.4 million (December 31, 2020: $188.0</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We believe our cash and cash equivalents at December 31, 2021, expected cash receipts from the U.K. tax credit program and funding expected to become available under our $30.0 million debt facility, will enable us to fund our planned operating expenses and capital expenditure requirements through at least the end of 2023.</w:t>
      </w:r>
    </w:p>
    <w:p>
      <w:pPr>
        <w:spacing w:after="0" w:line="63"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Research and development (“R&amp;D”) expenses were $22.7 million for the fourth quarter ended</w:t>
      </w:r>
    </w:p>
    <w:p>
      <w:pPr>
        <w:spacing w:after="0" w:line="10" w:lineRule="exact"/>
        <w:rPr>
          <w:rFonts w:ascii="Arial" w:cs="Arial" w:eastAsia="Arial" w:hAnsi="Arial"/>
          <w:sz w:val="20"/>
          <w:szCs w:val="20"/>
          <w:color w:val="auto"/>
        </w:rPr>
      </w:pPr>
    </w:p>
    <w:p>
      <w:pPr>
        <w:jc w:val="both"/>
        <w:ind w:left="660" w:right="20"/>
        <w:spacing w:after="0" w:line="232" w:lineRule="auto"/>
        <w:rPr>
          <w:rFonts w:ascii="Arial" w:cs="Arial" w:eastAsia="Arial" w:hAnsi="Arial"/>
          <w:sz w:val="20"/>
          <w:szCs w:val="20"/>
          <w:color w:val="auto"/>
        </w:rPr>
      </w:pPr>
      <w:r>
        <w:rPr>
          <w:rFonts w:ascii="Arial" w:cs="Arial" w:eastAsia="Arial" w:hAnsi="Arial"/>
          <w:sz w:val="20"/>
          <w:szCs w:val="20"/>
          <w:color w:val="auto"/>
        </w:rPr>
        <w:t>December 31, 2021 (Q4 2020: $16.2 million). The increase of $6.5 million was primarily due to a $10.5 million increase in costs associated with the Phase 3 ENHANCE program partially offset by a $4 million reduction in share-based compensation charges.</w:t>
      </w:r>
    </w:p>
    <w:p>
      <w:pPr>
        <w:spacing w:after="0" w:line="65"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Selling general and administrative expenses (“SG&amp;A”) were $5.8 million for the fourth quarter ended</w:t>
      </w:r>
    </w:p>
    <w:p>
      <w:pPr>
        <w:spacing w:after="0" w:line="10" w:lineRule="exact"/>
        <w:rPr>
          <w:rFonts w:ascii="Arial" w:cs="Arial" w:eastAsia="Arial" w:hAnsi="Arial"/>
          <w:sz w:val="20"/>
          <w:szCs w:val="20"/>
          <w:color w:val="auto"/>
        </w:rPr>
      </w:pPr>
    </w:p>
    <w:p>
      <w:pPr>
        <w:ind w:left="660"/>
        <w:spacing w:after="0" w:line="236" w:lineRule="auto"/>
        <w:rPr>
          <w:rFonts w:ascii="Arial" w:cs="Arial" w:eastAsia="Arial" w:hAnsi="Arial"/>
          <w:sz w:val="20"/>
          <w:szCs w:val="20"/>
          <w:color w:val="auto"/>
        </w:rPr>
      </w:pPr>
      <w:r>
        <w:rPr>
          <w:rFonts w:ascii="Arial" w:cs="Arial" w:eastAsia="Arial" w:hAnsi="Arial"/>
          <w:sz w:val="20"/>
          <w:szCs w:val="20"/>
          <w:color w:val="auto"/>
        </w:rPr>
        <w:t>December 31, 2021 (Q4 2020: $11.5 million). The decrease of $5.7 million was primarily driven by a decrease in share-based compensation charges.</w:t>
      </w:r>
    </w:p>
    <w:p>
      <w:pPr>
        <w:spacing w:after="0" w:line="63"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$23.3 million for the fourth quarter ended December 31, 2021 (Q4 2020: net loss $24.8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6" w:name="page7"/>
    <w:bookmarkEnd w:id="6"/>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2021 Financial Results</w:t>
      </w:r>
    </w:p>
    <w:p>
      <w:pPr>
        <w:spacing w:after="0" w:line="94" w:lineRule="exact"/>
        <w:rPr>
          <w:sz w:val="20"/>
          <w:szCs w:val="20"/>
          <w:color w:val="auto"/>
        </w:rPr>
      </w:pPr>
    </w:p>
    <w:p>
      <w:pPr>
        <w:ind w:left="660" w:hanging="328"/>
        <w:spacing w:after="0" w:line="25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Revenue of $40.0 million for the year ended December 31, 2021 is related to upfront consideration received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Nuance Agreement. There was no revenue for the year ended December 31, 2020.</w:t>
      </w:r>
    </w:p>
    <w:p>
      <w:pPr>
        <w:spacing w:after="0" w:line="47"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Research and development costs were $79.4 million for the year ended December 31, 2021 (full year</w:t>
      </w:r>
    </w:p>
    <w:p>
      <w:pPr>
        <w:spacing w:after="0" w:line="10" w:lineRule="exact"/>
        <w:rPr>
          <w:rFonts w:ascii="Arial" w:cs="Arial" w:eastAsia="Arial" w:hAnsi="Arial"/>
          <w:sz w:val="20"/>
          <w:szCs w:val="20"/>
          <w:color w:val="auto"/>
        </w:rPr>
      </w:pPr>
    </w:p>
    <w:p>
      <w:pPr>
        <w:ind w:left="660"/>
        <w:spacing w:after="0" w:line="236" w:lineRule="auto"/>
        <w:rPr>
          <w:rFonts w:ascii="Arial" w:cs="Arial" w:eastAsia="Arial" w:hAnsi="Arial"/>
          <w:sz w:val="20"/>
          <w:szCs w:val="20"/>
          <w:color w:val="auto"/>
        </w:rPr>
      </w:pPr>
      <w:r>
        <w:rPr>
          <w:rFonts w:ascii="Arial" w:cs="Arial" w:eastAsia="Arial" w:hAnsi="Arial"/>
          <w:sz w:val="20"/>
          <w:szCs w:val="20"/>
          <w:color w:val="auto"/>
        </w:rPr>
        <w:t>2020: $44.5 million), an increase of $34.9 million. This increase was primarily driven by an increase in clinical costs of $35.0 million as the majority of enrollment relating to the ENHANCE program occurred in 2021.</w:t>
      </w:r>
    </w:p>
    <w:p>
      <w:pPr>
        <w:spacing w:after="0" w:line="63" w:lineRule="exact"/>
        <w:rPr>
          <w:rFonts w:ascii="Arial" w:cs="Arial" w:eastAsia="Arial" w:hAnsi="Arial"/>
          <w:sz w:val="20"/>
          <w:szCs w:val="20"/>
          <w:color w:val="auto"/>
        </w:rPr>
      </w:pPr>
    </w:p>
    <w:p>
      <w:pPr>
        <w:jc w:val="both"/>
        <w:ind w:left="660" w:hanging="328"/>
        <w:spacing w:after="0" w:line="234"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SG&amp;A Expenses: </w:t>
      </w:r>
      <w:r>
        <w:rPr>
          <w:rFonts w:ascii="Arial" w:cs="Arial" w:eastAsia="Arial" w:hAnsi="Arial"/>
          <w:sz w:val="20"/>
          <w:szCs w:val="20"/>
          <w:color w:val="auto"/>
        </w:rPr>
        <w:t>SG&amp;A expenses were $33.9 million for the year ended December 31, 2021 (full year 2020: $29.8</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an increase of $4.1 million. This increase was driven primarily by a $2.9 million increase in share-based compensation charges, $4.0 million related to transaction advisory fees on the Nuance Agreement, $0.9 million related to increased Directors’ and Officers’ insurance, partially offset by a $2.1 million decrease related to severance incurred in 2020, and $1.9 million decrease of expenses relating to our private placement in 2020.</w:t>
      </w:r>
    </w:p>
    <w:p>
      <w:pPr>
        <w:spacing w:after="0" w:line="66" w:lineRule="exact"/>
        <w:rPr>
          <w:rFonts w:ascii="Arial" w:cs="Arial" w:eastAsia="Arial" w:hAnsi="Arial"/>
          <w:sz w:val="20"/>
          <w:szCs w:val="20"/>
          <w:color w:val="auto"/>
        </w:rPr>
      </w:pPr>
    </w:p>
    <w:p>
      <w:pPr>
        <w:jc w:val="both"/>
        <w:ind w:left="660" w:hanging="328"/>
        <w:spacing w:after="0" w:line="24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$55.6 million for the year ended December 31, 2021 (full year 2020: $65.1 million). The decrease</w:t>
      </w:r>
      <w:r>
        <w:rPr>
          <w:rFonts w:ascii="Arial" w:cs="Arial" w:eastAsia="Arial" w:hAnsi="Arial"/>
          <w:sz w:val="20"/>
          <w:szCs w:val="20"/>
          <w:b w:val="1"/>
          <w:bCs w:val="1"/>
          <w:color w:val="auto"/>
        </w:rPr>
        <w:t xml:space="preserve"> </w:t>
      </w:r>
      <w:r>
        <w:rPr>
          <w:rFonts w:ascii="Arial" w:cs="Arial" w:eastAsia="Arial" w:hAnsi="Arial"/>
          <w:sz w:val="20"/>
          <w:szCs w:val="20"/>
          <w:color w:val="auto"/>
        </w:rPr>
        <w:t>in net loss was primarily the result of the revenue from the Nuance Agreement offset by an increase in operating costs and the increase in other income, net,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7" w:name="page8"/>
    <w:bookmarkEnd w:id="7"/>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Conference Call and Webcast Information</w:t>
      </w:r>
    </w:p>
    <w:p>
      <w:pPr>
        <w:spacing w:after="0" w:line="118"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Verona Pharma will host an investment community conference call at 9:00 a.m. EST / 2:00 p.m. GMT on Thursday, March 3, 2022 to discuss the fourth quarter and full year 2021 financial results and the corporate update.</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Analysts and investors may participate by dialing one of the following numbers and reference conference ID 5113060:</w:t>
      </w:r>
    </w:p>
    <w:p>
      <w:pPr>
        <w:spacing w:after="0" w:line="94"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+1-888-317-6003 for callers in the United States</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+1-412-317-6061 for international callers</w:t>
      </w:r>
    </w:p>
    <w:p>
      <w:pPr>
        <w:spacing w:after="0" w:line="10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 live webcast will be available on the Events and Presentations link on the Investors page of the Company's website, www.veronapharma.com, and the audio replay will be available for 90 days. An electronic copy of the fourth quarter and full year 2021 results press release will also be made available today on the Company’s website.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080" w:type="dxa"/>
            <w:vAlign w:val="bottom"/>
          </w:tcPr>
          <w:p>
            <w:pPr>
              <w:spacing w:after="0"/>
              <w:rPr>
                <w:sz w:val="20"/>
                <w:szCs w:val="20"/>
                <w:color w:val="auto"/>
              </w:rPr>
            </w:pPr>
            <w:r>
              <w:rPr>
                <w:rFonts w:ascii="Arial" w:cs="Arial" w:eastAsia="Arial" w:hAnsi="Arial"/>
                <w:sz w:val="20"/>
                <w:szCs w:val="20"/>
                <w:color w:val="auto"/>
              </w:rPr>
              <w:t>For</w:t>
            </w:r>
          </w:p>
        </w:tc>
        <w:tc>
          <w:tcPr>
            <w:tcW w:w="2620" w:type="dxa"/>
            <w:vAlign w:val="bottom"/>
          </w:tcPr>
          <w:p>
            <w:pPr>
              <w:ind w:left="260"/>
              <w:spacing w:after="0"/>
              <w:rPr>
                <w:sz w:val="20"/>
                <w:szCs w:val="20"/>
                <w:color w:val="auto"/>
              </w:rPr>
            </w:pPr>
            <w:r>
              <w:rPr>
                <w:rFonts w:ascii="Arial" w:cs="Arial" w:eastAsia="Arial" w:hAnsi="Arial"/>
                <w:sz w:val="20"/>
                <w:szCs w:val="20"/>
                <w:color w:val="auto"/>
              </w:rPr>
              <w:t>further</w:t>
            </w:r>
          </w:p>
        </w:tc>
        <w:tc>
          <w:tcPr>
            <w:tcW w:w="1300" w:type="dxa"/>
            <w:vAlign w:val="bottom"/>
          </w:tcPr>
          <w:p>
            <w:pPr>
              <w:ind w:left="220"/>
              <w:spacing w:after="0"/>
              <w:rPr>
                <w:sz w:val="20"/>
                <w:szCs w:val="20"/>
                <w:color w:val="auto"/>
              </w:rPr>
            </w:pPr>
            <w:r>
              <w:rPr>
                <w:rFonts w:ascii="Arial" w:cs="Arial" w:eastAsia="Arial" w:hAnsi="Arial"/>
                <w:sz w:val="20"/>
                <w:szCs w:val="20"/>
                <w:color w:val="auto"/>
              </w:rPr>
              <w:t>information</w:t>
            </w:r>
          </w:p>
        </w:tc>
        <w:tc>
          <w:tcPr>
            <w:tcW w:w="4380" w:type="dxa"/>
            <w:vAlign w:val="bottom"/>
          </w:tcPr>
          <w:p>
            <w:pPr>
              <w:ind w:left="1940"/>
              <w:spacing w:after="0"/>
              <w:rPr>
                <w:sz w:val="20"/>
                <w:szCs w:val="20"/>
                <w:color w:val="auto"/>
              </w:rPr>
            </w:pPr>
            <w:r>
              <w:rPr>
                <w:rFonts w:ascii="Arial" w:cs="Arial" w:eastAsia="Arial" w:hAnsi="Arial"/>
                <w:sz w:val="20"/>
                <w:szCs w:val="20"/>
                <w:color w:val="auto"/>
              </w:rPr>
              <w:t>please</w:t>
            </w:r>
          </w:p>
        </w:tc>
        <w:tc>
          <w:tcPr>
            <w:tcW w:w="860" w:type="dxa"/>
            <w:vAlign w:val="bottom"/>
          </w:tcPr>
          <w:p>
            <w:pPr>
              <w:ind w:left="160"/>
              <w:spacing w:after="0"/>
              <w:rPr>
                <w:sz w:val="20"/>
                <w:szCs w:val="20"/>
                <w:color w:val="auto"/>
              </w:rPr>
            </w:pPr>
            <w:r>
              <w:rPr>
                <w:rFonts w:ascii="Arial" w:cs="Arial" w:eastAsia="Arial" w:hAnsi="Arial"/>
                <w:sz w:val="20"/>
                <w:szCs w:val="20"/>
                <w:color w:val="auto"/>
                <w:w w:val="94"/>
              </w:rPr>
              <w:t>contact:</w:t>
            </w:r>
          </w:p>
        </w:tc>
      </w:tr>
      <w:tr>
        <w:trPr>
          <w:trHeight w:val="23"/>
        </w:trPr>
        <w:tc>
          <w:tcPr>
            <w:tcW w:w="2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080" w:type="dxa"/>
            <w:vAlign w:val="bottom"/>
            <w:tcBorders>
              <w:left w:val="single" w:sz="8" w:color="F2F2F2"/>
              <w:bottom w:val="single" w:sz="8" w:color="CFCFCF"/>
            </w:tcBorders>
            <w:shd w:val="clear" w:color="auto" w:fill="F2F2F2"/>
          </w:tcPr>
          <w:p>
            <w:pPr>
              <w:spacing w:after="0"/>
              <w:rPr>
                <w:sz w:val="23"/>
                <w:szCs w:val="23"/>
                <w:color w:val="auto"/>
              </w:rPr>
            </w:pPr>
          </w:p>
        </w:tc>
        <w:tc>
          <w:tcPr>
            <w:tcW w:w="2620" w:type="dxa"/>
            <w:vAlign w:val="bottom"/>
            <w:tcBorders>
              <w:bottom w:val="single" w:sz="8" w:color="CFCFCF"/>
            </w:tcBorders>
            <w:shd w:val="clear" w:color="auto" w:fill="F2F2F2"/>
          </w:tcPr>
          <w:p>
            <w:pPr>
              <w:spacing w:after="0"/>
              <w:rPr>
                <w:sz w:val="23"/>
                <w:szCs w:val="23"/>
                <w:color w:val="auto"/>
              </w:rPr>
            </w:pPr>
          </w:p>
        </w:tc>
        <w:tc>
          <w:tcPr>
            <w:tcW w:w="1300" w:type="dxa"/>
            <w:vAlign w:val="bottom"/>
            <w:tcBorders>
              <w:bottom w:val="single" w:sz="8" w:color="CFCFCF"/>
              <w:right w:val="single" w:sz="8" w:color="F2F2F2"/>
            </w:tcBorders>
            <w:shd w:val="clear" w:color="auto" w:fill="F2F2F2"/>
          </w:tcPr>
          <w:p>
            <w:pPr>
              <w:spacing w:after="0"/>
              <w:rPr>
                <w:sz w:val="23"/>
                <w:szCs w:val="23"/>
                <w:color w:val="auto"/>
              </w:rPr>
            </w:pPr>
          </w:p>
        </w:tc>
        <w:tc>
          <w:tcPr>
            <w:tcW w:w="4380" w:type="dxa"/>
            <w:vAlign w:val="bottom"/>
            <w:tcBorders>
              <w:bottom w:val="single" w:sz="8" w:color="CFCFCF"/>
            </w:tcBorders>
          </w:tcPr>
          <w:p>
            <w:pPr>
              <w:spacing w:after="0"/>
              <w:rPr>
                <w:sz w:val="23"/>
                <w:szCs w:val="23"/>
                <w:color w:val="auto"/>
              </w:rPr>
            </w:pPr>
          </w:p>
        </w:tc>
        <w:tc>
          <w:tcPr>
            <w:tcW w:w="860" w:type="dxa"/>
            <w:vAlign w:val="bottom"/>
            <w:tcBorders>
              <w:bottom w:val="single" w:sz="8" w:color="CFCFCF"/>
            </w:tcBorders>
          </w:tcPr>
          <w:p>
            <w:pPr>
              <w:spacing w:after="0"/>
              <w:rPr>
                <w:sz w:val="23"/>
                <w:szCs w:val="23"/>
                <w:color w:val="auto"/>
              </w:rPr>
            </w:pPr>
          </w:p>
        </w:tc>
      </w:tr>
      <w:tr>
        <w:trPr>
          <w:trHeight w:val="233"/>
        </w:trPr>
        <w:tc>
          <w:tcPr>
            <w:tcW w:w="2080" w:type="dxa"/>
            <w:vAlign w:val="bottom"/>
            <w:tcBorders>
              <w:left w:val="single" w:sz="8" w:color="CFCFCF"/>
            </w:tcBorders>
          </w:tcPr>
          <w:p>
            <w:pPr>
              <w:ind w:left="40"/>
              <w:spacing w:after="0"/>
              <w:rPr>
                <w:sz w:val="20"/>
                <w:szCs w:val="20"/>
                <w:color w:val="auto"/>
              </w:rPr>
            </w:pPr>
            <w:r>
              <w:rPr>
                <w:rFonts w:ascii="Arial" w:cs="Arial" w:eastAsia="Arial" w:hAnsi="Arial"/>
                <w:sz w:val="20"/>
                <w:szCs w:val="20"/>
                <w:b w:val="1"/>
                <w:bCs w:val="1"/>
                <w:color w:val="auto"/>
              </w:rPr>
              <w:t>Verona Pharma plc</w:t>
            </w:r>
          </w:p>
        </w:tc>
        <w:tc>
          <w:tcPr>
            <w:tcW w:w="2620" w:type="dxa"/>
            <w:vAlign w:val="bottom"/>
          </w:tcPr>
          <w:p>
            <w:pPr>
              <w:spacing w:after="0"/>
              <w:rPr>
                <w:sz w:val="20"/>
                <w:szCs w:val="20"/>
                <w:color w:val="auto"/>
              </w:rPr>
            </w:pPr>
          </w:p>
        </w:tc>
        <w:tc>
          <w:tcPr>
            <w:tcW w:w="1300" w:type="dxa"/>
            <w:vAlign w:val="bottom"/>
            <w:tcBorders>
              <w:right w:val="single" w:sz="8" w:color="CFCFCF"/>
            </w:tcBorders>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20"/>
                <w:szCs w:val="20"/>
                <w:color w:val="auto"/>
              </w:rPr>
              <w:t>US Tel: +1-833-417-0262</w:t>
            </w:r>
          </w:p>
        </w:tc>
        <w:tc>
          <w:tcPr>
            <w:tcW w:w="860" w:type="dxa"/>
            <w:vAlign w:val="bottom"/>
            <w:tcBorders>
              <w:right w:val="single" w:sz="8" w:color="CFCFCF"/>
            </w:tcBorders>
          </w:tcPr>
          <w:p>
            <w:pPr>
              <w:spacing w:after="0"/>
              <w:rPr>
                <w:sz w:val="20"/>
                <w:szCs w:val="20"/>
                <w:color w:val="auto"/>
              </w:rPr>
            </w:pPr>
          </w:p>
        </w:tc>
      </w:tr>
      <w:tr>
        <w:trPr>
          <w:trHeight w:val="242"/>
        </w:trPr>
        <w:tc>
          <w:tcPr>
            <w:tcW w:w="2080" w:type="dxa"/>
            <w:vAlign w:val="bottom"/>
            <w:tcBorders>
              <w:left w:val="single" w:sz="8" w:color="CFCFCF"/>
              <w:bottom w:val="single" w:sz="8" w:color="CFCFCF"/>
            </w:tcBorders>
          </w:tcPr>
          <w:p>
            <w:pPr>
              <w:spacing w:after="0"/>
              <w:rPr>
                <w:sz w:val="21"/>
                <w:szCs w:val="21"/>
                <w:color w:val="auto"/>
              </w:rPr>
            </w:pPr>
          </w:p>
        </w:tc>
        <w:tc>
          <w:tcPr>
            <w:tcW w:w="2620" w:type="dxa"/>
            <w:vAlign w:val="bottom"/>
            <w:tcBorders>
              <w:bottom w:val="single" w:sz="8" w:color="CFCFCF"/>
            </w:tcBorders>
          </w:tcPr>
          <w:p>
            <w:pPr>
              <w:spacing w:after="0"/>
              <w:rPr>
                <w:sz w:val="21"/>
                <w:szCs w:val="21"/>
                <w:color w:val="auto"/>
              </w:rPr>
            </w:pPr>
          </w:p>
        </w:tc>
        <w:tc>
          <w:tcPr>
            <w:tcW w:w="1300" w:type="dxa"/>
            <w:vAlign w:val="bottom"/>
            <w:tcBorders>
              <w:bottom w:val="single" w:sz="8" w:color="CFCFCF"/>
              <w:right w:val="single" w:sz="8" w:color="CFCFCF"/>
            </w:tcBorders>
          </w:tcPr>
          <w:p>
            <w:pPr>
              <w:spacing w:after="0"/>
              <w:rPr>
                <w:sz w:val="21"/>
                <w:szCs w:val="21"/>
                <w:color w:val="auto"/>
              </w:rPr>
            </w:pPr>
          </w:p>
        </w:tc>
        <w:tc>
          <w:tcPr>
            <w:tcW w:w="4380" w:type="dxa"/>
            <w:vAlign w:val="bottom"/>
            <w:tcBorders>
              <w:bottom w:val="single" w:sz="8" w:color="CFCFCF"/>
            </w:tcBorders>
          </w:tcPr>
          <w:p>
            <w:pPr>
              <w:ind w:left="20"/>
              <w:spacing w:after="0"/>
              <w:rPr>
                <w:sz w:val="20"/>
                <w:szCs w:val="20"/>
                <w:color w:val="auto"/>
              </w:rPr>
            </w:pPr>
            <w:r>
              <w:rPr>
                <w:rFonts w:ascii="Arial" w:cs="Arial" w:eastAsia="Arial" w:hAnsi="Arial"/>
                <w:sz w:val="20"/>
                <w:szCs w:val="20"/>
                <w:color w:val="auto"/>
              </w:rPr>
              <w:t>UK Tel: +44 (0)203 283 4200</w:t>
            </w:r>
          </w:p>
        </w:tc>
        <w:tc>
          <w:tcPr>
            <w:tcW w:w="860" w:type="dxa"/>
            <w:vAlign w:val="bottom"/>
            <w:tcBorders>
              <w:bottom w:val="single" w:sz="8" w:color="CFCFCF"/>
              <w:right w:val="single" w:sz="8" w:color="CFCFCF"/>
            </w:tcBorders>
          </w:tcPr>
          <w:p>
            <w:pPr>
              <w:spacing w:after="0"/>
              <w:rPr>
                <w:sz w:val="21"/>
                <w:szCs w:val="21"/>
                <w:color w:val="auto"/>
              </w:rPr>
            </w:pPr>
          </w:p>
        </w:tc>
      </w:tr>
      <w:tr>
        <w:trPr>
          <w:trHeight w:val="238"/>
        </w:trPr>
        <w:tc>
          <w:tcPr>
            <w:tcW w:w="4700" w:type="dxa"/>
            <w:vAlign w:val="bottom"/>
            <w:tcBorders>
              <w:left w:val="single" w:sz="8" w:color="CFCFCF"/>
            </w:tcBorders>
            <w:gridSpan w:val="2"/>
          </w:tcPr>
          <w:p>
            <w:pPr>
              <w:ind w:left="40"/>
              <w:spacing w:after="0"/>
              <w:rPr>
                <w:sz w:val="20"/>
                <w:szCs w:val="20"/>
                <w:color w:val="auto"/>
              </w:rPr>
            </w:pPr>
            <w:r>
              <w:rPr>
                <w:rFonts w:ascii="Arial" w:cs="Arial" w:eastAsia="Arial" w:hAnsi="Arial"/>
                <w:sz w:val="20"/>
                <w:szCs w:val="20"/>
                <w:color w:val="auto"/>
              </w:rPr>
              <w:t>Victoria Stewart, Director of Investor Relations and</w:t>
            </w:r>
          </w:p>
        </w:tc>
        <w:tc>
          <w:tcPr>
            <w:tcW w:w="1300" w:type="dxa"/>
            <w:vAlign w:val="bottom"/>
            <w:tcBorders>
              <w:right w:val="single" w:sz="8" w:color="CFCFCF"/>
            </w:tcBorders>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20"/>
                <w:szCs w:val="20"/>
                <w:color w:val="0000FF"/>
              </w:rPr>
              <w:t>info@veronapharma.com</w:t>
            </w:r>
          </w:p>
        </w:tc>
        <w:tc>
          <w:tcPr>
            <w:tcW w:w="860" w:type="dxa"/>
            <w:vAlign w:val="bottom"/>
            <w:tcBorders>
              <w:right w:val="single" w:sz="8" w:color="CFCFCF"/>
            </w:tcBorders>
          </w:tcPr>
          <w:p>
            <w:pPr>
              <w:spacing w:after="0"/>
              <w:rPr>
                <w:sz w:val="20"/>
                <w:szCs w:val="20"/>
                <w:color w:val="auto"/>
              </w:rPr>
            </w:pPr>
          </w:p>
        </w:tc>
      </w:tr>
      <w:tr>
        <w:trPr>
          <w:trHeight w:val="242"/>
        </w:trPr>
        <w:tc>
          <w:tcPr>
            <w:tcW w:w="2080" w:type="dxa"/>
            <w:vAlign w:val="bottom"/>
            <w:tcBorders>
              <w:left w:val="single" w:sz="8" w:color="CFCFCF"/>
              <w:bottom w:val="single" w:sz="8" w:color="CFCFCF"/>
            </w:tcBorders>
          </w:tcPr>
          <w:p>
            <w:pPr>
              <w:ind w:left="40"/>
              <w:spacing w:after="0"/>
              <w:rPr>
                <w:sz w:val="20"/>
                <w:szCs w:val="20"/>
                <w:color w:val="auto"/>
              </w:rPr>
            </w:pPr>
            <w:r>
              <w:rPr>
                <w:rFonts w:ascii="Arial" w:cs="Arial" w:eastAsia="Arial" w:hAnsi="Arial"/>
                <w:sz w:val="20"/>
                <w:szCs w:val="20"/>
                <w:color w:val="auto"/>
              </w:rPr>
              <w:t>Communications</w:t>
            </w:r>
          </w:p>
        </w:tc>
        <w:tc>
          <w:tcPr>
            <w:tcW w:w="2620" w:type="dxa"/>
            <w:vAlign w:val="bottom"/>
            <w:tcBorders>
              <w:bottom w:val="single" w:sz="8" w:color="CFCFCF"/>
            </w:tcBorders>
          </w:tcPr>
          <w:p>
            <w:pPr>
              <w:spacing w:after="0"/>
              <w:rPr>
                <w:sz w:val="21"/>
                <w:szCs w:val="21"/>
                <w:color w:val="auto"/>
              </w:rPr>
            </w:pPr>
          </w:p>
        </w:tc>
        <w:tc>
          <w:tcPr>
            <w:tcW w:w="1300" w:type="dxa"/>
            <w:vAlign w:val="bottom"/>
            <w:tcBorders>
              <w:bottom w:val="single" w:sz="8" w:color="CFCFCF"/>
              <w:right w:val="single" w:sz="8" w:color="CFCFCF"/>
            </w:tcBorders>
          </w:tcPr>
          <w:p>
            <w:pPr>
              <w:spacing w:after="0"/>
              <w:rPr>
                <w:sz w:val="21"/>
                <w:szCs w:val="21"/>
                <w:color w:val="auto"/>
              </w:rPr>
            </w:pPr>
          </w:p>
        </w:tc>
        <w:tc>
          <w:tcPr>
            <w:tcW w:w="4380" w:type="dxa"/>
            <w:vAlign w:val="bottom"/>
            <w:tcBorders>
              <w:bottom w:val="single" w:sz="8" w:color="CFCFCF"/>
            </w:tcBorders>
          </w:tcPr>
          <w:p>
            <w:pPr>
              <w:spacing w:after="0"/>
              <w:rPr>
                <w:sz w:val="21"/>
                <w:szCs w:val="21"/>
                <w:color w:val="auto"/>
              </w:rPr>
            </w:pPr>
          </w:p>
        </w:tc>
        <w:tc>
          <w:tcPr>
            <w:tcW w:w="860" w:type="dxa"/>
            <w:vAlign w:val="bottom"/>
            <w:tcBorders>
              <w:bottom w:val="single" w:sz="8" w:color="CFCFCF"/>
              <w:right w:val="single" w:sz="8" w:color="CFCFCF"/>
            </w:tcBorders>
          </w:tcPr>
          <w:p>
            <w:pPr>
              <w:spacing w:after="0"/>
              <w:rPr>
                <w:sz w:val="21"/>
                <w:szCs w:val="21"/>
                <w:color w:val="auto"/>
              </w:rPr>
            </w:pPr>
          </w:p>
        </w:tc>
      </w:tr>
      <w:tr>
        <w:trPr>
          <w:trHeight w:val="147"/>
        </w:trPr>
        <w:tc>
          <w:tcPr>
            <w:tcW w:w="2080" w:type="dxa"/>
            <w:vAlign w:val="bottom"/>
            <w:tcBorders>
              <w:left w:val="single" w:sz="8" w:color="CFCFCF"/>
              <w:bottom w:val="single" w:sz="8" w:color="CFCFCF"/>
            </w:tcBorders>
          </w:tcPr>
          <w:p>
            <w:pPr>
              <w:spacing w:after="0"/>
              <w:rPr>
                <w:sz w:val="12"/>
                <w:szCs w:val="12"/>
                <w:color w:val="auto"/>
              </w:rPr>
            </w:pPr>
          </w:p>
        </w:tc>
        <w:tc>
          <w:tcPr>
            <w:tcW w:w="2620" w:type="dxa"/>
            <w:vAlign w:val="bottom"/>
            <w:tcBorders>
              <w:bottom w:val="single" w:sz="8" w:color="CFCFCF"/>
            </w:tcBorders>
          </w:tcPr>
          <w:p>
            <w:pPr>
              <w:spacing w:after="0"/>
              <w:rPr>
                <w:sz w:val="12"/>
                <w:szCs w:val="12"/>
                <w:color w:val="auto"/>
              </w:rPr>
            </w:pPr>
          </w:p>
        </w:tc>
        <w:tc>
          <w:tcPr>
            <w:tcW w:w="1300" w:type="dxa"/>
            <w:vAlign w:val="bottom"/>
            <w:tcBorders>
              <w:bottom w:val="single" w:sz="8" w:color="CFCFCF"/>
              <w:right w:val="single" w:sz="8" w:color="CFCFCF"/>
            </w:tcBorders>
          </w:tcPr>
          <w:p>
            <w:pPr>
              <w:spacing w:after="0"/>
              <w:rPr>
                <w:sz w:val="12"/>
                <w:szCs w:val="12"/>
                <w:color w:val="auto"/>
              </w:rPr>
            </w:pPr>
          </w:p>
        </w:tc>
        <w:tc>
          <w:tcPr>
            <w:tcW w:w="4380" w:type="dxa"/>
            <w:vAlign w:val="bottom"/>
            <w:tcBorders>
              <w:bottom w:val="single" w:sz="8" w:color="CFCFCF"/>
            </w:tcBorders>
          </w:tcPr>
          <w:p>
            <w:pPr>
              <w:spacing w:after="0"/>
              <w:rPr>
                <w:sz w:val="12"/>
                <w:szCs w:val="12"/>
                <w:color w:val="auto"/>
              </w:rPr>
            </w:pPr>
          </w:p>
        </w:tc>
        <w:tc>
          <w:tcPr>
            <w:tcW w:w="860" w:type="dxa"/>
            <w:vAlign w:val="bottom"/>
            <w:tcBorders>
              <w:bottom w:val="single" w:sz="8" w:color="CFCFCF"/>
              <w:right w:val="single" w:sz="8" w:color="CFCFCF"/>
            </w:tcBorders>
          </w:tcPr>
          <w:p>
            <w:pPr>
              <w:spacing w:after="0"/>
              <w:rPr>
                <w:sz w:val="12"/>
                <w:szCs w:val="12"/>
                <w:color w:val="auto"/>
              </w:rPr>
            </w:pPr>
          </w:p>
        </w:tc>
      </w:tr>
      <w:tr>
        <w:trPr>
          <w:trHeight w:val="259"/>
        </w:trPr>
        <w:tc>
          <w:tcPr>
            <w:tcW w:w="4700" w:type="dxa"/>
            <w:vAlign w:val="bottom"/>
            <w:tcBorders>
              <w:left w:val="single" w:sz="8" w:color="CFCFCF"/>
              <w:bottom w:val="single" w:sz="8" w:color="CFCFCF"/>
            </w:tcBorders>
            <w:gridSpan w:val="2"/>
          </w:tcPr>
          <w:p>
            <w:pPr>
              <w:ind w:left="40"/>
              <w:spacing w:after="0"/>
              <w:rPr>
                <w:sz w:val="20"/>
                <w:szCs w:val="20"/>
                <w:color w:val="auto"/>
              </w:rPr>
            </w:pPr>
            <w:r>
              <w:rPr>
                <w:rFonts w:ascii="Arial" w:cs="Arial" w:eastAsia="Arial" w:hAnsi="Arial"/>
                <w:sz w:val="20"/>
                <w:szCs w:val="20"/>
                <w:b w:val="1"/>
                <w:bCs w:val="1"/>
                <w:color w:val="auto"/>
              </w:rPr>
              <w:t xml:space="preserve">Argot Partners </w:t>
            </w:r>
            <w:r>
              <w:rPr>
                <w:rFonts w:ascii="Arial" w:cs="Arial" w:eastAsia="Arial" w:hAnsi="Arial"/>
                <w:sz w:val="20"/>
                <w:szCs w:val="20"/>
                <w:color w:val="auto"/>
              </w:rPr>
              <w:t>(US Investor Enquiries)</w:t>
            </w:r>
          </w:p>
        </w:tc>
        <w:tc>
          <w:tcPr>
            <w:tcW w:w="1300" w:type="dxa"/>
            <w:vAlign w:val="bottom"/>
            <w:tcBorders>
              <w:bottom w:val="single" w:sz="8" w:color="CFCFCF"/>
              <w:right w:val="single" w:sz="8" w:color="CFCFCF"/>
            </w:tcBorders>
          </w:tcPr>
          <w:p>
            <w:pPr>
              <w:spacing w:after="0"/>
              <w:rPr>
                <w:sz w:val="22"/>
                <w:szCs w:val="22"/>
                <w:color w:val="auto"/>
              </w:rPr>
            </w:pPr>
          </w:p>
        </w:tc>
        <w:tc>
          <w:tcPr>
            <w:tcW w:w="4380" w:type="dxa"/>
            <w:vAlign w:val="bottom"/>
            <w:tcBorders>
              <w:bottom w:val="single" w:sz="8" w:color="CFCFCF"/>
            </w:tcBorders>
          </w:tcPr>
          <w:p>
            <w:pPr>
              <w:ind w:left="20"/>
              <w:spacing w:after="0"/>
              <w:rPr>
                <w:sz w:val="20"/>
                <w:szCs w:val="20"/>
                <w:color w:val="auto"/>
              </w:rPr>
            </w:pPr>
            <w:r>
              <w:rPr>
                <w:rFonts w:ascii="Arial" w:cs="Arial" w:eastAsia="Arial" w:hAnsi="Arial"/>
                <w:sz w:val="20"/>
                <w:szCs w:val="20"/>
                <w:color w:val="auto"/>
              </w:rPr>
              <w:t xml:space="preserve">Tel: +1-212-600-1902 </w:t>
            </w:r>
            <w:r>
              <w:rPr>
                <w:rFonts w:ascii="Arial" w:cs="Arial" w:eastAsia="Arial" w:hAnsi="Arial"/>
                <w:sz w:val="20"/>
                <w:szCs w:val="20"/>
                <w:color w:val="0000FF"/>
              </w:rPr>
              <w:t>verona@argotpartners.co</w:t>
            </w:r>
          </w:p>
        </w:tc>
        <w:tc>
          <w:tcPr>
            <w:tcW w:w="860" w:type="dxa"/>
            <w:vAlign w:val="bottom"/>
            <w:tcBorders>
              <w:bottom w:val="single" w:sz="8" w:color="CFCFCF"/>
              <w:right w:val="single" w:sz="8" w:color="CFCFCF"/>
            </w:tcBorders>
          </w:tcPr>
          <w:p>
            <w:pPr>
              <w:spacing w:after="0"/>
              <w:rPr>
                <w:sz w:val="22"/>
                <w:szCs w:val="22"/>
                <w:color w:val="auto"/>
              </w:rPr>
            </w:pPr>
          </w:p>
        </w:tc>
      </w:tr>
      <w:tr>
        <w:trPr>
          <w:trHeight w:val="263"/>
        </w:trPr>
        <w:tc>
          <w:tcPr>
            <w:tcW w:w="4700" w:type="dxa"/>
            <w:vAlign w:val="bottom"/>
            <w:tcBorders>
              <w:left w:val="single" w:sz="8" w:color="CFCFCF"/>
              <w:bottom w:val="single" w:sz="8" w:color="CFCFCF"/>
            </w:tcBorders>
            <w:gridSpan w:val="2"/>
          </w:tcPr>
          <w:p>
            <w:pPr>
              <w:ind w:left="40"/>
              <w:spacing w:after="0"/>
              <w:rPr>
                <w:sz w:val="20"/>
                <w:szCs w:val="20"/>
                <w:color w:val="auto"/>
              </w:rPr>
            </w:pPr>
            <w:r>
              <w:rPr>
                <w:rFonts w:ascii="Arial" w:cs="Arial" w:eastAsia="Arial" w:hAnsi="Arial"/>
                <w:sz w:val="20"/>
                <w:szCs w:val="20"/>
                <w:color w:val="auto"/>
              </w:rPr>
              <w:t>Kimberly Minarovich / Michael Barron</w:t>
            </w:r>
          </w:p>
        </w:tc>
        <w:tc>
          <w:tcPr>
            <w:tcW w:w="1300" w:type="dxa"/>
            <w:vAlign w:val="bottom"/>
            <w:tcBorders>
              <w:bottom w:val="single" w:sz="8" w:color="CFCFCF"/>
              <w:right w:val="single" w:sz="8" w:color="CFCFCF"/>
            </w:tcBorders>
          </w:tcPr>
          <w:p>
            <w:pPr>
              <w:spacing w:after="0"/>
              <w:rPr>
                <w:sz w:val="22"/>
                <w:szCs w:val="22"/>
                <w:color w:val="auto"/>
              </w:rPr>
            </w:pPr>
          </w:p>
        </w:tc>
        <w:tc>
          <w:tcPr>
            <w:tcW w:w="4380" w:type="dxa"/>
            <w:vAlign w:val="bottom"/>
            <w:tcBorders>
              <w:bottom w:val="single" w:sz="8" w:color="CFCFCF"/>
            </w:tcBorders>
          </w:tcPr>
          <w:p>
            <w:pPr>
              <w:spacing w:after="0"/>
              <w:rPr>
                <w:sz w:val="22"/>
                <w:szCs w:val="22"/>
                <w:color w:val="auto"/>
              </w:rPr>
            </w:pPr>
          </w:p>
        </w:tc>
        <w:tc>
          <w:tcPr>
            <w:tcW w:w="860" w:type="dxa"/>
            <w:vAlign w:val="bottom"/>
            <w:tcBorders>
              <w:bottom w:val="single" w:sz="8" w:color="CFCFCF"/>
              <w:right w:val="single" w:sz="8" w:color="CFCFCF"/>
            </w:tcBorders>
          </w:tcPr>
          <w:p>
            <w:pPr>
              <w:spacing w:after="0"/>
              <w:rPr>
                <w:sz w:val="22"/>
                <w:szCs w:val="22"/>
                <w:color w:val="auto"/>
              </w:rPr>
            </w:pPr>
          </w:p>
        </w:tc>
      </w:tr>
      <w:tr>
        <w:trPr>
          <w:trHeight w:val="255"/>
        </w:trPr>
        <w:tc>
          <w:tcPr>
            <w:tcW w:w="2080" w:type="dxa"/>
            <w:vAlign w:val="bottom"/>
            <w:tcBorders>
              <w:left w:val="single" w:sz="8" w:color="CFCFCF"/>
              <w:bottom w:val="single" w:sz="8" w:color="CFCFCF"/>
            </w:tcBorders>
          </w:tcPr>
          <w:p>
            <w:pPr>
              <w:spacing w:after="0"/>
              <w:rPr>
                <w:sz w:val="22"/>
                <w:szCs w:val="22"/>
                <w:color w:val="auto"/>
              </w:rPr>
            </w:pPr>
          </w:p>
        </w:tc>
        <w:tc>
          <w:tcPr>
            <w:tcW w:w="2620" w:type="dxa"/>
            <w:vAlign w:val="bottom"/>
            <w:tcBorders>
              <w:bottom w:val="single" w:sz="8" w:color="CFCFCF"/>
            </w:tcBorders>
          </w:tcPr>
          <w:p>
            <w:pPr>
              <w:spacing w:after="0"/>
              <w:rPr>
                <w:sz w:val="22"/>
                <w:szCs w:val="22"/>
                <w:color w:val="auto"/>
              </w:rPr>
            </w:pPr>
          </w:p>
        </w:tc>
        <w:tc>
          <w:tcPr>
            <w:tcW w:w="1300" w:type="dxa"/>
            <w:vAlign w:val="bottom"/>
            <w:tcBorders>
              <w:bottom w:val="single" w:sz="8" w:color="CFCFCF"/>
              <w:right w:val="single" w:sz="8" w:color="CFCFCF"/>
            </w:tcBorders>
          </w:tcPr>
          <w:p>
            <w:pPr>
              <w:spacing w:after="0"/>
              <w:rPr>
                <w:sz w:val="22"/>
                <w:szCs w:val="22"/>
                <w:color w:val="auto"/>
              </w:rPr>
            </w:pPr>
          </w:p>
        </w:tc>
        <w:tc>
          <w:tcPr>
            <w:tcW w:w="4380" w:type="dxa"/>
            <w:vAlign w:val="bottom"/>
            <w:tcBorders>
              <w:bottom w:val="single" w:sz="8" w:color="CFCFCF"/>
            </w:tcBorders>
          </w:tcPr>
          <w:p>
            <w:pPr>
              <w:spacing w:after="0"/>
              <w:rPr>
                <w:sz w:val="22"/>
                <w:szCs w:val="22"/>
                <w:color w:val="auto"/>
              </w:rPr>
            </w:pPr>
          </w:p>
        </w:tc>
        <w:tc>
          <w:tcPr>
            <w:tcW w:w="860" w:type="dxa"/>
            <w:vAlign w:val="bottom"/>
            <w:tcBorders>
              <w:bottom w:val="single" w:sz="8" w:color="CFCFCF"/>
              <w:right w:val="single" w:sz="8" w:color="CFCFCF"/>
            </w:tcBorders>
          </w:tcPr>
          <w:p>
            <w:pPr>
              <w:spacing w:after="0"/>
              <w:rPr>
                <w:sz w:val="22"/>
                <w:szCs w:val="22"/>
                <w:color w:val="auto"/>
              </w:rPr>
            </w:pPr>
          </w:p>
        </w:tc>
      </w:tr>
      <w:tr>
        <w:trPr>
          <w:trHeight w:val="233"/>
        </w:trPr>
        <w:tc>
          <w:tcPr>
            <w:tcW w:w="6000" w:type="dxa"/>
            <w:vAlign w:val="bottom"/>
            <w:tcBorders>
              <w:left w:val="single" w:sz="8" w:color="CFCFCF"/>
              <w:right w:val="single" w:sz="8" w:color="CFCFCF"/>
            </w:tcBorders>
            <w:gridSpan w:val="3"/>
          </w:tcPr>
          <w:p>
            <w:pPr>
              <w:ind w:left="40"/>
              <w:spacing w:after="0"/>
              <w:rPr>
                <w:sz w:val="20"/>
                <w:szCs w:val="20"/>
                <w:color w:val="auto"/>
              </w:rPr>
            </w:pPr>
            <w:r>
              <w:rPr>
                <w:rFonts w:ascii="Arial" w:cs="Arial" w:eastAsia="Arial" w:hAnsi="Arial"/>
                <w:sz w:val="20"/>
                <w:szCs w:val="20"/>
                <w:b w:val="1"/>
                <w:bCs w:val="1"/>
                <w:color w:val="auto"/>
              </w:rPr>
              <w:t xml:space="preserve">Optimum Strategic Communications </w:t>
            </w:r>
            <w:r>
              <w:rPr>
                <w:rFonts w:ascii="Arial" w:cs="Arial" w:eastAsia="Arial" w:hAnsi="Arial"/>
                <w:sz w:val="20"/>
                <w:szCs w:val="20"/>
                <w:color w:val="auto"/>
              </w:rPr>
              <w:t>(International Media and</w:t>
            </w:r>
          </w:p>
        </w:tc>
        <w:tc>
          <w:tcPr>
            <w:tcW w:w="5240" w:type="dxa"/>
            <w:vAlign w:val="bottom"/>
            <w:tcBorders>
              <w:right w:val="single" w:sz="8" w:color="CFCFCF"/>
            </w:tcBorders>
            <w:gridSpan w:val="2"/>
          </w:tcPr>
          <w:p>
            <w:pPr>
              <w:ind w:left="20"/>
              <w:spacing w:after="0"/>
              <w:rPr>
                <w:sz w:val="20"/>
                <w:szCs w:val="20"/>
                <w:color w:val="auto"/>
              </w:rPr>
            </w:pPr>
            <w:r>
              <w:rPr>
                <w:rFonts w:ascii="Arial" w:cs="Arial" w:eastAsia="Arial" w:hAnsi="Arial"/>
                <w:sz w:val="20"/>
                <w:szCs w:val="20"/>
                <w:color w:val="auto"/>
              </w:rPr>
              <w:t xml:space="preserve">Tel: +44 (0)203 882 9621 </w:t>
            </w:r>
            <w:r>
              <w:rPr>
                <w:rFonts w:ascii="Arial" w:cs="Arial" w:eastAsia="Arial" w:hAnsi="Arial"/>
                <w:sz w:val="20"/>
                <w:szCs w:val="20"/>
                <w:color w:val="0000FF"/>
              </w:rPr>
              <w:t>verona@optimumcomms.co</w:t>
            </w:r>
          </w:p>
        </w:tc>
      </w:tr>
      <w:tr>
        <w:trPr>
          <w:trHeight w:val="242"/>
        </w:trPr>
        <w:tc>
          <w:tcPr>
            <w:tcW w:w="4700" w:type="dxa"/>
            <w:vAlign w:val="bottom"/>
            <w:tcBorders>
              <w:left w:val="single" w:sz="8" w:color="CFCFCF"/>
              <w:bottom w:val="single" w:sz="8" w:color="CFCFCF"/>
            </w:tcBorders>
            <w:gridSpan w:val="2"/>
          </w:tcPr>
          <w:p>
            <w:pPr>
              <w:ind w:left="40"/>
              <w:spacing w:after="0"/>
              <w:rPr>
                <w:sz w:val="20"/>
                <w:szCs w:val="20"/>
                <w:color w:val="auto"/>
              </w:rPr>
            </w:pPr>
            <w:r>
              <w:rPr>
                <w:rFonts w:ascii="Arial" w:cs="Arial" w:eastAsia="Arial" w:hAnsi="Arial"/>
                <w:sz w:val="20"/>
                <w:szCs w:val="20"/>
                <w:color w:val="auto"/>
              </w:rPr>
              <w:t>European Investor Enquiries)</w:t>
            </w:r>
          </w:p>
        </w:tc>
        <w:tc>
          <w:tcPr>
            <w:tcW w:w="1300" w:type="dxa"/>
            <w:vAlign w:val="bottom"/>
            <w:tcBorders>
              <w:bottom w:val="single" w:sz="8" w:color="CFCFCF"/>
              <w:right w:val="single" w:sz="8" w:color="CFCFCF"/>
            </w:tcBorders>
          </w:tcPr>
          <w:p>
            <w:pPr>
              <w:spacing w:after="0"/>
              <w:rPr>
                <w:sz w:val="21"/>
                <w:szCs w:val="21"/>
                <w:color w:val="auto"/>
              </w:rPr>
            </w:pPr>
          </w:p>
        </w:tc>
        <w:tc>
          <w:tcPr>
            <w:tcW w:w="4380" w:type="dxa"/>
            <w:vAlign w:val="bottom"/>
            <w:tcBorders>
              <w:bottom w:val="single" w:sz="8" w:color="CFCFCF"/>
            </w:tcBorders>
          </w:tcPr>
          <w:p>
            <w:pPr>
              <w:spacing w:after="0"/>
              <w:rPr>
                <w:sz w:val="21"/>
                <w:szCs w:val="21"/>
                <w:color w:val="auto"/>
              </w:rPr>
            </w:pPr>
          </w:p>
        </w:tc>
        <w:tc>
          <w:tcPr>
            <w:tcW w:w="860" w:type="dxa"/>
            <w:vAlign w:val="bottom"/>
            <w:tcBorders>
              <w:bottom w:val="single" w:sz="8" w:color="CFCFCF"/>
              <w:right w:val="single" w:sz="8" w:color="CFCFCF"/>
            </w:tcBorders>
          </w:tcPr>
          <w:p>
            <w:pPr>
              <w:spacing w:after="0"/>
              <w:rPr>
                <w:sz w:val="21"/>
                <w:szCs w:val="21"/>
                <w:color w:val="auto"/>
              </w:rPr>
            </w:pPr>
          </w:p>
        </w:tc>
      </w:tr>
      <w:tr>
        <w:trPr>
          <w:trHeight w:val="263"/>
        </w:trPr>
        <w:tc>
          <w:tcPr>
            <w:tcW w:w="4700" w:type="dxa"/>
            <w:vAlign w:val="bottom"/>
            <w:tcBorders>
              <w:left w:val="single" w:sz="8" w:color="CFCFCF"/>
              <w:bottom w:val="single" w:sz="8" w:color="CFCFCF"/>
            </w:tcBorders>
            <w:gridSpan w:val="2"/>
          </w:tcPr>
          <w:p>
            <w:pPr>
              <w:ind w:left="40"/>
              <w:spacing w:after="0"/>
              <w:rPr>
                <w:sz w:val="20"/>
                <w:szCs w:val="20"/>
                <w:color w:val="auto"/>
              </w:rPr>
            </w:pPr>
            <w:r>
              <w:rPr>
                <w:rFonts w:ascii="Arial" w:cs="Arial" w:eastAsia="Arial" w:hAnsi="Arial"/>
                <w:sz w:val="20"/>
                <w:szCs w:val="20"/>
                <w:color w:val="auto"/>
              </w:rPr>
              <w:t>Mary Clark / Stella Lempidaki / Zoe Bolt</w:t>
            </w:r>
          </w:p>
        </w:tc>
        <w:tc>
          <w:tcPr>
            <w:tcW w:w="1300" w:type="dxa"/>
            <w:vAlign w:val="bottom"/>
            <w:tcBorders>
              <w:bottom w:val="single" w:sz="8" w:color="CFCFCF"/>
              <w:right w:val="single" w:sz="8" w:color="CFCFCF"/>
            </w:tcBorders>
          </w:tcPr>
          <w:p>
            <w:pPr>
              <w:spacing w:after="0"/>
              <w:rPr>
                <w:sz w:val="22"/>
                <w:szCs w:val="22"/>
                <w:color w:val="auto"/>
              </w:rPr>
            </w:pPr>
          </w:p>
        </w:tc>
        <w:tc>
          <w:tcPr>
            <w:tcW w:w="4380" w:type="dxa"/>
            <w:vAlign w:val="bottom"/>
            <w:tcBorders>
              <w:bottom w:val="single" w:sz="8" w:color="CFCFCF"/>
            </w:tcBorders>
          </w:tcPr>
          <w:p>
            <w:pPr>
              <w:spacing w:after="0"/>
              <w:rPr>
                <w:sz w:val="22"/>
                <w:szCs w:val="22"/>
                <w:color w:val="auto"/>
              </w:rPr>
            </w:pPr>
          </w:p>
        </w:tc>
        <w:tc>
          <w:tcPr>
            <w:tcW w:w="860" w:type="dxa"/>
            <w:vAlign w:val="bottom"/>
            <w:tcBorders>
              <w:bottom w:val="single" w:sz="8" w:color="CFCFCF"/>
              <w:right w:val="single" w:sz="8" w:color="CFCFCF"/>
            </w:tcBorders>
          </w:tcPr>
          <w:p>
            <w:pPr>
              <w:spacing w:after="0"/>
              <w:rPr>
                <w:sz w:val="22"/>
                <w:szCs w:val="2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118"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The Company is evaluating nebulized ensifentrine in its Phase 3 clinical program ENHANCE (“Ensifentrine as a Novel inHAled Nebulized COPD thErapy”) for COPD maintenance treatment. Two additional formulations of ensifentrine are in Phase 2 development for the treatment of COPD: dry powder inhaler (“DPI”) and pressurized metered-dose inhaler (“pMDI”). Ensifentrine has potential applications in cystic fibrosis, asthma and other respiratory diseases. For more information, please visit </w:t>
      </w:r>
      <w:r>
        <w:rPr>
          <w:rFonts w:ascii="Arial" w:cs="Arial" w:eastAsia="Arial" w:hAnsi="Arial"/>
          <w:sz w:val="19"/>
          <w:szCs w:val="19"/>
          <w:color w:val="0000FF"/>
        </w:rPr>
        <w:t>www.veronapharma.com</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8" w:name="page9"/>
    <w:bookmarkEnd w:id="8"/>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Impact</w:t>
      </w:r>
    </w:p>
    <w:p>
      <w:pPr>
        <w:spacing w:after="0" w:line="11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Verona Pharma is closely monitoring the potential impact of the COVID-19 pandemic on its operations and clinical trials, in particular the timelines and costs of its Phase 3 clinical program ENHANCE. The pandemic and government and other measures in response continue to impact a number of clinical trial activities and the Company will provide an update if it becomes aware of any meaningful disruption caused by the pandemic to its clinical trials.</w:t>
      </w:r>
    </w:p>
    <w:p>
      <w:pPr>
        <w:spacing w:after="0" w:line="9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To help protect the health and safety of the patients, caregivers and healthcare professionals involved in its clinical trials, as well as its employees and independent contractors, the Company continues to follow guidance from the FDA and other health regulatory authorities regarding the conduct of clinical trials during the COVID-19 pandemic to ensure the safety of study participants, minimize risks to study integrity, and maintain compliance with good clinical practice (GCP).</w:t>
      </w:r>
    </w:p>
    <w:p>
      <w:pPr>
        <w:spacing w:after="0" w:line="9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COVID-19 pandemic is disrupting supply chains, and employee retention and recruitment, globally and the Company is closely monitoring this situation and will provide an update if it becomes aware of any meaningful disruption caused by the pandemic to the supply of ensifentrine and drug-related products, equipment and services for its clinical trials.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Russia-Ukraine Conflict</w:t>
      </w:r>
    </w:p>
    <w:p>
      <w:pPr>
        <w:spacing w:after="0" w:line="11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Verona Pharma is conducting its ENHANCE-1 program at a number of clinical trial sites in Russia. If the U.S. or other countries impose further sanctions or other restrictions as a result of the current conflict between Russia and Ukraine, we may encounter problems transferring funds into Russia to pay the clinical trial sites, supplying ensifentrine and equipment to trial sites, or validating trial data, which would increase the cost and timelines of our Phase 3 program. The Company is closely monitoring this situation.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9" w:name="page10"/>
    <w:bookmarkEnd w:id="9"/>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press release contains forward-looking statements. All statements contained in this press release with respect to our operational review, outlook and financial review that do not relate to matters of historical fact should be considered forward-looking statements, including, but not limited to, statements regarding the development of ensifentrine and the progress and timing of clinical trials and data, the goals and design of clinical trials, the assumptions underlying the Company’s models on clinical trial recruitment and progress, including the potential impact of the COVID-19 pandemic and the Russia-Ukraine conflict on such progress and on our business and operations and the Company’s future financial results, the timing of submission of an NDA for ensifentrine, the potential for ensifentrine to be the first therapy for the treatment of respiratory diseases to combine bronchodilator and anti-inflammatory effects in one compound, the potential of ensifentrine in the treatment of COPD, cystic fibrosis, asthma and other respiratory diseases, as well as the potential of the DPI and pMDI formulations of ensifentrine, the funding we expect to become available under the $30.0 million debt financing facility and from cash receipts from U.K. tax credits, and the sufficiency of cash and cash equivalents.</w:t>
      </w:r>
    </w:p>
    <w:p>
      <w:pPr>
        <w:spacing w:after="0" w:line="9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geo-political actions and unexpected events, including health epidemics or pandemics like the COVID-19 pandemic, and conflicts such as the Russia-Ukraine conflict, which has and may continue to adversely impact our business. These and other important factors under the caption “Risk Factors” in our Annual Report on Form 10-K for the year ended December 31, 2021,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subsequent events cause our views to change. These forward-looking statements should not be relied upon as representing our views as of any date subsequent to the date of this press release.</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2323"/>
        </w:rPr>
        <w:t>Verona Pharma, plc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2323"/>
        </w:rPr>
        <w:t>Consolidated Financial Summary</w:t>
      </w:r>
    </w:p>
    <w:p>
      <w:pPr>
        <w:spacing w:after="0" w:line="10" w:lineRule="exact"/>
        <w:rPr>
          <w:sz w:val="20"/>
          <w:szCs w:val="20"/>
          <w:color w:val="auto"/>
        </w:rPr>
      </w:pPr>
    </w:p>
    <w:tbl>
      <w:tblPr>
        <w:tblLayout w:type="fixed"/>
        <w:tblInd w:w="370" w:type="dxa"/>
        <w:tblCellMar>
          <w:top w:w="0" w:type="dxa"/>
          <w:left w:w="0" w:type="dxa"/>
          <w:bottom w:w="0" w:type="dxa"/>
          <w:right w:w="0" w:type="dxa"/>
        </w:tblCellMar>
      </w:tblPr>
      <w:tr>
        <w:trPr>
          <w:trHeight w:val="253"/>
        </w:trPr>
        <w:tc>
          <w:tcPr>
            <w:tcW w:w="3640" w:type="dxa"/>
            <w:vAlign w:val="bottom"/>
            <w:tcBorders>
              <w:top w:val="single" w:sz="8" w:color="auto"/>
              <w:left w:val="single" w:sz="8" w:color="auto"/>
            </w:tcBorders>
          </w:tcPr>
          <w:p>
            <w:pPr>
              <w:spacing w:after="0"/>
              <w:rPr>
                <w:sz w:val="21"/>
                <w:szCs w:val="21"/>
                <w:color w:val="auto"/>
              </w:rPr>
            </w:pPr>
          </w:p>
        </w:tc>
        <w:tc>
          <w:tcPr>
            <w:tcW w:w="3020" w:type="dxa"/>
            <w:vAlign w:val="bottom"/>
            <w:tcBorders>
              <w:top w:val="single" w:sz="8" w:color="auto"/>
            </w:tcBorders>
            <w:gridSpan w:val="5"/>
          </w:tcPr>
          <w:p>
            <w:pPr>
              <w:jc w:val="center"/>
              <w:spacing w:after="0"/>
              <w:rPr>
                <w:sz w:val="20"/>
                <w:szCs w:val="20"/>
                <w:color w:val="auto"/>
              </w:rPr>
            </w:pPr>
            <w:r>
              <w:rPr>
                <w:rFonts w:ascii="Arial" w:cs="Arial" w:eastAsia="Arial" w:hAnsi="Arial"/>
                <w:sz w:val="20"/>
                <w:szCs w:val="20"/>
                <w:color w:val="auto"/>
                <w:w w:val="99"/>
              </w:rPr>
              <w:t>Three months ended December</w:t>
            </w:r>
          </w:p>
        </w:tc>
        <w:tc>
          <w:tcPr>
            <w:tcW w:w="8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900" w:type="dxa"/>
            <w:vAlign w:val="bottom"/>
            <w:tcBorders>
              <w:top w:val="single" w:sz="8" w:color="auto"/>
              <w:right w:val="single" w:sz="8" w:color="auto"/>
            </w:tcBorders>
            <w:gridSpan w:val="4"/>
          </w:tcPr>
          <w:p>
            <w:pPr>
              <w:jc w:val="right"/>
              <w:ind w:right="241"/>
              <w:spacing w:after="0"/>
              <w:rPr>
                <w:sz w:val="20"/>
                <w:szCs w:val="20"/>
                <w:color w:val="auto"/>
              </w:rPr>
            </w:pPr>
            <w:r>
              <w:rPr>
                <w:rFonts w:ascii="Arial" w:cs="Arial" w:eastAsia="Arial" w:hAnsi="Arial"/>
                <w:sz w:val="20"/>
                <w:szCs w:val="20"/>
                <w:color w:val="auto"/>
              </w:rPr>
              <w:t>Years ended December 31,</w:t>
            </w:r>
          </w:p>
        </w:tc>
      </w:tr>
      <w:tr>
        <w:trPr>
          <w:trHeight w:val="237"/>
        </w:trPr>
        <w:tc>
          <w:tcPr>
            <w:tcW w:w="364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w w:val="93"/>
              </w:rPr>
              <w:t>31,</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r>
      <w:tr>
        <w:trPr>
          <w:trHeight w:val="273"/>
        </w:trPr>
        <w:tc>
          <w:tcPr>
            <w:tcW w:w="3640" w:type="dxa"/>
            <w:vAlign w:val="bottom"/>
            <w:tcBorders>
              <w:lef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2021</w:t>
            </w:r>
          </w:p>
        </w:tc>
        <w:tc>
          <w:tcPr>
            <w:tcW w:w="3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2020</w:t>
            </w:r>
          </w:p>
        </w:tc>
        <w:tc>
          <w:tcPr>
            <w:tcW w:w="8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2021</w:t>
            </w:r>
          </w:p>
        </w:tc>
        <w:tc>
          <w:tcPr>
            <w:tcW w:w="3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2020</w:t>
            </w:r>
          </w:p>
        </w:tc>
      </w:tr>
      <w:tr>
        <w:trPr>
          <w:trHeight w:val="261"/>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Revenue</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40,000</w:t>
            </w:r>
          </w:p>
        </w:tc>
        <w:tc>
          <w:tcPr>
            <w:tcW w:w="3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w:t>
            </w:r>
          </w:p>
        </w:tc>
      </w:tr>
      <w:tr>
        <w:trPr>
          <w:trHeight w:val="270"/>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b w:val="1"/>
                <w:bCs w:val="1"/>
                <w:color w:val="auto"/>
              </w:rPr>
              <w:t>Operating expenses</w:t>
            </w: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r>
      <w:tr>
        <w:trPr>
          <w:trHeight w:val="270"/>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Research and development</w:t>
            </w:r>
          </w:p>
        </w:tc>
        <w:tc>
          <w:tcPr>
            <w:tcW w:w="1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22,709</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16,246</w:t>
            </w: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79,406</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44,505</w:t>
            </w:r>
          </w:p>
        </w:tc>
      </w:tr>
      <w:tr>
        <w:trPr>
          <w:trHeight w:val="273"/>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Selling general and administrative</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5,757</w:t>
            </w:r>
          </w:p>
        </w:tc>
        <w:tc>
          <w:tcPr>
            <w:tcW w:w="3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11,454</w:t>
            </w:r>
          </w:p>
        </w:tc>
        <w:tc>
          <w:tcPr>
            <w:tcW w:w="8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33,907</w:t>
            </w:r>
          </w:p>
        </w:tc>
        <w:tc>
          <w:tcPr>
            <w:tcW w:w="3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29,772</w:t>
            </w:r>
          </w:p>
        </w:tc>
      </w:tr>
      <w:tr>
        <w:trPr>
          <w:trHeight w:val="263"/>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b w:val="1"/>
                <w:bCs w:val="1"/>
                <w:color w:val="auto"/>
              </w:rPr>
              <w:t>Total operating expenses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28,466</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27,700</w:t>
            </w:r>
          </w:p>
        </w:tc>
        <w:tc>
          <w:tcPr>
            <w:tcW w:w="8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113,313</w:t>
            </w: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74,277</w:t>
            </w:r>
          </w:p>
        </w:tc>
      </w:tr>
      <w:tr>
        <w:trPr>
          <w:trHeight w:val="261"/>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b w:val="1"/>
                <w:bCs w:val="1"/>
                <w:color w:val="auto"/>
              </w:rPr>
              <w:t>Operating loss</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(28,466)</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(27,700)</w:t>
            </w: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(73,313)</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(74,277)</w:t>
            </w:r>
          </w:p>
        </w:tc>
      </w:tr>
      <w:tr>
        <w:trPr>
          <w:trHeight w:val="270"/>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b w:val="1"/>
                <w:bCs w:val="1"/>
                <w:color w:val="auto"/>
              </w:rPr>
              <w:t>Other income / (expense)</w:t>
            </w: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r>
      <w:tr>
        <w:trPr>
          <w:trHeight w:val="270"/>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Benefit from R&amp;D tax credit</w:t>
            </w:r>
          </w:p>
        </w:tc>
        <w:tc>
          <w:tcPr>
            <w:tcW w:w="1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4,975</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2,458</w:t>
            </w: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15,630</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8,267</w:t>
            </w:r>
          </w:p>
        </w:tc>
      </w:tr>
      <w:tr>
        <w:trPr>
          <w:trHeight w:val="270"/>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Interest income</w:t>
            </w:r>
          </w:p>
        </w:tc>
        <w:tc>
          <w:tcPr>
            <w:tcW w:w="1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3</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5</w:t>
            </w: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121</w:t>
            </w:r>
          </w:p>
        </w:tc>
      </w:tr>
      <w:tr>
        <w:trPr>
          <w:trHeight w:val="270"/>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Interest expense</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(85)</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(35)</w:t>
            </w: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(340)</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(35)</w:t>
            </w:r>
          </w:p>
        </w:tc>
      </w:tr>
      <w:tr>
        <w:trPr>
          <w:trHeight w:val="270"/>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Fair value movement on warrants</w:t>
            </w:r>
          </w:p>
        </w:tc>
        <w:tc>
          <w:tcPr>
            <w:tcW w:w="1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(389)</w:t>
            </w: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2,246</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(1,136)</w:t>
            </w:r>
          </w:p>
        </w:tc>
      </w:tr>
      <w:tr>
        <w:trPr>
          <w:trHeight w:val="273"/>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Foreign exchange gain</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59</w:t>
            </w:r>
          </w:p>
        </w:tc>
        <w:tc>
          <w:tcPr>
            <w:tcW w:w="3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872</w:t>
            </w:r>
          </w:p>
        </w:tc>
        <w:tc>
          <w:tcPr>
            <w:tcW w:w="8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w:t>
            </w:r>
          </w:p>
        </w:tc>
        <w:tc>
          <w:tcPr>
            <w:tcW w:w="3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2,060</w:t>
            </w:r>
          </w:p>
        </w:tc>
      </w:tr>
      <w:tr>
        <w:trPr>
          <w:trHeight w:val="263"/>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b w:val="1"/>
                <w:bCs w:val="1"/>
                <w:color w:val="auto"/>
              </w:rPr>
              <w:t>Total other income, net</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4,954</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2,911</w:t>
            </w:r>
          </w:p>
        </w:tc>
        <w:tc>
          <w:tcPr>
            <w:tcW w:w="8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17,726</w:t>
            </w: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9,277</w:t>
            </w:r>
          </w:p>
        </w:tc>
      </w:tr>
      <w:tr>
        <w:trPr>
          <w:trHeight w:val="260"/>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b w:val="1"/>
                <w:bCs w:val="1"/>
                <w:color w:val="auto"/>
              </w:rPr>
              <w:t>Loss before income taxes</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(23,512)</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(24,789)</w:t>
            </w: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(55,587)</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(65,000)</w:t>
            </w:r>
          </w:p>
        </w:tc>
      </w:tr>
      <w:tr>
        <w:trPr>
          <w:trHeight w:val="273"/>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Income tax credit / (expense)</w:t>
            </w: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250</w:t>
            </w:r>
          </w:p>
        </w:tc>
        <w:tc>
          <w:tcPr>
            <w:tcW w:w="3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c>
          <w:tcPr>
            <w:tcW w:w="8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3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(146)</w:t>
            </w:r>
          </w:p>
        </w:tc>
      </w:tr>
      <w:tr>
        <w:trPr>
          <w:trHeight w:val="265"/>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b w:val="1"/>
                <w:bCs w:val="1"/>
                <w:color w:val="auto"/>
              </w:rPr>
              <w:t>Net loss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(23,262)</w:t>
            </w:r>
          </w:p>
        </w:tc>
        <w:tc>
          <w:tcPr>
            <w:tcW w:w="4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(24,825)</w:t>
            </w: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(55,569)</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(65,146)</w:t>
            </w:r>
          </w:p>
        </w:tc>
      </w:tr>
      <w:tr>
        <w:trPr>
          <w:trHeight w:val="507"/>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Weighted average shares outstanding</w:t>
            </w: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98"/>
              </w:rPr>
              <w:t>479,210,145</w:t>
            </w:r>
          </w:p>
        </w:tc>
        <w:tc>
          <w:tcPr>
            <w:tcW w:w="3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98"/>
              </w:rPr>
              <w:t>462,798,050</w:t>
            </w:r>
          </w:p>
        </w:tc>
        <w:tc>
          <w:tcPr>
            <w:tcW w:w="84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8"/>
              </w:rPr>
              <w:t>473,188,457</w:t>
            </w:r>
          </w:p>
        </w:tc>
        <w:tc>
          <w:tcPr>
            <w:tcW w:w="3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262,932,653</w:t>
            </w:r>
          </w:p>
        </w:tc>
      </w:tr>
      <w:tr>
        <w:trPr>
          <w:trHeight w:val="481"/>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Loss per ordinary share — basic and</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(0.05)</w:t>
            </w:r>
          </w:p>
        </w:tc>
        <w:tc>
          <w:tcPr>
            <w:tcW w:w="4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(0.05)</w:t>
            </w:r>
          </w:p>
        </w:tc>
        <w:tc>
          <w:tcPr>
            <w:tcW w:w="10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(0.12)</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(0.25)</w:t>
            </w:r>
          </w:p>
        </w:tc>
      </w:tr>
      <w:tr>
        <w:trPr>
          <w:trHeight w:val="242"/>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diluted</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r>
      <w:tr>
        <w:trPr>
          <w:trHeight w:val="518"/>
        </w:trPr>
        <w:tc>
          <w:tcPr>
            <w:tcW w:w="3640" w:type="dxa"/>
            <w:vAlign w:val="bottom"/>
            <w:tcBorders>
              <w:lef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2021</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2020</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r>
      <w:tr>
        <w:trPr>
          <w:trHeight w:val="260"/>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148,380</w:t>
            </w:r>
          </w:p>
        </w:tc>
        <w:tc>
          <w:tcPr>
            <w:tcW w:w="4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187,986</w:t>
            </w: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70"/>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Total assets</w:t>
            </w:r>
          </w:p>
        </w:tc>
        <w:tc>
          <w:tcPr>
            <w:tcW w:w="1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186,587</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204,206</w:t>
            </w: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r>
      <w:tr>
        <w:trPr>
          <w:trHeight w:val="270"/>
        </w:trPr>
        <w:tc>
          <w:tcPr>
            <w:tcW w:w="36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Equity</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148,005</w:t>
            </w:r>
          </w:p>
        </w:tc>
        <w:tc>
          <w:tcPr>
            <w:tcW w:w="4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184,854</w:t>
            </w: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r>
      <w:tr>
        <w:trPr>
          <w:trHeight w:val="225"/>
        </w:trPr>
        <w:tc>
          <w:tcPr>
            <w:tcW w:w="364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2022-03-03T05:17:51Z</dcterms:created>
  <dcterms:modified xsi:type="dcterms:W3CDTF">2022-03-03T05:17:51Z</dcterms:modified>
</cp:coreProperties>
</file>