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Hahn Mark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05/03/2021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880" w:type="dxa"/>
            <w:vAlign w:val="bottom"/>
            <w:tcBorders>
              <w:bottom w:val="single" w:sz="8" w:color="2C2C2C"/>
            </w:tcBorders>
          </w:tcPr>
          <w:p>
            <w:pPr>
              <w:jc w:val="right"/>
              <w:ind w:right="51"/>
              <w:spacing w:after="0"/>
              <w:rPr>
                <w:sz w:val="20"/>
                <w:szCs w:val="20"/>
                <w:color w:val="auto"/>
              </w:rPr>
            </w:pPr>
            <w:r>
              <w:rPr>
                <w:rFonts w:ascii="Arial" w:cs="Arial" w:eastAsia="Arial" w:hAnsi="Arial"/>
                <w:sz w:val="17"/>
                <w:szCs w:val="17"/>
                <w:color w:val="0000FF"/>
                <w:w w:val="97"/>
              </w:rPr>
              <w:t>2,122,448</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0.8875</w:t>
            </w:r>
            <w:r>
              <w:rPr>
                <w:rFonts w:ascii="Arial" w:cs="Arial" w:eastAsia="Arial" w:hAnsi="Arial"/>
                <w:sz w:val="22"/>
                <w:szCs w:val="22"/>
                <w:color w:val="008000"/>
                <w:w w:val="95"/>
                <w:vertAlign w:val="superscript"/>
              </w:rPr>
              <w:t>(3)</w:t>
            </w:r>
          </w:p>
        </w:tc>
        <w:tc>
          <w:tcPr>
            <w:tcW w:w="120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16,932,056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05/03/2021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8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10,416</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0.8731</w:t>
            </w:r>
            <w:r>
              <w:rPr>
                <w:rFonts w:ascii="Arial" w:cs="Arial" w:eastAsia="Arial" w:hAnsi="Arial"/>
                <w:sz w:val="22"/>
                <w:szCs w:val="22"/>
                <w:color w:val="008000"/>
                <w:w w:val="95"/>
                <w:vertAlign w:val="superscript"/>
              </w:rPr>
              <w:t>(5)</w:t>
            </w:r>
          </w:p>
        </w:tc>
        <w:tc>
          <w:tcPr>
            <w:tcW w:w="120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0000FF"/>
                <w:w w:val="97"/>
              </w:rPr>
              <w:t>16,921,640</w:t>
            </w:r>
            <w:r>
              <w:rPr>
                <w:rFonts w:ascii="Arial" w:cs="Arial" w:eastAsia="Arial" w:hAnsi="Arial"/>
                <w:sz w:val="22"/>
                <w:szCs w:val="22"/>
                <w:color w:val="008000"/>
                <w:w w:val="97"/>
                <w:vertAlign w:val="superscript"/>
              </w:rPr>
              <w:t>(6)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the closing price of the Issuer's ADSs on the Nasdaq Stock Market LLC on May 3, 2021 divided by eight (8).</w:t>
      </w:r>
    </w:p>
    <w:p>
      <w:pPr>
        <w:spacing w:after="0" w:line="50" w:lineRule="exact"/>
        <w:rPr>
          <w:rFonts w:ascii="Arial" w:cs="Arial" w:eastAsia="Arial" w:hAnsi="Arial"/>
          <w:sz w:val="13"/>
          <w:szCs w:val="13"/>
          <w:color w:val="008000"/>
        </w:rPr>
      </w:pPr>
    </w:p>
    <w:p>
      <w:pPr>
        <w:ind w:left="40" w:right="6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the Form 4 was effected pursuant to a Rule 10b5-1 instruction solely with the intent to cover withholding taxes in connection with the vesting of certain previously reported Restricted Share Units.</w:t>
      </w:r>
    </w:p>
    <w:p>
      <w:pPr>
        <w:spacing w:after="0" w:line="15" w:lineRule="exact"/>
        <w:rPr>
          <w:rFonts w:ascii="Arial" w:cs="Arial" w:eastAsia="Arial" w:hAnsi="Arial"/>
          <w:sz w:val="13"/>
          <w:szCs w:val="13"/>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$0.8575 to $0.8838.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5" w:lineRule="exact"/>
        <w:rPr>
          <w:rFonts w:ascii="Arial" w:cs="Arial" w:eastAsia="Arial" w:hAnsi="Arial"/>
          <w:sz w:val="13"/>
          <w:szCs w:val="13"/>
          <w:color w:val="008000"/>
        </w:rPr>
      </w:pPr>
    </w:p>
    <w:p>
      <w:pPr>
        <w:ind w:left="40" w:right="4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12,794,464 Ordinary Shares underlying Restricted Share Units, each of which represents a contingent right to receive one (1) Ordinary Share of the Issuer (which are represented by 1,599,308 ADSs); and (ii) 4,127,176 Ordinary Shares underlying 515,987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05/05/2021</w:t>
            </w:r>
          </w:p>
        </w:tc>
        <w:tc>
          <w:tcPr>
            <w:tcW w:w="0" w:type="dxa"/>
            <w:vAlign w:val="bottom"/>
          </w:tcPr>
          <w:p>
            <w:pPr>
              <w:spacing w:after="0"/>
              <w:rPr>
                <w:sz w:val="1"/>
                <w:szCs w:val="1"/>
                <w:color w:val="auto"/>
              </w:rPr>
            </w:pPr>
          </w:p>
        </w:tc>
      </w:tr>
      <w:tr>
        <w:trPr>
          <w:trHeight w:val="87"/>
        </w:trPr>
        <w:tc>
          <w:tcPr>
            <w:tcW w:w="136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Mark Hahn</w:t>
            </w:r>
          </w:p>
        </w:tc>
        <w:tc>
          <w:tcPr>
            <w:tcW w:w="7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6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850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2021-05-05T15:17:16Z</dcterms:created>
  <dcterms:modified xsi:type="dcterms:W3CDTF">2021-05-05T15:17:16Z</dcterms:modified>
</cp:coreProperties>
</file>