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Verona Pharma plc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 nominal value £0.05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American Depositary Shares, each representing eight Ordinary Shares</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925050106**</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120" w:hanging="199"/>
        <w:spacing w:after="0"/>
        <w:tabs>
          <w:tab w:leader="none" w:pos="112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120" w:hanging="446"/>
        <w:spacing w:after="0" w:line="258"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 w:lineRule="exact"/>
        <w:rPr>
          <w:rFonts w:ascii="MS PGothic" w:cs="MS PGothic" w:eastAsia="MS PGothic" w:hAnsi="MS PGothic"/>
          <w:sz w:val="18"/>
          <w:szCs w:val="18"/>
          <w:color w:val="auto"/>
        </w:rPr>
      </w:pPr>
    </w:p>
    <w:p>
      <w:pPr>
        <w:ind w:left="460" w:right="400" w:hanging="452"/>
        <w:spacing w:after="0" w:line="261"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CUSIP number is for the American Depositary Shares that trade on the NASDAQ Global Market, each representing eight ordinary shares. No CUSIP number has been assigned to the Ordinary Shares.</w:t>
      </w:r>
    </w:p>
    <w:p>
      <w:pPr>
        <w:spacing w:after="0" w:line="184"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CUSIP No. </w:t>
      </w:r>
      <w:r>
        <w:rPr>
          <w:rFonts w:ascii="Arial" w:cs="Arial" w:eastAsia="Arial" w:hAnsi="Arial"/>
          <w:sz w:val="18"/>
          <w:szCs w:val="18"/>
          <w:b w:val="1"/>
          <w:bCs w:val="1"/>
          <w:color w:val="auto"/>
        </w:rPr>
        <w:t>925050106</w:t>
      </w:r>
    </w:p>
    <w:p>
      <w:pPr>
        <w:spacing w:after="0" w:line="27"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50253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025390"/>
                    </a:xfrm>
                    <a:prstGeom prst="rect">
                      <a:avLst/>
                    </a:prstGeom>
                    <a:noFill/>
                  </pic:spPr>
                </pic:pic>
              </a:graphicData>
            </a:graphic>
          </wp:anchor>
        </w:drawing>
      </w:r>
    </w:p>
    <w:p>
      <w:pPr>
        <w:spacing w:after="0" w:line="22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Novo Holdings A/S (formerly known as Novo A/S)</w:t>
      </w:r>
    </w:p>
    <w:p>
      <w:pPr>
        <w:spacing w:after="0" w:line="24"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Check the Appropriate Box if a Member of Group (See Instructions):</w:t>
      </w:r>
    </w:p>
    <w:p>
      <w:pPr>
        <w:spacing w:after="0" w:line="23" w:lineRule="exact"/>
        <w:rPr>
          <w:sz w:val="20"/>
          <w:szCs w:val="20"/>
          <w:color w:val="auto"/>
        </w:rPr>
      </w:pPr>
    </w:p>
    <w:p>
      <w:pPr>
        <w:ind w:left="540"/>
        <w:spacing w:after="0" w:line="253" w:lineRule="exact"/>
        <w:tabs>
          <w:tab w:leader="none" w:pos="1480" w:val="left"/>
        </w:tabs>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2"/>
          <w:szCs w:val="22"/>
          <w:color w:val="auto"/>
        </w:rPr>
        <w:t>☐</w:t>
      </w:r>
      <w:r>
        <w:rPr>
          <w:sz w:val="20"/>
          <w:szCs w:val="20"/>
          <w:color w:val="auto"/>
        </w:rPr>
        <w:tab/>
      </w:r>
      <w:r>
        <w:rPr>
          <w:rFonts w:ascii="Arial" w:cs="Arial" w:eastAsia="Arial" w:hAnsi="Arial"/>
          <w:sz w:val="22"/>
          <w:szCs w:val="22"/>
          <w:color w:val="auto"/>
        </w:rPr>
        <w:t xml:space="preserve">(b) </w:t>
      </w:r>
      <w:r>
        <w:rPr>
          <w:rFonts w:ascii="MS PGothic" w:cs="MS PGothic" w:eastAsia="MS PGothic" w:hAnsi="MS PGothic"/>
          <w:sz w:val="22"/>
          <w:szCs w:val="22"/>
          <w:color w:val="auto"/>
        </w:rPr>
        <w:t>☐</w:t>
      </w:r>
    </w:p>
    <w:p>
      <w:pPr>
        <w:spacing w:after="0" w:line="259" w:lineRule="exact"/>
        <w:rPr>
          <w:sz w:val="20"/>
          <w:szCs w:val="20"/>
          <w:color w:val="auto"/>
        </w:rPr>
      </w:pPr>
    </w:p>
    <w:p>
      <w:pPr>
        <w:ind w:left="540" w:hanging="285"/>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49" w:lineRule="exact"/>
        <w:rPr>
          <w:rFonts w:ascii="Arial" w:cs="Arial" w:eastAsia="Arial" w:hAnsi="Arial"/>
          <w:sz w:val="18"/>
          <w:szCs w:val="18"/>
          <w:color w:val="auto"/>
        </w:rPr>
      </w:pPr>
    </w:p>
    <w:p>
      <w:pPr>
        <w:ind w:left="540" w:hanging="285"/>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2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Denmark</w:t>
      </w:r>
    </w:p>
    <w:p>
      <w:pPr>
        <w:spacing w:after="0" w:line="24"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100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98"/>
        </w:trPr>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14,159,611 (1)</w:t>
            </w:r>
          </w:p>
        </w:tc>
        <w:tc>
          <w:tcPr>
            <w:tcW w:w="0" w:type="dxa"/>
            <w:vAlign w:val="bottom"/>
          </w:tcPr>
          <w:p>
            <w:pPr>
              <w:spacing w:after="0"/>
              <w:rPr>
                <w:sz w:val="1"/>
                <w:szCs w:val="1"/>
                <w:color w:val="auto"/>
              </w:rPr>
            </w:pPr>
          </w:p>
        </w:tc>
      </w:tr>
      <w:tr>
        <w:trPr>
          <w:trHeight w:val="157"/>
        </w:trPr>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jc w:val="right"/>
              <w:spacing w:after="0" w:line="157" w:lineRule="exact"/>
              <w:rPr>
                <w:sz w:val="20"/>
                <w:szCs w:val="20"/>
                <w:color w:val="auto"/>
              </w:rPr>
            </w:pPr>
            <w:r>
              <w:rPr>
                <w:rFonts w:ascii="Arial" w:cs="Arial" w:eastAsia="Arial" w:hAnsi="Arial"/>
                <w:sz w:val="18"/>
                <w:szCs w:val="18"/>
                <w:color w:val="auto"/>
              </w:rPr>
              <w:t>6.</w:t>
            </w:r>
          </w:p>
        </w:tc>
        <w:tc>
          <w:tcPr>
            <w:tcW w:w="10080" w:type="dxa"/>
            <w:vAlign w:val="bottom"/>
          </w:tcPr>
          <w:p>
            <w:pPr>
              <w:ind w:left="100"/>
              <w:spacing w:after="0" w:line="157"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7"/>
        </w:trPr>
        <w:tc>
          <w:tcPr>
            <w:tcW w:w="940" w:type="dxa"/>
            <w:vAlign w:val="bottom"/>
            <w:gridSpan w:val="2"/>
          </w:tcPr>
          <w:p>
            <w:pPr>
              <w:jc w:val="center"/>
              <w:ind w:right="60"/>
              <w:spacing w:after="0" w:line="107" w:lineRule="exact"/>
              <w:rPr>
                <w:sz w:val="20"/>
                <w:szCs w:val="20"/>
                <w:color w:val="auto"/>
              </w:rPr>
            </w:pPr>
            <w:r>
              <w:rPr>
                <w:rFonts w:ascii="Arial" w:cs="Arial" w:eastAsia="Arial" w:hAnsi="Arial"/>
                <w:sz w:val="12"/>
                <w:szCs w:val="12"/>
                <w:color w:val="auto"/>
              </w:rPr>
              <w:t>Shares</w:t>
            </w:r>
          </w:p>
        </w:tc>
        <w:tc>
          <w:tcPr>
            <w:tcW w:w="260" w:type="dxa"/>
            <w:vAlign w:val="bottom"/>
          </w:tcPr>
          <w:p>
            <w:pPr>
              <w:spacing w:after="0"/>
              <w:rPr>
                <w:sz w:val="9"/>
                <w:szCs w:val="9"/>
                <w:color w:val="auto"/>
              </w:rPr>
            </w:pPr>
          </w:p>
        </w:tc>
        <w:tc>
          <w:tcPr>
            <w:tcW w:w="10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4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Beneficially</w:t>
            </w:r>
          </w:p>
        </w:tc>
        <w:tc>
          <w:tcPr>
            <w:tcW w:w="260" w:type="dxa"/>
            <w:vAlign w:val="bottom"/>
          </w:tcPr>
          <w:p>
            <w:pPr>
              <w:spacing w:after="0"/>
              <w:rPr>
                <w:sz w:val="18"/>
                <w:szCs w:val="18"/>
                <w:color w:val="auto"/>
              </w:rPr>
            </w:pPr>
          </w:p>
        </w:tc>
        <w:tc>
          <w:tcPr>
            <w:tcW w:w="1008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Owned By</w:t>
            </w:r>
          </w:p>
        </w:tc>
        <w:tc>
          <w:tcPr>
            <w:tcW w:w="260" w:type="dxa"/>
            <w:vAlign w:val="bottom"/>
          </w:tcPr>
          <w:p>
            <w:pPr>
              <w:spacing w:after="0"/>
              <w:rPr>
                <w:sz w:val="20"/>
                <w:szCs w:val="20"/>
                <w:color w:val="auto"/>
              </w:rPr>
            </w:pPr>
          </w:p>
        </w:tc>
        <w:tc>
          <w:tcPr>
            <w:tcW w:w="10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1008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Reporting</w:t>
            </w:r>
          </w:p>
        </w:tc>
        <w:tc>
          <w:tcPr>
            <w:tcW w:w="26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Person</w:t>
            </w:r>
          </w:p>
        </w:tc>
        <w:tc>
          <w:tcPr>
            <w:tcW w:w="260" w:type="dxa"/>
            <w:vAlign w:val="bottom"/>
          </w:tcPr>
          <w:p>
            <w:pPr>
              <w:spacing w:after="0"/>
              <w:rPr>
                <w:sz w:val="21"/>
                <w:szCs w:val="21"/>
                <w:color w:val="auto"/>
              </w:rPr>
            </w:pPr>
          </w:p>
        </w:tc>
        <w:tc>
          <w:tcPr>
            <w:tcW w:w="10080" w:type="dxa"/>
            <w:vAlign w:val="bottom"/>
          </w:tcPr>
          <w:p>
            <w:pPr>
              <w:ind w:left="100"/>
              <w:spacing w:after="0" w:line="244" w:lineRule="exact"/>
              <w:rPr>
                <w:sz w:val="20"/>
                <w:szCs w:val="20"/>
                <w:color w:val="auto"/>
              </w:rPr>
            </w:pPr>
            <w:r>
              <w:rPr>
                <w:rFonts w:ascii="Arial" w:cs="Arial" w:eastAsia="Arial" w:hAnsi="Arial"/>
                <w:sz w:val="22"/>
                <w:szCs w:val="22"/>
                <w:color w:val="auto"/>
              </w:rPr>
              <w:t>14,159,611 (1)</w:t>
            </w:r>
          </w:p>
        </w:tc>
        <w:tc>
          <w:tcPr>
            <w:tcW w:w="0" w:type="dxa"/>
            <w:vAlign w:val="bottom"/>
          </w:tcPr>
          <w:p>
            <w:pPr>
              <w:spacing w:after="0"/>
              <w:rPr>
                <w:sz w:val="1"/>
                <w:szCs w:val="1"/>
                <w:color w:val="auto"/>
              </w:rPr>
            </w:pPr>
          </w:p>
        </w:tc>
      </w:tr>
      <w:tr>
        <w:trPr>
          <w:trHeight w:val="68"/>
        </w:trPr>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8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0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9. Aggregate Amount Beneficially Owned by Each Reporting Person:</w:t>
      </w:r>
    </w:p>
    <w:p>
      <w:pPr>
        <w:spacing w:after="0" w:line="24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14,159,611 (1)</w:t>
      </w:r>
    </w:p>
    <w:p>
      <w:pPr>
        <w:spacing w:after="0" w:line="22" w:lineRule="exact"/>
        <w:rPr>
          <w:sz w:val="20"/>
          <w:szCs w:val="20"/>
          <w:color w:val="auto"/>
        </w:rPr>
      </w:pPr>
    </w:p>
    <w:p>
      <w:pPr>
        <w:ind w:left="500" w:hanging="335"/>
        <w:spacing w:after="0" w:line="207" w:lineRule="exact"/>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500" w:hanging="335"/>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13.3% (2)</w:t>
      </w:r>
    </w:p>
    <w:p>
      <w:pPr>
        <w:spacing w:after="0" w:line="24" w:lineRule="exact"/>
        <w:rPr>
          <w:sz w:val="20"/>
          <w:szCs w:val="20"/>
          <w:color w:val="auto"/>
        </w:rPr>
      </w:pPr>
    </w:p>
    <w:p>
      <w:pPr>
        <w:ind w:left="500" w:hanging="335"/>
        <w:spacing w:after="0"/>
        <w:tabs>
          <w:tab w:leader="none" w:pos="5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25" w:lineRule="exact"/>
        <w:rPr>
          <w:rFonts w:ascii="Arial" w:cs="Arial" w:eastAsia="Arial" w:hAnsi="Arial"/>
          <w:sz w:val="18"/>
          <w:szCs w:val="18"/>
          <w:color w:val="auto"/>
        </w:rPr>
      </w:pPr>
    </w:p>
    <w:p>
      <w:pPr>
        <w:ind w:left="460" w:right="100" w:hanging="452"/>
        <w:spacing w:after="0" w:line="256"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(a) 6,464,065 ordinary shares, (b) 740,740 American Depository Shares (“ADRs”) that each represent 8 ordinary shares (totaling 5,925,920 ordinary shares) and (c) vested warrants to purchase 1,769,626 ordinary shares (or 221,203 ADRs, at the election of Novo) held directly by Novo Holdings A/S (“Novo”) (together, the “Novo Shares”).</w:t>
      </w:r>
    </w:p>
    <w:p>
      <w:pPr>
        <w:ind w:left="460" w:right="48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upon 105,017,401 ordinary shares as reported in the Issuer’s Form 6-K filed with the Securities and Exchange Commission (the “SEC”) on November 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-730885</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40"/>
          </w:cols>
          <w:pgMar w:left="240" w:top="270"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1 amends the Schedule 13G filed with the SEC on May 9, 2017.</w:t>
      </w:r>
    </w:p>
    <w:p>
      <w:pPr>
        <w:spacing w:after="0" w:line="370" w:lineRule="exact"/>
        <w:rPr>
          <w:sz w:val="20"/>
          <w:szCs w:val="20"/>
          <w:color w:val="auto"/>
        </w:rPr>
      </w:pPr>
    </w:p>
    <w:p>
      <w:pPr>
        <w:spacing w:after="0"/>
        <w:tabs>
          <w:tab w:leader="none" w:pos="900" w:val="left"/>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Verona Pharma plc</w:t>
      </w:r>
    </w:p>
    <w:p>
      <w:pPr>
        <w:spacing w:after="0" w:line="127" w:lineRule="exact"/>
        <w:rPr>
          <w:sz w:val="20"/>
          <w:szCs w:val="20"/>
          <w:color w:val="auto"/>
        </w:rPr>
      </w:pPr>
    </w:p>
    <w:p>
      <w:pPr>
        <w:ind w:left="1480" w:hanging="567"/>
        <w:spacing w:after="0"/>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12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3 More London Riverside</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London SE1 2RE</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United Kingdom</w:t>
      </w:r>
    </w:p>
    <w:p>
      <w:pPr>
        <w:spacing w:after="0" w:line="355" w:lineRule="exact"/>
        <w:rPr>
          <w:sz w:val="20"/>
          <w:szCs w:val="20"/>
          <w:color w:val="auto"/>
        </w:rPr>
      </w:pPr>
    </w:p>
    <w:p>
      <w:pPr>
        <w:spacing w:after="0"/>
        <w:tabs>
          <w:tab w:leader="none" w:pos="900" w:val="left"/>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1720"/>
        <w:spacing w:after="0" w:line="255" w:lineRule="auto"/>
        <w:rPr>
          <w:sz w:val="20"/>
          <w:szCs w:val="20"/>
          <w:color w:val="auto"/>
        </w:rPr>
      </w:pPr>
      <w:r>
        <w:rPr>
          <w:rFonts w:ascii="Arial" w:cs="Arial" w:eastAsia="Arial" w:hAnsi="Arial"/>
          <w:sz w:val="18"/>
          <w:szCs w:val="18"/>
          <w:color w:val="auto"/>
        </w:rPr>
        <w:t>Novo Holdings A/S, a Danish limited liability company, is wholly owned by Novo Nordisk Fonden (the “</w:t>
      </w:r>
      <w:r>
        <w:rPr>
          <w:rFonts w:ascii="Arial" w:cs="Arial" w:eastAsia="Arial" w:hAnsi="Arial"/>
          <w:sz w:val="18"/>
          <w:szCs w:val="18"/>
          <w:u w:val="single" w:color="auto"/>
          <w:color w:val="auto"/>
        </w:rPr>
        <w:t>Foundation</w:t>
      </w:r>
      <w:r>
        <w:rPr>
          <w:rFonts w:ascii="Arial" w:cs="Arial" w:eastAsia="Arial" w:hAnsi="Arial"/>
          <w:sz w:val="18"/>
          <w:szCs w:val="18"/>
          <w:color w:val="auto"/>
        </w:rPr>
        <w:t>”), a Danish commercial foundation. Novo A/S changed its name to Novo Holdings A/S on June 23, 2017. Novo Holdings A/S is the holding company in the group of Novo companies (currently comprised of Novo Nordisk A/S, Novozymes A/S and NNIT A/S) and is responsible for managing the Foundation’s assets, including its financial assets. Based on the governance structure of Novo Holdings A/S and the Foundation, the Foundation is not deemed to have any beneficial ownership of the securities of the Issuer held by Novo Holdings A/S.</w:t>
      </w:r>
    </w:p>
    <w:p>
      <w:pPr>
        <w:spacing w:after="0" w:line="95" w:lineRule="exact"/>
        <w:rPr>
          <w:sz w:val="20"/>
          <w:szCs w:val="20"/>
          <w:color w:val="auto"/>
        </w:rPr>
      </w:pPr>
    </w:p>
    <w:p>
      <w:pPr>
        <w:ind w:left="1480" w:hanging="567"/>
        <w:spacing w:after="0"/>
        <w:tabs>
          <w:tab w:leader="none" w:pos="14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Address or Principal Business Office or, if none, Residence:</w:t>
      </w:r>
    </w:p>
    <w:p>
      <w:pPr>
        <w:spacing w:after="0" w:line="12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Tuborg Havnevej 19</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2900 Hellerup, Denmark</w:t>
      </w:r>
    </w:p>
    <w:p>
      <w:pPr>
        <w:spacing w:after="0" w:line="112" w:lineRule="exact"/>
        <w:rPr>
          <w:sz w:val="20"/>
          <w:szCs w:val="20"/>
          <w:color w:val="auto"/>
        </w:rPr>
      </w:pPr>
    </w:p>
    <w:p>
      <w:pPr>
        <w:ind w:left="1720" w:right="6960" w:hanging="807"/>
        <w:spacing w:after="0" w:line="431" w:lineRule="auto"/>
        <w:tabs>
          <w:tab w:leader="none" w:pos="148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Citizenship or Place of Organization: </w:t>
      </w:r>
      <w:r>
        <w:rPr>
          <w:rFonts w:ascii="Arial" w:cs="Arial" w:eastAsia="Arial" w:hAnsi="Arial"/>
          <w:sz w:val="16"/>
          <w:szCs w:val="16"/>
          <w:color w:val="auto"/>
        </w:rPr>
        <w:t>Novo Holdings A/S: Denmark</w:t>
      </w:r>
    </w:p>
    <w:p>
      <w:pPr>
        <w:ind w:left="1480" w:hanging="567"/>
        <w:spacing w:after="0"/>
        <w:tabs>
          <w:tab w:leader="none" w:pos="14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12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Ordinary Shares</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American Depositary Shares</w:t>
      </w:r>
    </w:p>
    <w:p>
      <w:pPr>
        <w:spacing w:after="0" w:line="112" w:lineRule="exact"/>
        <w:rPr>
          <w:sz w:val="20"/>
          <w:szCs w:val="20"/>
          <w:color w:val="auto"/>
        </w:rPr>
      </w:pPr>
    </w:p>
    <w:p>
      <w:pPr>
        <w:ind w:left="1480" w:hanging="567"/>
        <w:spacing w:after="0"/>
        <w:tabs>
          <w:tab w:leader="none" w:pos="14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CUSIP Number:</w:t>
      </w:r>
    </w:p>
    <w:p>
      <w:pPr>
        <w:spacing w:after="0" w:line="121" w:lineRule="exact"/>
        <w:rPr>
          <w:rFonts w:ascii="Arial" w:cs="Arial" w:eastAsia="Arial" w:hAnsi="Arial"/>
          <w:sz w:val="18"/>
          <w:szCs w:val="18"/>
          <w:b w:val="1"/>
          <w:bCs w:val="1"/>
          <w:color w:val="auto"/>
        </w:rPr>
      </w:pPr>
    </w:p>
    <w:p>
      <w:pPr>
        <w:ind w:left="1720"/>
        <w:spacing w:after="0"/>
        <w:rPr>
          <w:rFonts w:ascii="Arial" w:cs="Arial" w:eastAsia="Arial" w:hAnsi="Arial"/>
          <w:sz w:val="18"/>
          <w:szCs w:val="18"/>
          <w:b w:val="1"/>
          <w:bCs w:val="1"/>
          <w:color w:val="auto"/>
        </w:rPr>
      </w:pPr>
      <w:r>
        <w:rPr>
          <w:rFonts w:ascii="Arial" w:cs="Arial" w:eastAsia="Arial" w:hAnsi="Arial"/>
          <w:sz w:val="18"/>
          <w:szCs w:val="18"/>
          <w:color w:val="auto"/>
        </w:rPr>
        <w:t>925050106</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74" w:right="359" w:bottom="1440" w:gutter="0" w:footer="0" w:header="0"/>
        </w:sectPr>
      </w:pPr>
    </w:p>
    <w:bookmarkStart w:id="3" w:name="page4"/>
    <w:bookmarkEnd w:id="3"/>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w:t>
            </w:r>
          </w:p>
        </w:tc>
        <w:tc>
          <w:tcPr>
            <w:tcW w:w="6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Amount beneficially owned:</w:t>
            </w:r>
          </w:p>
        </w:tc>
        <w:tc>
          <w:tcPr>
            <w:tcW w:w="3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14,159,611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60" w:type="dxa"/>
            <w:vAlign w:val="bottom"/>
          </w:tcPr>
          <w:p>
            <w:pPr>
              <w:ind w:left="300"/>
              <w:spacing w:after="0"/>
              <w:rPr>
                <w:sz w:val="20"/>
                <w:szCs w:val="20"/>
                <w:color w:val="auto"/>
              </w:rPr>
            </w:pPr>
            <w:r>
              <w:rPr>
                <w:rFonts w:ascii="Arial" w:cs="Arial" w:eastAsia="Arial" w:hAnsi="Arial"/>
                <w:sz w:val="18"/>
                <w:szCs w:val="18"/>
                <w:color w:val="auto"/>
              </w:rPr>
              <w:t>(b)</w:t>
            </w:r>
          </w:p>
        </w:tc>
        <w:tc>
          <w:tcPr>
            <w:tcW w:w="6940" w:type="dxa"/>
            <w:vAlign w:val="bottom"/>
          </w:tcPr>
          <w:p>
            <w:pPr>
              <w:ind w:left="260"/>
              <w:spacing w:after="0"/>
              <w:rPr>
                <w:sz w:val="20"/>
                <w:szCs w:val="20"/>
                <w:color w:val="auto"/>
              </w:rPr>
            </w:pPr>
            <w:r>
              <w:rPr>
                <w:rFonts w:ascii="Arial" w:cs="Arial" w:eastAsia="Arial" w:hAnsi="Arial"/>
                <w:sz w:val="18"/>
                <w:szCs w:val="18"/>
                <w:color w:val="auto"/>
              </w:rPr>
              <w:t>Percent of class:</w:t>
            </w:r>
          </w:p>
        </w:tc>
        <w:tc>
          <w:tcPr>
            <w:tcW w:w="3360" w:type="dxa"/>
            <w:vAlign w:val="bottom"/>
          </w:tcPr>
          <w:p>
            <w:pPr>
              <w:jc w:val="right"/>
              <w:ind w:right="50"/>
              <w:spacing w:after="0"/>
              <w:rPr>
                <w:sz w:val="20"/>
                <w:szCs w:val="20"/>
                <w:color w:val="auto"/>
              </w:rPr>
            </w:pPr>
            <w:r>
              <w:rPr>
                <w:rFonts w:ascii="Arial" w:cs="Arial" w:eastAsia="Arial" w:hAnsi="Arial"/>
                <w:sz w:val="18"/>
                <w:szCs w:val="18"/>
                <w:color w:val="auto"/>
              </w:rPr>
              <w:t>13.3%</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w:t>
            </w:r>
          </w:p>
        </w:tc>
        <w:tc>
          <w:tcPr>
            <w:tcW w:w="6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Number of shares as to which such person has:</w:t>
            </w:r>
          </w:p>
        </w:tc>
        <w:tc>
          <w:tcPr>
            <w:tcW w:w="3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6940" w:type="dxa"/>
            <w:vAlign w:val="bottom"/>
          </w:tcPr>
          <w:p>
            <w:pPr>
              <w:ind w:left="260"/>
              <w:spacing w:after="0"/>
              <w:rPr>
                <w:sz w:val="20"/>
                <w:szCs w:val="20"/>
                <w:color w:val="auto"/>
              </w:rPr>
            </w:pPr>
            <w:r>
              <w:rPr>
                <w:rFonts w:ascii="Arial" w:cs="Arial" w:eastAsia="Arial" w:hAnsi="Arial"/>
                <w:sz w:val="18"/>
                <w:szCs w:val="18"/>
                <w:color w:val="auto"/>
              </w:rPr>
              <w:t>(i) Sole power to vote or to direct the vote:</w:t>
            </w:r>
          </w:p>
        </w:tc>
        <w:tc>
          <w:tcPr>
            <w:tcW w:w="3360" w:type="dxa"/>
            <w:vAlign w:val="bottom"/>
          </w:tcPr>
          <w:p>
            <w:pPr>
              <w:jc w:val="right"/>
              <w:ind w:right="50"/>
              <w:spacing w:after="0"/>
              <w:rPr>
                <w:sz w:val="20"/>
                <w:szCs w:val="20"/>
                <w:color w:val="auto"/>
              </w:rPr>
            </w:pPr>
            <w:r>
              <w:rPr>
                <w:rFonts w:ascii="Arial" w:cs="Arial" w:eastAsia="Arial" w:hAnsi="Arial"/>
                <w:sz w:val="18"/>
                <w:szCs w:val="18"/>
                <w:color w:val="auto"/>
              </w:rPr>
              <w:t>14,159,611</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60" w:type="dxa"/>
            <w:vAlign w:val="bottom"/>
            <w:shd w:val="clear" w:color="auto" w:fill="CCEEFF"/>
          </w:tcPr>
          <w:p>
            <w:pPr>
              <w:spacing w:after="0"/>
              <w:rPr>
                <w:sz w:val="18"/>
                <w:szCs w:val="18"/>
                <w:color w:val="auto"/>
              </w:rPr>
            </w:pPr>
          </w:p>
        </w:tc>
        <w:tc>
          <w:tcPr>
            <w:tcW w:w="6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(ii) Shared power to vote or to direct the vote:</w:t>
            </w:r>
          </w:p>
        </w:tc>
        <w:tc>
          <w:tcPr>
            <w:tcW w:w="3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6940" w:type="dxa"/>
            <w:vAlign w:val="bottom"/>
          </w:tcPr>
          <w:p>
            <w:pPr>
              <w:ind w:left="260"/>
              <w:spacing w:after="0"/>
              <w:rPr>
                <w:sz w:val="20"/>
                <w:szCs w:val="20"/>
                <w:color w:val="auto"/>
              </w:rPr>
            </w:pPr>
            <w:r>
              <w:rPr>
                <w:rFonts w:ascii="Arial" w:cs="Arial" w:eastAsia="Arial" w:hAnsi="Arial"/>
                <w:sz w:val="18"/>
                <w:szCs w:val="18"/>
                <w:color w:val="auto"/>
              </w:rPr>
              <w:t>(iii) Sole power to dispose or to direct the disposition of:</w:t>
            </w:r>
          </w:p>
        </w:tc>
        <w:tc>
          <w:tcPr>
            <w:tcW w:w="3360" w:type="dxa"/>
            <w:vAlign w:val="bottom"/>
          </w:tcPr>
          <w:p>
            <w:pPr>
              <w:jc w:val="right"/>
              <w:ind w:right="50"/>
              <w:spacing w:after="0"/>
              <w:rPr>
                <w:sz w:val="20"/>
                <w:szCs w:val="20"/>
                <w:color w:val="auto"/>
              </w:rPr>
            </w:pPr>
            <w:r>
              <w:rPr>
                <w:rFonts w:ascii="Arial" w:cs="Arial" w:eastAsia="Arial" w:hAnsi="Arial"/>
                <w:sz w:val="18"/>
                <w:szCs w:val="18"/>
                <w:color w:val="auto"/>
              </w:rPr>
              <w:t>14,159,611</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60" w:type="dxa"/>
            <w:vAlign w:val="bottom"/>
            <w:shd w:val="clear" w:color="auto" w:fill="CCEEFF"/>
          </w:tcPr>
          <w:p>
            <w:pPr>
              <w:spacing w:after="0"/>
              <w:rPr>
                <w:sz w:val="18"/>
                <w:szCs w:val="18"/>
                <w:color w:val="auto"/>
              </w:rPr>
            </w:pPr>
          </w:p>
        </w:tc>
        <w:tc>
          <w:tcPr>
            <w:tcW w:w="6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(iv) Shared power to dispose or to direct the disposition of:</w:t>
            </w:r>
          </w:p>
        </w:tc>
        <w:tc>
          <w:tcPr>
            <w:tcW w:w="3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80" w:hanging="452"/>
        <w:spacing w:after="0" w:line="253"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Novo Holdings A/S, through its Board of Directors (the “</w:t>
      </w:r>
      <w:r>
        <w:rPr>
          <w:rFonts w:ascii="Arial" w:cs="Arial" w:eastAsia="Arial" w:hAnsi="Arial"/>
          <w:sz w:val="18"/>
          <w:szCs w:val="18"/>
          <w:u w:val="single" w:color="auto"/>
          <w:color w:val="auto"/>
        </w:rPr>
        <w:t>Novo Board</w:t>
      </w:r>
      <w:r>
        <w:rPr>
          <w:rFonts w:ascii="Arial" w:cs="Arial" w:eastAsia="Arial" w:hAnsi="Arial"/>
          <w:sz w:val="18"/>
          <w:szCs w:val="18"/>
          <w:color w:val="auto"/>
        </w:rPr>
        <w:t>”), has the sole power to vote and dispose of the Novo Shares. The Novo Board, currently comprised of Sten Scheibye, Francis Michael Cyprian Cuss, Goran Ando, Jean-Luc Butel, Jeppe Christiansen, Steen Riisgaard, Per Wold-Olsen and Lars Rebien Sørensen, may exercise voting and dispositive control over the Novo Shares only with the support of a majority of the Novo Board. As such, no individual member of the Novo Board is deemed to hold any beneficial ownership or reportable pecuniary interest in the Novo Shares.</w:t>
      </w:r>
    </w:p>
    <w:p>
      <w:pPr>
        <w:spacing w:after="0" w:line="3" w:lineRule="exact"/>
        <w:rPr>
          <w:rFonts w:ascii="Arial" w:cs="Arial" w:eastAsia="Arial" w:hAnsi="Arial"/>
          <w:sz w:val="18"/>
          <w:szCs w:val="18"/>
          <w:color w:val="auto"/>
        </w:rPr>
      </w:pPr>
    </w:p>
    <w:p>
      <w:pPr>
        <w:ind w:left="460" w:right="140" w:hanging="452"/>
        <w:spacing w:after="0" w:line="255"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upon 105,017,401 ordinary shares, which consists of (a) 99,014,164 ordinary shares outstanding, which includes all outstanding ADRs on an as converted basis, as reported in the Issuer’s Form 6-K filed with the SEC on November 9, 2017, and (b) the 1,769,626 warrants to purchase ordinary shares held by Novo.</w:t>
      </w:r>
    </w:p>
    <w:p>
      <w:pPr>
        <w:spacing w:after="0" w:line="33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 or</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Control Person:</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4" w:name="page5"/>
    <w:bookmarkEnd w:id="4"/>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left="15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270" w:right="4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Dated: February 6, 2018</w:t>
            </w:r>
          </w:p>
        </w:tc>
        <w:tc>
          <w:tcPr>
            <w:tcW w:w="5520" w:type="dxa"/>
            <w:vAlign w:val="bottom"/>
          </w:tcPr>
          <w:p>
            <w:pPr>
              <w:spacing w:after="0"/>
              <w:rPr>
                <w:sz w:val="20"/>
                <w:szCs w:val="20"/>
                <w:color w:val="auto"/>
              </w:rPr>
            </w:pPr>
            <w:r>
              <w:rPr>
                <w:rFonts w:ascii="Arial" w:cs="Arial" w:eastAsia="Arial" w:hAnsi="Arial"/>
                <w:sz w:val="18"/>
                <w:szCs w:val="18"/>
                <w:color w:val="auto"/>
              </w:rPr>
              <w:t>Novo Holdings A/S</w:t>
            </w:r>
          </w:p>
        </w:tc>
      </w:tr>
      <w:tr>
        <w:trPr>
          <w:trHeight w:val="439"/>
        </w:trPr>
        <w:tc>
          <w:tcPr>
            <w:tcW w:w="5900" w:type="dxa"/>
            <w:vAlign w:val="bottom"/>
          </w:tcPr>
          <w:p>
            <w:pPr>
              <w:spacing w:after="0"/>
              <w:rPr>
                <w:sz w:val="24"/>
                <w:szCs w:val="24"/>
                <w:color w:val="auto"/>
              </w:rPr>
            </w:pPr>
          </w:p>
        </w:tc>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Haahr</w:t>
            </w:r>
          </w:p>
        </w:tc>
      </w:tr>
      <w:tr>
        <w:trPr>
          <w:trHeight w:val="202"/>
        </w:trPr>
        <w:tc>
          <w:tcPr>
            <w:tcW w:w="5900" w:type="dxa"/>
            <w:vAlign w:val="bottom"/>
          </w:tcPr>
          <w:p>
            <w:pPr>
              <w:spacing w:after="0"/>
              <w:rPr>
                <w:sz w:val="17"/>
                <w:szCs w:val="17"/>
                <w:color w:val="auto"/>
              </w:rPr>
            </w:pPr>
          </w:p>
        </w:tc>
        <w:tc>
          <w:tcPr>
            <w:tcW w:w="5520" w:type="dxa"/>
            <w:vAlign w:val="bottom"/>
          </w:tcPr>
          <w:p>
            <w:pPr>
              <w:spacing w:after="0" w:line="201" w:lineRule="exact"/>
              <w:rPr>
                <w:sz w:val="20"/>
                <w:szCs w:val="20"/>
                <w:color w:val="auto"/>
              </w:rPr>
            </w:pPr>
            <w:r>
              <w:rPr>
                <w:rFonts w:ascii="Arial" w:cs="Arial" w:eastAsia="Arial" w:hAnsi="Arial"/>
                <w:sz w:val="18"/>
                <w:szCs w:val="18"/>
                <w:color w:val="auto"/>
              </w:rPr>
              <w:t>By:  Peter Haahr</w:t>
            </w:r>
          </w:p>
        </w:tc>
      </w:tr>
      <w:tr>
        <w:trPr>
          <w:trHeight w:val="230"/>
        </w:trPr>
        <w:tc>
          <w:tcPr>
            <w:tcW w:w="590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Its:  Chief Financial Officer</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lvl w:ilvl="1">
      <w:lvlJc w:val="left"/>
      <w:lvlText w:val="☐"/>
      <w:numFmt w:val="bullet"/>
      <w:start w:val="1"/>
    </w:lvl>
  </w:abstractNum>
  <w:abstractNum w:abstractNumId="3">
    <w:nsid w:val="515F007C"/>
    <w:multiLevelType w:val="hybridMultilevel"/>
    <w:lvl w:ilvl="0">
      <w:lvlJc w:val="left"/>
      <w:lvlText w:val="**"/>
      <w:numFmt w:val="bullet"/>
      <w:start w:val="1"/>
    </w:lvl>
    <w:lvl w:ilvl="1">
      <w:lvlJc w:val="left"/>
      <w:lvlText w:val="☐"/>
      <w:numFmt w:val="bullet"/>
      <w:start w:val="1"/>
    </w:lvl>
  </w:abstractNum>
  <w:abstractNum w:abstractNumId="4">
    <w:nsid w:val="5BD062C2"/>
    <w:multiLevelType w:val="hybridMultilevel"/>
    <w:lvl w:ilvl="0">
      <w:lvlJc w:val="left"/>
      <w:lvlText w:val="%1."/>
      <w:numFmt w:val="decimal"/>
      <w:start w:val="3"/>
    </w:lvl>
  </w:abstractNum>
  <w:abstractNum w:abstractNumId="5">
    <w:nsid w:val="12200854"/>
    <w:multiLevelType w:val="hybridMultilevel"/>
    <w:lvl w:ilvl="0">
      <w:lvlJc w:val="left"/>
      <w:lvlText w:val="%1."/>
      <w:numFmt w:val="decimal"/>
      <w:start w:val="10"/>
    </w:lvl>
  </w:abstractNum>
  <w:abstractNum w:abstractNumId="6">
    <w:nsid w:val="4DB127F8"/>
    <w:multiLevelType w:val="hybridMultilevel"/>
    <w:lvl w:ilvl="0">
      <w:lvlJc w:val="left"/>
      <w:lvlText w:val="%1"/>
      <w:numFmt w:val="decimal"/>
      <w:start w:val="1"/>
    </w:lvl>
    <w:lvl w:ilvl="1">
      <w:lvlJc w:val="left"/>
      <w:lvlText w:val="%2."/>
      <w:numFmt w:val="decimal"/>
      <w:start w:val="12"/>
    </w:lvl>
  </w:abstractNum>
  <w:abstractNum w:abstractNumId="7">
    <w:nsid w:val="216231B"/>
    <w:multiLevelType w:val="hybridMultilevel"/>
    <w:lvl w:ilvl="0">
      <w:lvlJc w:val="left"/>
      <w:lvlText w:val="(%1)"/>
      <w:numFmt w:val="decimal"/>
      <w:start w:val="1"/>
    </w:lvl>
    <w:lvl w:ilvl="1">
      <w:lvlJc w:val="left"/>
      <w:lvlText w:val="%2"/>
      <w:numFmt w:val="decimal"/>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2"/>
    </w:lvl>
  </w:abstractNum>
  <w:abstractNum w:abstractNumId="10">
    <w:nsid w:val="66EF438D"/>
    <w:multiLevelType w:val="hybridMultilevel"/>
    <w:lvl w:ilvl="0">
      <w:lvlJc w:val="left"/>
      <w:lvlText w:val="(%1)"/>
      <w:numFmt w:val="lowerLetter"/>
      <w:start w:val="3"/>
    </w:lvl>
  </w:abstractNum>
  <w:abstractNum w:abstractNumId="11">
    <w:nsid w:val="140E0F76"/>
    <w:multiLevelType w:val="hybridMultilevel"/>
    <w:lvl w:ilvl="0">
      <w:lvlJc w:val="left"/>
      <w:lvlText w:val="(%1)"/>
      <w:numFmt w:val="lowerLetter"/>
      <w:start w:val="5"/>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2019-12-18T23:20:34Z</dcterms:created>
  <dcterms:modified xsi:type="dcterms:W3CDTF">2019-12-18T23:20:34Z</dcterms:modified>
</cp:coreProperties>
</file>