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-230505</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26035</wp:posOffset>
            </wp:positionV>
            <wp:extent cx="7048500" cy="4267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2678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Ullman Anders</w:t>
        </w:r>
      </w:hyperlink>
    </w:p>
    <w:p>
      <w:pPr>
        <w:spacing w:after="0" w:line="284"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(Last)</w:t>
            </w:r>
          </w:p>
        </w:tc>
        <w:tc>
          <w:tcPr>
            <w:tcW w:w="1380" w:type="dxa"/>
            <w:vAlign w:val="bottom"/>
          </w:tcPr>
          <w:p>
            <w:pPr>
              <w:ind w:left="280"/>
              <w:spacing w:after="0"/>
              <w:rPr>
                <w:sz w:val="20"/>
                <w:szCs w:val="20"/>
                <w:color w:val="auto"/>
              </w:rPr>
            </w:pPr>
            <w:r>
              <w:rPr>
                <w:rFonts w:ascii="Arial" w:cs="Arial" w:eastAsia="Arial" w:hAnsi="Arial"/>
                <w:sz w:val="12"/>
                <w:szCs w:val="12"/>
                <w:color w:val="auto"/>
              </w:rPr>
              <w:t>(First)</w:t>
            </w:r>
          </w:p>
        </w:tc>
        <w:tc>
          <w:tcPr>
            <w:tcW w:w="1320" w:type="dxa"/>
            <w:vAlign w:val="bottom"/>
          </w:tcPr>
          <w:p>
            <w:pPr>
              <w:ind w:left="120"/>
              <w:spacing w:after="0"/>
              <w:rPr>
                <w:sz w:val="20"/>
                <w:szCs w:val="20"/>
                <w:color w:val="auto"/>
              </w:rPr>
            </w:pPr>
            <w:r>
              <w:rPr>
                <w:rFonts w:ascii="Arial" w:cs="Arial" w:eastAsia="Arial" w:hAnsi="Arial"/>
                <w:sz w:val="12"/>
                <w:szCs w:val="12"/>
                <w:color w:val="auto"/>
              </w:rPr>
              <w:t>(Middle)</w:t>
            </w:r>
          </w:p>
        </w:tc>
      </w:tr>
      <w:tr>
        <w:trPr>
          <w:trHeight w:val="257"/>
        </w:trPr>
        <w:tc>
          <w:tcPr>
            <w:tcW w:w="20" w:type="dxa"/>
            <w:vAlign w:val="bottom"/>
          </w:tcPr>
          <w:p>
            <w:pPr>
              <w:spacing w:after="0"/>
              <w:rPr>
                <w:sz w:val="22"/>
                <w:szCs w:val="22"/>
                <w:color w:val="auto"/>
              </w:rPr>
            </w:pPr>
          </w:p>
        </w:tc>
        <w:tc>
          <w:tcPr>
            <w:tcW w:w="2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3 MORE LONDON RIVERSIDE</w:t>
            </w:r>
          </w:p>
        </w:tc>
        <w:tc>
          <w:tcPr>
            <w:tcW w:w="1320" w:type="dxa"/>
            <w:vAlign w:val="bottom"/>
          </w:tcPr>
          <w:p>
            <w:pPr>
              <w:spacing w:after="0"/>
              <w:rPr>
                <w:sz w:val="22"/>
                <w:szCs w:val="22"/>
                <w:color w:val="auto"/>
              </w:rPr>
            </w:pPr>
          </w:p>
        </w:tc>
      </w:tr>
      <w:tr>
        <w:trPr>
          <w:trHeight w:val="194"/>
        </w:trPr>
        <w:tc>
          <w:tcPr>
            <w:tcW w:w="20" w:type="dxa"/>
            <w:vAlign w:val="bottom"/>
          </w:tcPr>
          <w:p>
            <w:pPr>
              <w:spacing w:after="0"/>
              <w:rPr>
                <w:sz w:val="16"/>
                <w:szCs w:val="16"/>
                <w:color w:val="auto"/>
              </w:rPr>
            </w:pPr>
          </w:p>
        </w:tc>
        <w:tc>
          <w:tcPr>
            <w:tcW w:w="96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r>
      <w:tr>
        <w:trPr>
          <w:trHeight w:val="252"/>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LONDON</w:t>
            </w:r>
          </w:p>
        </w:tc>
        <w:tc>
          <w:tcPr>
            <w:tcW w:w="13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X0</w:t>
            </w:r>
          </w:p>
        </w:tc>
        <w:tc>
          <w:tcPr>
            <w:tcW w:w="1320" w:type="dxa"/>
            <w:vAlign w:val="bottom"/>
          </w:tcPr>
          <w:p>
            <w:pPr>
              <w:ind w:left="120"/>
              <w:spacing w:after="0"/>
              <w:rPr>
                <w:sz w:val="20"/>
                <w:szCs w:val="20"/>
                <w:color w:val="auto"/>
              </w:rPr>
            </w:pPr>
            <w:r>
              <w:rPr>
                <w:rFonts w:ascii="Times New Roman" w:cs="Times New Roman" w:eastAsia="Times New Roman" w:hAnsi="Times New Roman"/>
                <w:sz w:val="16"/>
                <w:szCs w:val="16"/>
                <w:color w:val="0000FF"/>
              </w:rPr>
              <w:t>SE1 2RE</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380" w:type="dxa"/>
            <w:vAlign w:val="bottom"/>
          </w:tcPr>
          <w:p>
            <w:pPr>
              <w:ind w:left="280"/>
              <w:spacing w:after="0"/>
              <w:rPr>
                <w:sz w:val="20"/>
                <w:szCs w:val="20"/>
                <w:color w:val="auto"/>
              </w:rPr>
            </w:pPr>
            <w:r>
              <w:rPr>
                <w:rFonts w:ascii="Arial" w:cs="Arial" w:eastAsia="Arial" w:hAnsi="Arial"/>
                <w:sz w:val="12"/>
                <w:szCs w:val="12"/>
                <w:color w:val="auto"/>
              </w:rPr>
              <w:t>(State)</w:t>
            </w:r>
          </w:p>
        </w:tc>
        <w:tc>
          <w:tcPr>
            <w:tcW w:w="1320" w:type="dxa"/>
            <w:vAlign w:val="bottom"/>
          </w:tcPr>
          <w:p>
            <w:pPr>
              <w:ind w:left="1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5.</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Verona Pharma plc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400" w:type="dxa"/>
            <w:vAlign w:val="bottom"/>
            <w:tcBorders>
              <w:top w:val="single" w:sz="8" w:color="0000EE"/>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tcPr>
          <w:p>
            <w:pPr>
              <w:ind w:left="8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10% Owner</w:t>
            </w:r>
          </w:p>
        </w:tc>
      </w:tr>
      <w:tr>
        <w:trPr>
          <w:trHeight w:val="187"/>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2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210"/>
        </w:trPr>
        <w:tc>
          <w:tcPr>
            <w:tcW w:w="15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04/29/2024</w:t>
            </w: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20"/>
              <w:spacing w:after="0"/>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rPr>
                <w:sz w:val="20"/>
                <w:szCs w:val="20"/>
                <w:color w:val="auto"/>
              </w:rPr>
            </w:pPr>
            <w:r>
              <w:rPr>
                <w:rFonts w:ascii="Arial" w:cs="Arial" w:eastAsia="Arial" w:hAnsi="Arial"/>
                <w:sz w:val="12"/>
                <w:szCs w:val="12"/>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4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gridSpan w:val="2"/>
          </w:tcPr>
          <w:p>
            <w:pPr>
              <w:spacing w:after="0"/>
              <w:rPr>
                <w:sz w:val="8"/>
                <w:szCs w:val="8"/>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2"/>
                <w:szCs w:val="12"/>
                <w:color w:val="auto"/>
                <w:w w:val="99"/>
              </w:rPr>
              <w:t>6.</w:t>
            </w:r>
          </w:p>
        </w:tc>
        <w:tc>
          <w:tcPr>
            <w:tcW w:w="3120" w:type="dxa"/>
            <w:vAlign w:val="bottom"/>
            <w:gridSpan w:val="2"/>
          </w:tcPr>
          <w:p>
            <w:pPr>
              <w:ind w:left="20"/>
              <w:spacing w:after="0"/>
              <w:rPr>
                <w:sz w:val="20"/>
                <w:szCs w:val="20"/>
                <w:color w:val="auto"/>
              </w:rPr>
            </w:pPr>
            <w:r>
              <w:rPr>
                <w:rFonts w:ascii="Arial" w:cs="Arial" w:eastAsia="Arial" w:hAnsi="Arial"/>
                <w:sz w:val="12"/>
                <w:szCs w:val="12"/>
                <w:color w:val="auto"/>
              </w:rPr>
              <w:t>Individual or Joint/Group Filing (Check Applicable Line)</w:t>
            </w:r>
          </w:p>
        </w:tc>
      </w:tr>
      <w:tr>
        <w:trPr>
          <w:trHeight w:val="220"/>
        </w:trPr>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1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r>
      <w:tr>
        <w:trPr>
          <w:trHeight w:val="204"/>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gridSpan w:val="2"/>
          </w:tcPr>
          <w:p>
            <w:pPr>
              <w:ind w:left="42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12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8" w:lineRule="exact"/>
        <w:rPr>
          <w:sz w:val="24"/>
          <w:szCs w:val="24"/>
          <w:color w:val="auto"/>
        </w:rPr>
      </w:pPr>
    </w:p>
    <w:p>
      <w:pPr>
        <w:ind w:left="320" w:right="340"/>
        <w:spacing w:after="0" w:line="27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520" w:type="dxa"/>
            <w:vAlign w:val="bottom"/>
          </w:tcPr>
          <w:p>
            <w:pPr>
              <w:ind w:left="8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tcPr>
          <w:p>
            <w:pPr>
              <w:ind w:left="8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5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1"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14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Disposed of</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4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Share</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Options</w:t>
            </w:r>
          </w:p>
        </w:tc>
        <w:tc>
          <w:tcPr>
            <w:tcW w:w="760" w:type="dxa"/>
            <w:vAlign w:val="bottom"/>
          </w:tcPr>
          <w:p>
            <w:pPr>
              <w:ind w:left="120"/>
              <w:spacing w:after="0" w:line="200"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1.9338</w:t>
            </w:r>
            <w:r>
              <w:rPr>
                <w:rFonts w:ascii="Times New Roman" w:cs="Times New Roman" w:eastAsia="Times New Roman" w:hAnsi="Times New Roman"/>
                <w:sz w:val="20"/>
                <w:szCs w:val="20"/>
                <w:color w:val="008000"/>
                <w:vertAlign w:val="superscript"/>
              </w:rPr>
              <w:t>(1)</w:t>
            </w:r>
          </w:p>
        </w:tc>
        <w:tc>
          <w:tcPr>
            <w:tcW w:w="1040" w:type="dxa"/>
            <w:vAlign w:val="bottom"/>
          </w:tcPr>
          <w:p>
            <w:pPr>
              <w:jc w:val="right"/>
              <w:ind w:right="182"/>
              <w:spacing w:after="0"/>
              <w:rPr>
                <w:sz w:val="20"/>
                <w:szCs w:val="20"/>
                <w:color w:val="auto"/>
              </w:rPr>
            </w:pPr>
            <w:r>
              <w:rPr>
                <w:rFonts w:ascii="Times New Roman" w:cs="Times New Roman" w:eastAsia="Times New Roman" w:hAnsi="Times New Roman"/>
                <w:sz w:val="12"/>
                <w:szCs w:val="12"/>
                <w:color w:val="0000FF"/>
              </w:rPr>
              <w:t>04/29/2024</w:t>
            </w:r>
          </w:p>
        </w:tc>
        <w:tc>
          <w:tcPr>
            <w:tcW w:w="104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720" w:type="dxa"/>
            <w:vAlign w:val="bottom"/>
          </w:tcPr>
          <w:p>
            <w:pPr>
              <w:ind w:left="80"/>
              <w:spacing w:after="0" w:line="200" w:lineRule="exact"/>
              <w:rPr>
                <w:sz w:val="20"/>
                <w:szCs w:val="20"/>
                <w:color w:val="auto"/>
              </w:rPr>
            </w:pPr>
            <w:r>
              <w:rPr>
                <w:rFonts w:ascii="Times New Roman" w:cs="Times New Roman" w:eastAsia="Times New Roman" w:hAnsi="Times New Roman"/>
                <w:sz w:val="12"/>
                <w:szCs w:val="12"/>
                <w:color w:val="0000FF"/>
              </w:rPr>
              <w:t>240,000</w:t>
            </w:r>
            <w:r>
              <w:rPr>
                <w:rFonts w:ascii="Times New Roman" w:cs="Times New Roman" w:eastAsia="Times New Roman" w:hAnsi="Times New Roman"/>
                <w:sz w:val="20"/>
                <w:szCs w:val="20"/>
                <w:color w:val="008000"/>
                <w:vertAlign w:val="superscript"/>
              </w:rPr>
              <w:t>(1)</w:t>
            </w:r>
          </w:p>
        </w:tc>
        <w:tc>
          <w:tcPr>
            <w:tcW w:w="240" w:type="dxa"/>
            <w:vAlign w:val="bottom"/>
          </w:tcPr>
          <w:p>
            <w:pPr>
              <w:spacing w:after="0"/>
              <w:rPr>
                <w:sz w:val="17"/>
                <w:szCs w:val="17"/>
                <w:color w:val="auto"/>
              </w:rPr>
            </w:pPr>
          </w:p>
        </w:tc>
        <w:tc>
          <w:tcPr>
            <w:tcW w:w="76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04/28/2034</w:t>
            </w:r>
          </w:p>
        </w:tc>
        <w:tc>
          <w:tcPr>
            <w:tcW w:w="58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Ordinary</w:t>
            </w:r>
          </w:p>
        </w:tc>
        <w:tc>
          <w:tcPr>
            <w:tcW w:w="780" w:type="dxa"/>
            <w:vAlign w:val="bottom"/>
          </w:tcPr>
          <w:p>
            <w:pPr>
              <w:ind w:left="60"/>
              <w:spacing w:after="0" w:line="200" w:lineRule="exact"/>
              <w:rPr>
                <w:sz w:val="20"/>
                <w:szCs w:val="20"/>
                <w:color w:val="auto"/>
              </w:rPr>
            </w:pPr>
            <w:r>
              <w:rPr>
                <w:rFonts w:ascii="Times New Roman" w:cs="Times New Roman" w:eastAsia="Times New Roman" w:hAnsi="Times New Roman"/>
                <w:sz w:val="16"/>
                <w:szCs w:val="16"/>
                <w:color w:val="0000FF"/>
              </w:rPr>
              <w:t>240,000</w:t>
            </w:r>
            <w:r>
              <w:rPr>
                <w:rFonts w:ascii="Times New Roman" w:cs="Times New Roman" w:eastAsia="Times New Roman" w:hAnsi="Times New Roman"/>
                <w:sz w:val="20"/>
                <w:szCs w:val="20"/>
                <w:color w:val="008000"/>
                <w:vertAlign w:val="superscript"/>
              </w:rPr>
              <w:t>(1)</w:t>
            </w:r>
          </w:p>
        </w:tc>
        <w:tc>
          <w:tcPr>
            <w:tcW w:w="66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00" w:type="dxa"/>
            <w:vAlign w:val="bottom"/>
          </w:tcPr>
          <w:p>
            <w:pPr>
              <w:ind w:left="200"/>
              <w:spacing w:after="0" w:line="200" w:lineRule="exact"/>
              <w:rPr>
                <w:sz w:val="20"/>
                <w:szCs w:val="20"/>
                <w:color w:val="auto"/>
              </w:rPr>
            </w:pPr>
            <w:r>
              <w:rPr>
                <w:rFonts w:ascii="Times New Roman" w:cs="Times New Roman" w:eastAsia="Times New Roman" w:hAnsi="Times New Roman"/>
                <w:sz w:val="12"/>
                <w:szCs w:val="12"/>
                <w:color w:val="0000FF"/>
              </w:rPr>
              <w:t>240,000</w:t>
            </w:r>
            <w:r>
              <w:rPr>
                <w:rFonts w:ascii="Times New Roman" w:cs="Times New Roman" w:eastAsia="Times New Roman" w:hAnsi="Times New Roman"/>
                <w:sz w:val="20"/>
                <w:szCs w:val="20"/>
                <w:color w:val="008000"/>
                <w:vertAlign w:val="superscript"/>
              </w:rPr>
              <w:t>(1)</w:t>
            </w:r>
          </w:p>
        </w:tc>
        <w:tc>
          <w:tcPr>
            <w:tcW w:w="720" w:type="dxa"/>
            <w:vAlign w:val="bottom"/>
          </w:tcPr>
          <w:p>
            <w:pPr>
              <w:ind w:left="320"/>
              <w:spacing w:after="0"/>
              <w:rPr>
                <w:sz w:val="20"/>
                <w:szCs w:val="20"/>
                <w:color w:val="auto"/>
              </w:rPr>
            </w:pPr>
            <w:r>
              <w:rPr>
                <w:rFonts w:ascii="Times New Roman" w:cs="Times New Roman" w:eastAsia="Times New Roman" w:hAnsi="Times New Roman"/>
                <w:sz w:val="12"/>
                <w:szCs w:val="12"/>
                <w:color w:val="0000FF"/>
              </w:rPr>
              <w:t>D</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66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ind w:left="120"/>
              <w:spacing w:after="0" w:line="89" w:lineRule="exact"/>
              <w:rPr>
                <w:sz w:val="20"/>
                <w:szCs w:val="20"/>
                <w:color w:val="auto"/>
              </w:rPr>
            </w:pPr>
            <w:r>
              <w:rPr>
                <w:rFonts w:ascii="Times New Roman" w:cs="Times New Roman" w:eastAsia="Times New Roman" w:hAnsi="Times New Roman"/>
                <w:sz w:val="10"/>
                <w:szCs w:val="10"/>
                <w:color w:val="0000FF"/>
              </w:rPr>
              <w:t>Shares</w:t>
            </w: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40" w:right="3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number of securities underlying the option and the exercise price therefor are listed in terms of Ordinary Shares, however, each security is represented by American Depositary Shares, each of which represents eight (8) Ordinary Shares of the Issuer.</w:t>
      </w: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option vests and becomes exercisable as to 25% on each of July 29, 2024, October 29, 2024, January 29, 2025 and April 29, 2025.</w:t>
      </w:r>
    </w:p>
    <w:p>
      <w:pPr>
        <w:spacing w:after="0" w:line="65"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w w:val="99"/>
              </w:rPr>
              <w:t>/s/ Claire Poll, Attorney-in-fact</w:t>
            </w:r>
          </w:p>
        </w:tc>
        <w:tc>
          <w:tcPr>
            <w:tcW w:w="180" w:type="dxa"/>
            <w:vAlign w:val="bottom"/>
          </w:tcPr>
          <w:p>
            <w:pPr>
              <w:spacing w:after="0"/>
              <w:rPr>
                <w:sz w:val="16"/>
                <w:szCs w:val="16"/>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04/30/2024</w:t>
            </w:r>
          </w:p>
        </w:tc>
        <w:tc>
          <w:tcPr>
            <w:tcW w:w="0" w:type="dxa"/>
            <w:vAlign w:val="bottom"/>
          </w:tcPr>
          <w:p>
            <w:pPr>
              <w:spacing w:after="0"/>
              <w:rPr>
                <w:sz w:val="1"/>
                <w:szCs w:val="1"/>
                <w:color w:val="auto"/>
              </w:rPr>
            </w:pPr>
          </w:p>
        </w:tc>
      </w:tr>
      <w:tr>
        <w:trPr>
          <w:trHeight w:val="85"/>
        </w:trPr>
        <w:tc>
          <w:tcPr>
            <w:tcW w:w="1220" w:type="dxa"/>
            <w:vAlign w:val="bottom"/>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9"/>
              </w:rPr>
              <w:t>for Anders Ullman</w:t>
            </w:r>
          </w:p>
        </w:tc>
        <w:tc>
          <w:tcPr>
            <w:tcW w:w="980" w:type="dxa"/>
            <w:vAlign w:val="bottom"/>
            <w:gridSpan w:val="2"/>
            <w:vMerge w:val="restart"/>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1220" w:type="dxa"/>
            <w:vAlign w:val="bottom"/>
            <w:tcBorders>
              <w:bottom w:val="single" w:sz="8" w:color="auto"/>
            </w:tcBorders>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36816" TargetMode="External"/><Relationship Id="rId13"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2024-04-30T15:32:18Z</dcterms:created>
  <dcterms:modified xsi:type="dcterms:W3CDTF">2024-04-30T15:32:18Z</dcterms:modified>
</cp:coreProperties>
</file>